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0CAAA9FF" w:rsidR="0088023E" w:rsidRDefault="004C5A59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90</w:t>
      </w:r>
      <w:r>
        <w:rPr>
          <w:rFonts w:cs="Arial"/>
          <w:b/>
          <w:sz w:val="24"/>
          <w:szCs w:val="24"/>
        </w:rPr>
        <w:t>-e</w:t>
      </w:r>
      <w:r w:rsidR="0088023E">
        <w:rPr>
          <w:b/>
          <w:i/>
          <w:noProof/>
          <w:sz w:val="28"/>
        </w:rPr>
        <w:tab/>
      </w:r>
      <w:r w:rsidR="00E85202" w:rsidRPr="008C4C4E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65721A" w:rsidRPr="003D1077">
        <w:rPr>
          <w:b/>
          <w:i/>
          <w:noProof/>
          <w:sz w:val="28"/>
        </w:rPr>
        <w:t>1</w:t>
      </w:r>
      <w:r w:rsidR="003D1077">
        <w:rPr>
          <w:b/>
          <w:i/>
          <w:noProof/>
          <w:sz w:val="28"/>
        </w:rPr>
        <w:t>1045</w:t>
      </w:r>
      <w:r w:rsidR="00C5249E" w:rsidRPr="00C5249E">
        <w:rPr>
          <w:b/>
          <w:i/>
          <w:noProof/>
          <w:sz w:val="28"/>
          <w:highlight w:val="yellow"/>
        </w:rPr>
        <w:t>r1</w:t>
      </w:r>
    </w:p>
    <w:p w14:paraId="6CDDDB34" w14:textId="4002E47C" w:rsidR="0088023E" w:rsidRDefault="004C5A59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en-US"/>
        </w:rPr>
        <w:t>Online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, , </w:t>
      </w:r>
      <w:r w:rsidR="0065721A">
        <w:rPr>
          <w:rFonts w:ascii="Arial" w:hAnsi="Arial"/>
          <w:b/>
          <w:noProof/>
          <w:sz w:val="24"/>
          <w:lang w:eastAsia="en-US"/>
        </w:rPr>
        <w:t>22nd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 w:rsidR="0065721A">
        <w:rPr>
          <w:rFonts w:ascii="Arial" w:hAnsi="Arial"/>
          <w:b/>
          <w:noProof/>
          <w:sz w:val="24"/>
          <w:lang w:eastAsia="en-US"/>
        </w:rPr>
        <w:t>Feb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20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65721A">
        <w:rPr>
          <w:rFonts w:ascii="Arial" w:hAnsi="Arial"/>
          <w:b/>
          <w:noProof/>
          <w:sz w:val="24"/>
          <w:lang w:eastAsia="en-US"/>
        </w:rPr>
        <w:t>1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–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 w:rsidR="0065721A">
        <w:rPr>
          <w:rFonts w:ascii="Arial" w:hAnsi="Arial"/>
          <w:b/>
          <w:noProof/>
          <w:sz w:val="24"/>
          <w:lang w:eastAsia="en-US"/>
        </w:rPr>
        <w:t>5</w:t>
      </w:r>
      <w:r>
        <w:rPr>
          <w:rFonts w:ascii="Arial" w:hAnsi="Arial"/>
          <w:b/>
          <w:noProof/>
          <w:sz w:val="24"/>
          <w:lang w:eastAsia="en-US"/>
        </w:rPr>
        <w:t>th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 w:rsidR="0065721A">
        <w:rPr>
          <w:rFonts w:ascii="Arial" w:hAnsi="Arial"/>
          <w:b/>
          <w:noProof/>
          <w:sz w:val="24"/>
          <w:lang w:eastAsia="en-US"/>
        </w:rPr>
        <w:t>Mar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20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65721A">
        <w:rPr>
          <w:rFonts w:ascii="Arial" w:hAnsi="Arial"/>
          <w:b/>
          <w:noProof/>
          <w:sz w:val="24"/>
          <w:lang w:eastAsia="en-US"/>
        </w:rPr>
        <w:t>1</w:t>
      </w:r>
    </w:p>
    <w:p w14:paraId="162F57A0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2220BE">
        <w:rPr>
          <w:rFonts w:ascii="Arial" w:eastAsia="Batang" w:hAnsi="Arial"/>
          <w:b/>
          <w:lang w:val="en-US" w:eastAsia="zh-CN"/>
        </w:rPr>
        <w:t xml:space="preserve"> Incorporated</w:t>
      </w:r>
    </w:p>
    <w:p w14:paraId="314140CF" w14:textId="400F066F" w:rsidR="00E85202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7B4539" w:rsidRPr="007B4539">
        <w:rPr>
          <w:rFonts w:ascii="Arial" w:eastAsia="Batang" w:hAnsi="Arial" w:cs="Arial"/>
          <w:b/>
          <w:lang w:eastAsia="zh-CN"/>
        </w:rPr>
        <w:t xml:space="preserve">Discussion paper on </w:t>
      </w:r>
      <w:r w:rsidR="0065721A">
        <w:rPr>
          <w:rFonts w:ascii="Arial" w:eastAsia="Batang" w:hAnsi="Arial" w:cs="Arial"/>
          <w:b/>
          <w:lang w:eastAsia="zh-CN"/>
        </w:rPr>
        <w:t>impact of UE’s highest channel bandwidth capability on Transport Block Selection test cases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433C7302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960E53" w:rsidRPr="008A2F8C">
        <w:rPr>
          <w:rFonts w:ascii="Arial" w:eastAsia="Batang" w:hAnsi="Arial"/>
          <w:b/>
          <w:lang w:eastAsia="zh-CN"/>
        </w:rPr>
        <w:t>6.</w:t>
      </w:r>
      <w:r w:rsidR="008A2F8C" w:rsidRPr="008A2F8C">
        <w:rPr>
          <w:rFonts w:ascii="Arial" w:eastAsia="Batang" w:hAnsi="Arial"/>
          <w:b/>
          <w:lang w:eastAsia="zh-CN"/>
        </w:rPr>
        <w:t>3.2.20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713E154D" w14:textId="13C9E0F6" w:rsidR="00511D23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</w:t>
      </w:r>
      <w:r w:rsidR="00556B5B">
        <w:rPr>
          <w:rFonts w:ascii="Arial" w:hAnsi="Arial" w:cs="Arial"/>
          <w:sz w:val="22"/>
          <w:szCs w:val="22"/>
        </w:rPr>
        <w:t xml:space="preserve">discuss </w:t>
      </w:r>
      <w:r w:rsidR="0065721A">
        <w:rPr>
          <w:rFonts w:ascii="Arial" w:hAnsi="Arial" w:cs="Arial"/>
          <w:sz w:val="22"/>
          <w:szCs w:val="22"/>
        </w:rPr>
        <w:t xml:space="preserve">the impact of UE’s support of </w:t>
      </w:r>
      <w:r w:rsidR="000812BE">
        <w:rPr>
          <w:rFonts w:ascii="Arial" w:hAnsi="Arial" w:cs="Arial"/>
          <w:sz w:val="22"/>
          <w:szCs w:val="22"/>
        </w:rPr>
        <w:t>highest channel</w:t>
      </w:r>
      <w:r w:rsidR="0065721A">
        <w:rPr>
          <w:rFonts w:ascii="Arial" w:hAnsi="Arial" w:cs="Arial"/>
          <w:sz w:val="22"/>
          <w:szCs w:val="22"/>
        </w:rPr>
        <w:t xml:space="preserve"> bandwidth on </w:t>
      </w:r>
      <w:r w:rsidR="00951656">
        <w:rPr>
          <w:rFonts w:ascii="Arial" w:hAnsi="Arial" w:cs="Arial"/>
          <w:sz w:val="22"/>
          <w:szCs w:val="22"/>
        </w:rPr>
        <w:t>Transport Block Selection test cases in [1]</w:t>
      </w:r>
      <w:r w:rsidR="007B4539">
        <w:rPr>
          <w:rFonts w:ascii="Arial" w:hAnsi="Arial" w:cs="Arial"/>
          <w:sz w:val="22"/>
          <w:szCs w:val="22"/>
        </w:rPr>
        <w:t>.</w:t>
      </w:r>
    </w:p>
    <w:p w14:paraId="75C42F38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9B57CF" w14:textId="77777777" w:rsidR="006E3E6E" w:rsidRDefault="00AD4259" w:rsidP="00AD4259">
      <w:pPr>
        <w:rPr>
          <w:rFonts w:ascii="Arial" w:hAnsi="Arial" w:cs="Arial"/>
          <w:sz w:val="22"/>
          <w:szCs w:val="22"/>
        </w:rPr>
      </w:pPr>
      <w:r w:rsidRPr="00AD4259">
        <w:rPr>
          <w:rFonts w:ascii="Arial" w:hAnsi="Arial" w:cs="Arial"/>
          <w:sz w:val="22"/>
          <w:szCs w:val="22"/>
        </w:rPr>
        <w:t xml:space="preserve">UE can indicate the supported channel bandwidths </w:t>
      </w:r>
      <w:r>
        <w:rPr>
          <w:rFonts w:ascii="Arial" w:hAnsi="Arial" w:cs="Arial"/>
          <w:sz w:val="22"/>
          <w:szCs w:val="22"/>
        </w:rPr>
        <w:t xml:space="preserve">for each subcarrier spacing </w:t>
      </w:r>
      <w:r w:rsidRPr="00AD4259">
        <w:rPr>
          <w:rFonts w:ascii="Arial" w:hAnsi="Arial" w:cs="Arial"/>
          <w:sz w:val="22"/>
          <w:szCs w:val="22"/>
        </w:rPr>
        <w:t xml:space="preserve">in UE Capability Information message as </w:t>
      </w:r>
      <w:r w:rsidR="00C02FF7">
        <w:rPr>
          <w:rFonts w:ascii="Arial" w:hAnsi="Arial" w:cs="Arial"/>
          <w:sz w:val="22"/>
          <w:szCs w:val="22"/>
        </w:rPr>
        <w:t>defined</w:t>
      </w:r>
      <w:r>
        <w:rPr>
          <w:rFonts w:ascii="Arial" w:hAnsi="Arial" w:cs="Arial"/>
          <w:sz w:val="22"/>
          <w:szCs w:val="22"/>
        </w:rPr>
        <w:t xml:space="preserve"> in [2].</w:t>
      </w:r>
      <w:r w:rsidR="00F30EB3">
        <w:rPr>
          <w:rFonts w:ascii="Arial" w:hAnsi="Arial" w:cs="Arial"/>
          <w:sz w:val="22"/>
          <w:szCs w:val="22"/>
        </w:rPr>
        <w:t xml:space="preserve"> </w:t>
      </w:r>
    </w:p>
    <w:p w14:paraId="3B3752D8" w14:textId="36966A0C" w:rsidR="006E3E6E" w:rsidRDefault="00E23512" w:rsidP="00AD42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F30EB3">
        <w:rPr>
          <w:rFonts w:ascii="Arial" w:hAnsi="Arial" w:cs="Arial"/>
          <w:sz w:val="22"/>
          <w:szCs w:val="22"/>
        </w:rPr>
        <w:t xml:space="preserve"> Transport Block Selection test cases of [1],</w:t>
      </w:r>
      <w:r w:rsidR="006E3E6E">
        <w:rPr>
          <w:rFonts w:ascii="Arial" w:hAnsi="Arial" w:cs="Arial"/>
          <w:sz w:val="22"/>
          <w:szCs w:val="22"/>
        </w:rPr>
        <w:t xml:space="preserve"> t</w:t>
      </w:r>
      <w:r w:rsidR="006E3E6E" w:rsidRPr="006E3E6E">
        <w:rPr>
          <w:rFonts w:ascii="Arial" w:hAnsi="Arial" w:cs="Arial"/>
          <w:sz w:val="22"/>
          <w:szCs w:val="22"/>
        </w:rPr>
        <w:t xml:space="preserve">o enable testing of </w:t>
      </w:r>
      <w:proofErr w:type="spellStart"/>
      <w:r w:rsidR="006E3E6E" w:rsidRPr="006E3E6E">
        <w:rPr>
          <w:rFonts w:ascii="Arial" w:hAnsi="Arial" w:cs="Arial"/>
          <w:sz w:val="22"/>
          <w:szCs w:val="22"/>
        </w:rPr>
        <w:t>nPRB</w:t>
      </w:r>
      <w:proofErr w:type="spellEnd"/>
      <w:r w:rsidR="006E3E6E" w:rsidRPr="006E3E6E">
        <w:rPr>
          <w:rFonts w:ascii="Arial" w:hAnsi="Arial" w:cs="Arial"/>
          <w:sz w:val="22"/>
          <w:szCs w:val="22"/>
        </w:rPr>
        <w:t xml:space="preserve"> up to maximum value</w:t>
      </w:r>
      <w:r w:rsidR="006E3E6E">
        <w:rPr>
          <w:rFonts w:ascii="Arial" w:hAnsi="Arial" w:cs="Arial"/>
          <w:sz w:val="22"/>
          <w:szCs w:val="22"/>
        </w:rPr>
        <w:t xml:space="preserve">, </w:t>
      </w:r>
      <w:r w:rsidR="00F30EB3">
        <w:rPr>
          <w:rFonts w:ascii="Arial" w:hAnsi="Arial" w:cs="Arial"/>
          <w:sz w:val="22"/>
          <w:szCs w:val="22"/>
        </w:rPr>
        <w:t xml:space="preserve">NR cell bandwidth is set to </w:t>
      </w:r>
      <w:r w:rsidR="006E3E6E">
        <w:rPr>
          <w:rFonts w:ascii="Arial" w:hAnsi="Arial" w:cs="Arial"/>
          <w:sz w:val="22"/>
          <w:szCs w:val="22"/>
        </w:rPr>
        <w:t>highest</w:t>
      </w:r>
      <w:r w:rsidR="00F30EB3" w:rsidRPr="00F30EB3">
        <w:rPr>
          <w:rFonts w:ascii="Arial" w:hAnsi="Arial" w:cs="Arial"/>
          <w:sz w:val="22"/>
          <w:szCs w:val="22"/>
        </w:rPr>
        <w:t xml:space="preserve"> </w:t>
      </w:r>
      <w:r w:rsidR="006E3E6E">
        <w:rPr>
          <w:rFonts w:ascii="Arial" w:hAnsi="Arial" w:cs="Arial"/>
          <w:sz w:val="22"/>
          <w:szCs w:val="22"/>
        </w:rPr>
        <w:t xml:space="preserve">value </w:t>
      </w:r>
      <w:r w:rsidR="00F30EB3" w:rsidRPr="00F30EB3">
        <w:rPr>
          <w:rFonts w:ascii="Arial" w:hAnsi="Arial" w:cs="Arial"/>
          <w:sz w:val="22"/>
          <w:szCs w:val="22"/>
        </w:rPr>
        <w:t>for Band under test</w:t>
      </w:r>
      <w:r w:rsidR="006E3E6E">
        <w:rPr>
          <w:rFonts w:ascii="Arial" w:hAnsi="Arial" w:cs="Arial"/>
          <w:sz w:val="22"/>
          <w:szCs w:val="22"/>
        </w:rPr>
        <w:t xml:space="preserve"> as specified </w:t>
      </w:r>
      <w:r w:rsidR="00F30EB3">
        <w:rPr>
          <w:rFonts w:ascii="Arial" w:hAnsi="Arial" w:cs="Arial"/>
          <w:sz w:val="22"/>
          <w:szCs w:val="22"/>
        </w:rPr>
        <w:t xml:space="preserve">in </w:t>
      </w:r>
      <w:r w:rsidR="00F30EB3" w:rsidRPr="00F30EB3">
        <w:rPr>
          <w:rFonts w:ascii="Arial" w:hAnsi="Arial" w:cs="Arial"/>
          <w:sz w:val="22"/>
          <w:szCs w:val="22"/>
        </w:rPr>
        <w:t>Table 5.3.5-1</w:t>
      </w:r>
      <w:r w:rsidR="00F30EB3">
        <w:rPr>
          <w:rFonts w:ascii="Arial" w:hAnsi="Arial" w:cs="Arial"/>
          <w:sz w:val="22"/>
          <w:szCs w:val="22"/>
        </w:rPr>
        <w:t xml:space="preserve"> of [3]</w:t>
      </w:r>
      <w:r>
        <w:rPr>
          <w:rFonts w:ascii="Arial" w:hAnsi="Arial" w:cs="Arial"/>
          <w:sz w:val="22"/>
          <w:szCs w:val="22"/>
        </w:rPr>
        <w:t>. These</w:t>
      </w:r>
      <w:r w:rsidR="006E3E6E">
        <w:rPr>
          <w:rFonts w:ascii="Arial" w:hAnsi="Arial" w:cs="Arial"/>
          <w:sz w:val="22"/>
          <w:szCs w:val="22"/>
        </w:rPr>
        <w:t xml:space="preserve"> test cases </w:t>
      </w:r>
      <w:r>
        <w:rPr>
          <w:rFonts w:ascii="Arial" w:hAnsi="Arial" w:cs="Arial"/>
          <w:sz w:val="22"/>
          <w:szCs w:val="22"/>
        </w:rPr>
        <w:t>fail</w:t>
      </w:r>
      <w:r w:rsidR="006E3E6E">
        <w:rPr>
          <w:rFonts w:ascii="Arial" w:hAnsi="Arial" w:cs="Arial"/>
          <w:sz w:val="22"/>
          <w:szCs w:val="22"/>
        </w:rPr>
        <w:t>, when executed on a UE which does not support highest channel bandwidth.</w:t>
      </w:r>
    </w:p>
    <w:p w14:paraId="7D5F00A9" w14:textId="296ABD0C" w:rsidR="00EA4F70" w:rsidRDefault="00EA4F70" w:rsidP="00EA4F70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[</w:t>
      </w:r>
      <w:r w:rsidR="00C02FF7">
        <w:rPr>
          <w:rFonts w:cs="Arial"/>
          <w:sz w:val="22"/>
          <w:szCs w:val="22"/>
        </w:rPr>
        <w:t>[2]</w:t>
      </w:r>
      <w:r>
        <w:rPr>
          <w:rFonts w:cs="Arial"/>
          <w:sz w:val="22"/>
          <w:szCs w:val="22"/>
        </w:rPr>
        <w:t>, cl 4.2.7.2]</w:t>
      </w:r>
    </w:p>
    <w:p w14:paraId="3DFFE481" w14:textId="77777777" w:rsidR="00EA4F70" w:rsidRPr="00F11278" w:rsidRDefault="00EA4F70" w:rsidP="00EA4F70">
      <w:pPr>
        <w:pStyle w:val="TAL"/>
        <w:rPr>
          <w:b/>
          <w:i/>
        </w:rPr>
      </w:pPr>
      <w:proofErr w:type="spellStart"/>
      <w:r w:rsidRPr="00F11278">
        <w:rPr>
          <w:b/>
          <w:i/>
        </w:rPr>
        <w:t>channelBWs</w:t>
      </w:r>
      <w:proofErr w:type="spellEnd"/>
      <w:r w:rsidRPr="00F11278">
        <w:rPr>
          <w:b/>
          <w:i/>
        </w:rPr>
        <w:t>-DL</w:t>
      </w:r>
    </w:p>
    <w:p w14:paraId="1CEDF2D2" w14:textId="77777777" w:rsidR="00EA4F70" w:rsidRPr="00EA4F70" w:rsidRDefault="00EA4F70" w:rsidP="00EA4F70">
      <w:r w:rsidRPr="00F11278">
        <w:t xml:space="preserve">Indicates for each subcarrier spacing the UE </w:t>
      </w:r>
      <w:bookmarkStart w:id="0" w:name="_Hlk63354181"/>
      <w:r w:rsidRPr="00F11278">
        <w:t>supported channel bandwidths</w:t>
      </w:r>
      <w:bookmarkEnd w:id="0"/>
      <w:r w:rsidRPr="00F11278">
        <w:t>.</w:t>
      </w:r>
      <w:r w:rsidRPr="00F11278">
        <w:br/>
        <w:t xml:space="preserve">Absence of the </w:t>
      </w:r>
      <w:proofErr w:type="spellStart"/>
      <w:r w:rsidRPr="00F11278">
        <w:rPr>
          <w:i/>
        </w:rPr>
        <w:t>channelBWs</w:t>
      </w:r>
      <w:proofErr w:type="spellEnd"/>
      <w:r w:rsidRPr="00F11278">
        <w:rPr>
          <w:i/>
        </w:rPr>
        <w:t>-DL</w:t>
      </w:r>
      <w:r w:rsidRPr="00F11278">
        <w:t xml:space="preserve"> (without suffix) for a band or absence of specific </w:t>
      </w:r>
      <w:proofErr w:type="spellStart"/>
      <w:r w:rsidRPr="00F11278">
        <w:t>scs-XXkHz</w:t>
      </w:r>
      <w:proofErr w:type="spellEnd"/>
      <w:r w:rsidRPr="00F11278">
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353CE4B8" w14:textId="71D41CA0" w:rsidR="00EA4F70" w:rsidRDefault="00EA4F70" w:rsidP="00EA4F70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</w:t>
      </w:r>
    </w:p>
    <w:p w14:paraId="50673B6F" w14:textId="77777777" w:rsidR="00EA4F70" w:rsidRPr="00F11278" w:rsidRDefault="00EA4F70" w:rsidP="00EA4F70">
      <w:pPr>
        <w:pStyle w:val="TAL"/>
        <w:rPr>
          <w:b/>
          <w:i/>
        </w:rPr>
      </w:pPr>
      <w:proofErr w:type="spellStart"/>
      <w:r w:rsidRPr="00F11278">
        <w:rPr>
          <w:b/>
          <w:i/>
        </w:rPr>
        <w:t>channelBWs</w:t>
      </w:r>
      <w:proofErr w:type="spellEnd"/>
      <w:r w:rsidRPr="00F11278">
        <w:rPr>
          <w:b/>
          <w:i/>
        </w:rPr>
        <w:t>-UL</w:t>
      </w:r>
    </w:p>
    <w:p w14:paraId="235FFD26" w14:textId="77777777" w:rsidR="00EA4F70" w:rsidRPr="00F11278" w:rsidRDefault="00EA4F70" w:rsidP="00EA4F70">
      <w:pPr>
        <w:pStyle w:val="TAL"/>
      </w:pPr>
      <w:r w:rsidRPr="00F11278">
        <w:t>Indicates for each subcarrier spacing the UE supported channel bandwidths.</w:t>
      </w:r>
    </w:p>
    <w:p w14:paraId="715B2354" w14:textId="1565C24F" w:rsidR="00EA4F70" w:rsidRDefault="00EA4F70" w:rsidP="00EA4F70">
      <w:r w:rsidRPr="00F11278">
        <w:t xml:space="preserve">Absence of the </w:t>
      </w:r>
      <w:proofErr w:type="spellStart"/>
      <w:r w:rsidRPr="00F11278">
        <w:rPr>
          <w:i/>
        </w:rPr>
        <w:t>channelBWs</w:t>
      </w:r>
      <w:proofErr w:type="spellEnd"/>
      <w:r w:rsidRPr="00F11278">
        <w:rPr>
          <w:i/>
        </w:rPr>
        <w:t xml:space="preserve">-UL </w:t>
      </w:r>
      <w:r w:rsidRPr="00F11278">
        <w:t xml:space="preserve">(without suffix) for a band or absence of specific </w:t>
      </w:r>
      <w:proofErr w:type="spellStart"/>
      <w:r w:rsidRPr="00F11278">
        <w:t>scs-XXkHz</w:t>
      </w:r>
      <w:proofErr w:type="spellEnd"/>
      <w:r w:rsidRPr="00F11278">
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464D9958" w14:textId="24177235" w:rsidR="00C5249E" w:rsidRPr="00C5249E" w:rsidRDefault="00C5249E" w:rsidP="00C5249E">
      <w:pPr>
        <w:pStyle w:val="Heading2"/>
        <w:rPr>
          <w:rFonts w:cs="Arial"/>
          <w:sz w:val="22"/>
          <w:szCs w:val="22"/>
          <w:highlight w:val="yellow"/>
        </w:rPr>
      </w:pPr>
      <w:r w:rsidRPr="00C5249E">
        <w:rPr>
          <w:rFonts w:cs="Arial"/>
          <w:sz w:val="22"/>
          <w:szCs w:val="22"/>
          <w:highlight w:val="yellow"/>
        </w:rPr>
        <w:t>[[2], cl 4.2.7.</w:t>
      </w:r>
      <w:r w:rsidRPr="00C5249E">
        <w:rPr>
          <w:rFonts w:cs="Arial"/>
          <w:sz w:val="22"/>
          <w:szCs w:val="22"/>
          <w:highlight w:val="yellow"/>
        </w:rPr>
        <w:t>6</w:t>
      </w:r>
      <w:r w:rsidRPr="00C5249E">
        <w:rPr>
          <w:rFonts w:cs="Arial"/>
          <w:sz w:val="22"/>
          <w:szCs w:val="22"/>
          <w:highlight w:val="yellow"/>
        </w:rPr>
        <w:t>]</w:t>
      </w:r>
    </w:p>
    <w:p w14:paraId="4BA0CAF6" w14:textId="77777777" w:rsidR="00C5249E" w:rsidRPr="00C5249E" w:rsidRDefault="00C5249E" w:rsidP="00C5249E">
      <w:pPr>
        <w:pStyle w:val="TAL"/>
        <w:rPr>
          <w:b/>
          <w:i/>
          <w:highlight w:val="yellow"/>
        </w:rPr>
      </w:pPr>
      <w:proofErr w:type="spellStart"/>
      <w:r w:rsidRPr="00C5249E">
        <w:rPr>
          <w:b/>
          <w:i/>
          <w:highlight w:val="yellow"/>
        </w:rPr>
        <w:t>supportedBandwidthDL</w:t>
      </w:r>
      <w:proofErr w:type="spellEnd"/>
    </w:p>
    <w:p w14:paraId="70C122B4" w14:textId="7915FF27" w:rsidR="00C5249E" w:rsidRPr="00C5249E" w:rsidRDefault="00C5249E" w:rsidP="00C5249E">
      <w:pPr>
        <w:rPr>
          <w:highlight w:val="yellow"/>
        </w:rPr>
      </w:pPr>
      <w:r w:rsidRPr="00C5249E">
        <w:rPr>
          <w:highlight w:val="yellow"/>
        </w:rPr>
        <w:t>Indicates maximum DL channel bandwidth supported for a given SCS that UE</w:t>
      </w:r>
      <w:r w:rsidRPr="00C5249E">
        <w:rPr>
          <w:highlight w:val="yellow"/>
        </w:rPr>
        <w:t xml:space="preserve"> </w:t>
      </w:r>
      <w:r w:rsidRPr="00C5249E">
        <w:rPr>
          <w:highlight w:val="yellow"/>
        </w:rPr>
        <w:t>supports within a single CC (and in case of intra-frequency DAPS handover for the</w:t>
      </w:r>
      <w:r w:rsidRPr="00C5249E">
        <w:rPr>
          <w:highlight w:val="yellow"/>
        </w:rPr>
        <w:t xml:space="preserve"> </w:t>
      </w:r>
      <w:r w:rsidRPr="00C5249E">
        <w:rPr>
          <w:highlight w:val="yellow"/>
        </w:rPr>
        <w:t>source and target cells), which is defined in Table 5.3.5-1 in TS 38.101-1 [2] for FR1</w:t>
      </w:r>
      <w:r w:rsidRPr="00C5249E">
        <w:rPr>
          <w:highlight w:val="yellow"/>
        </w:rPr>
        <w:t xml:space="preserve"> </w:t>
      </w:r>
      <w:r w:rsidRPr="00C5249E">
        <w:rPr>
          <w:highlight w:val="yellow"/>
        </w:rPr>
        <w:t>and Table 5.3.5-1 in TS 38.101-2 [3] for FR2.</w:t>
      </w:r>
    </w:p>
    <w:p w14:paraId="7BDC1CE6" w14:textId="75A23268" w:rsidR="00C5249E" w:rsidRDefault="00C5249E" w:rsidP="00EA4F70">
      <w:r w:rsidRPr="00C5249E">
        <w:rPr>
          <w:highlight w:val="yellow"/>
        </w:rPr>
        <w:t>For FR1, all the bandwidths listed in TS38.101-1 Table 5.3.5-1 for each band shall</w:t>
      </w:r>
      <w:r w:rsidRPr="00C5249E">
        <w:rPr>
          <w:highlight w:val="yellow"/>
        </w:rPr>
        <w:t xml:space="preserve"> </w:t>
      </w:r>
      <w:r w:rsidRPr="00C5249E">
        <w:rPr>
          <w:highlight w:val="yellow"/>
        </w:rPr>
        <w:t>be mandatory with a single CC unless indicated optional. For FR2, the set of</w:t>
      </w:r>
      <w:r w:rsidRPr="00C5249E">
        <w:rPr>
          <w:highlight w:val="yellow"/>
        </w:rPr>
        <w:t xml:space="preserve"> </w:t>
      </w:r>
      <w:r w:rsidRPr="00C5249E">
        <w:rPr>
          <w:highlight w:val="yellow"/>
        </w:rPr>
        <w:t xml:space="preserve">mandatory CBW is 50, 100, 200 </w:t>
      </w:r>
      <w:proofErr w:type="spellStart"/>
      <w:r w:rsidRPr="00C5249E">
        <w:rPr>
          <w:highlight w:val="yellow"/>
        </w:rPr>
        <w:t>MHz.</w:t>
      </w:r>
      <w:proofErr w:type="spellEnd"/>
      <w:r w:rsidRPr="00C5249E">
        <w:rPr>
          <w:highlight w:val="yellow"/>
        </w:rPr>
        <w:t xml:space="preserve"> When this field is included in a band</w:t>
      </w:r>
      <w:r w:rsidRPr="00C5249E">
        <w:rPr>
          <w:highlight w:val="yellow"/>
        </w:rPr>
        <w:t xml:space="preserve"> </w:t>
      </w:r>
      <w:r w:rsidRPr="00C5249E">
        <w:rPr>
          <w:highlight w:val="yellow"/>
        </w:rPr>
        <w:t>combination with a single band entry and a single CC entry (i.e. non-CA band</w:t>
      </w:r>
      <w:r w:rsidRPr="00C5249E">
        <w:rPr>
          <w:highlight w:val="yellow"/>
        </w:rPr>
        <w:t xml:space="preserve"> </w:t>
      </w:r>
      <w:r w:rsidRPr="00C5249E">
        <w:rPr>
          <w:highlight w:val="yellow"/>
        </w:rPr>
        <w:t>combination), the UE shall indicate the maximum channel bandwidth for the band</w:t>
      </w:r>
      <w:r w:rsidRPr="00C5249E">
        <w:rPr>
          <w:highlight w:val="yellow"/>
        </w:rPr>
        <w:t xml:space="preserve"> </w:t>
      </w:r>
      <w:r w:rsidRPr="00C5249E">
        <w:rPr>
          <w:highlight w:val="yellow"/>
        </w:rPr>
        <w:t>according to TS 38.101-1 [2] and TS 38.101-2 [3].</w:t>
      </w:r>
    </w:p>
    <w:p w14:paraId="6A74A681" w14:textId="1C83D68A" w:rsidR="00C5249E" w:rsidRDefault="00C5249E" w:rsidP="003B063F">
      <w:pPr>
        <w:pStyle w:val="TAL"/>
      </w:pPr>
      <w:proofErr w:type="spellStart"/>
      <w:r w:rsidRPr="00C5249E">
        <w:rPr>
          <w:b/>
          <w:i/>
          <w:highlight w:val="yellow"/>
        </w:rPr>
        <w:t>supportedBandwidthDL</w:t>
      </w:r>
      <w:proofErr w:type="spellEnd"/>
      <w:r>
        <w:rPr>
          <w:b/>
          <w:i/>
          <w:highlight w:val="yellow"/>
        </w:rPr>
        <w:t xml:space="preserve"> </w:t>
      </w:r>
      <w:r w:rsidRPr="00C5249E">
        <w:rPr>
          <w:bCs/>
          <w:iCs/>
          <w:highlight w:val="yellow"/>
        </w:rPr>
        <w:t>IE s</w:t>
      </w:r>
      <w:r>
        <w:rPr>
          <w:bCs/>
          <w:iCs/>
          <w:highlight w:val="yellow"/>
        </w:rPr>
        <w:t>pecifies UE shall indicate the maximum channel bandwidth for the band according to TS 38.101-</w:t>
      </w:r>
      <w:r w:rsidRPr="003B063F">
        <w:rPr>
          <w:bCs/>
          <w:iCs/>
          <w:highlight w:val="yellow"/>
        </w:rPr>
        <w:t xml:space="preserve">1 [2] and TS 38.101-2 [3], but </w:t>
      </w:r>
      <w:r w:rsidR="003B063F">
        <w:rPr>
          <w:bCs/>
          <w:iCs/>
          <w:highlight w:val="yellow"/>
        </w:rPr>
        <w:t>bitmap</w:t>
      </w:r>
      <w:r w:rsidRPr="003B063F">
        <w:rPr>
          <w:bCs/>
          <w:iCs/>
          <w:highlight w:val="yellow"/>
        </w:rPr>
        <w:t xml:space="preserve"> in </w:t>
      </w:r>
      <w:proofErr w:type="spellStart"/>
      <w:r w:rsidRPr="003B063F">
        <w:rPr>
          <w:b/>
          <w:i/>
          <w:highlight w:val="yellow"/>
        </w:rPr>
        <w:t>channelBWs</w:t>
      </w:r>
      <w:proofErr w:type="spellEnd"/>
      <w:r w:rsidRPr="003B063F">
        <w:rPr>
          <w:b/>
          <w:i/>
          <w:highlight w:val="yellow"/>
        </w:rPr>
        <w:t xml:space="preserve"> </w:t>
      </w:r>
      <w:r w:rsidRPr="003B063F">
        <w:rPr>
          <w:bCs/>
          <w:iCs/>
          <w:highlight w:val="yellow"/>
        </w:rPr>
        <w:t>IE</w:t>
      </w:r>
      <w:r w:rsidR="003B063F">
        <w:rPr>
          <w:bCs/>
          <w:iCs/>
          <w:highlight w:val="yellow"/>
        </w:rPr>
        <w:t xml:space="preserve"> allows</w:t>
      </w:r>
      <w:r w:rsidR="003B063F" w:rsidRPr="003B063F">
        <w:rPr>
          <w:bCs/>
          <w:iCs/>
          <w:highlight w:val="yellow"/>
        </w:rPr>
        <w:t xml:space="preserve"> UE </w:t>
      </w:r>
      <w:r w:rsidRPr="003B063F">
        <w:rPr>
          <w:bCs/>
          <w:iCs/>
          <w:highlight w:val="yellow"/>
        </w:rPr>
        <w:t xml:space="preserve">to indicate support of all the lower </w:t>
      </w:r>
      <w:r w:rsidR="003B063F" w:rsidRPr="003B063F">
        <w:rPr>
          <w:bCs/>
          <w:iCs/>
          <w:highlight w:val="yellow"/>
        </w:rPr>
        <w:t>bandwidths as well.</w:t>
      </w:r>
    </w:p>
    <w:p w14:paraId="3E7AE889" w14:textId="3B61E28C" w:rsidR="002A3EF3" w:rsidRPr="00FA2FB0" w:rsidRDefault="00D54BCA" w:rsidP="00EA4F70">
      <w:pPr>
        <w:pStyle w:val="Heading2"/>
      </w:pPr>
      <w:r>
        <w:t xml:space="preserve">3.  </w:t>
      </w:r>
      <w:r w:rsidR="002A3EF3">
        <w:t xml:space="preserve"> </w:t>
      </w:r>
      <w:r w:rsidR="00FA2FB0">
        <w:t>Summary</w:t>
      </w:r>
    </w:p>
    <w:p w14:paraId="0C37965B" w14:textId="61B9C189" w:rsidR="00FA2FB0" w:rsidRPr="0045501F" w:rsidRDefault="007E1FFF" w:rsidP="0045501F">
      <w:pPr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 xml:space="preserve">Based on </w:t>
      </w:r>
      <w:r w:rsidR="00286F51">
        <w:rPr>
          <w:rFonts w:ascii="Arial" w:hAnsi="Arial" w:cs="Arial"/>
          <w:sz w:val="22"/>
          <w:szCs w:val="22"/>
        </w:rPr>
        <w:t xml:space="preserve">the discussion in </w:t>
      </w:r>
      <w:r w:rsidRPr="0045501F">
        <w:rPr>
          <w:rFonts w:ascii="Arial" w:hAnsi="Arial" w:cs="Arial"/>
          <w:sz w:val="22"/>
          <w:szCs w:val="22"/>
        </w:rPr>
        <w:t xml:space="preserve">section 2, </w:t>
      </w:r>
      <w:r w:rsidR="00F44661">
        <w:rPr>
          <w:rFonts w:ascii="Arial" w:hAnsi="Arial" w:cs="Arial"/>
          <w:sz w:val="22"/>
          <w:szCs w:val="22"/>
        </w:rPr>
        <w:t>impacted</w:t>
      </w:r>
      <w:r w:rsidR="005E0161">
        <w:rPr>
          <w:rFonts w:ascii="Arial" w:hAnsi="Arial" w:cs="Arial"/>
          <w:sz w:val="22"/>
          <w:szCs w:val="22"/>
        </w:rPr>
        <w:t xml:space="preserve"> testcases of [</w:t>
      </w:r>
      <w:r w:rsidR="00295F4F">
        <w:rPr>
          <w:rFonts w:ascii="Arial" w:hAnsi="Arial" w:cs="Arial"/>
          <w:sz w:val="22"/>
          <w:szCs w:val="22"/>
        </w:rPr>
        <w:t>1</w:t>
      </w:r>
      <w:r w:rsidR="005E0161">
        <w:rPr>
          <w:rFonts w:ascii="Arial" w:hAnsi="Arial" w:cs="Arial"/>
          <w:sz w:val="22"/>
          <w:szCs w:val="22"/>
        </w:rPr>
        <w:t>]</w:t>
      </w:r>
      <w:r w:rsidR="007D7D49">
        <w:rPr>
          <w:rFonts w:ascii="Arial" w:hAnsi="Arial" w:cs="Arial"/>
          <w:sz w:val="22"/>
          <w:szCs w:val="22"/>
        </w:rPr>
        <w:t xml:space="preserve"> needs to be </w:t>
      </w:r>
      <w:r w:rsidR="00E23512">
        <w:rPr>
          <w:rFonts w:ascii="Arial" w:hAnsi="Arial" w:cs="Arial"/>
          <w:sz w:val="22"/>
          <w:szCs w:val="22"/>
        </w:rPr>
        <w:t>updated</w:t>
      </w:r>
      <w:r w:rsidR="00295F4F">
        <w:rPr>
          <w:rFonts w:ascii="Arial" w:hAnsi="Arial" w:cs="Arial"/>
          <w:sz w:val="22"/>
          <w:szCs w:val="22"/>
        </w:rPr>
        <w:t xml:space="preserve"> to </w:t>
      </w:r>
      <w:r w:rsidR="00E23512">
        <w:rPr>
          <w:rFonts w:ascii="Arial" w:hAnsi="Arial" w:cs="Arial"/>
          <w:sz w:val="22"/>
          <w:szCs w:val="22"/>
        </w:rPr>
        <w:t>en</w:t>
      </w:r>
      <w:r w:rsidR="00295F4F">
        <w:rPr>
          <w:rFonts w:ascii="Arial" w:hAnsi="Arial" w:cs="Arial"/>
          <w:sz w:val="22"/>
          <w:szCs w:val="22"/>
        </w:rPr>
        <w:t xml:space="preserve">sure </w:t>
      </w:r>
      <w:r w:rsidR="00E23512">
        <w:rPr>
          <w:rFonts w:ascii="Arial" w:hAnsi="Arial" w:cs="Arial"/>
          <w:sz w:val="22"/>
          <w:szCs w:val="22"/>
        </w:rPr>
        <w:t xml:space="preserve">that </w:t>
      </w:r>
      <w:r w:rsidR="000113E6">
        <w:rPr>
          <w:rFonts w:ascii="Arial" w:hAnsi="Arial" w:cs="Arial"/>
          <w:sz w:val="22"/>
          <w:szCs w:val="22"/>
        </w:rPr>
        <w:t xml:space="preserve">UE’s </w:t>
      </w:r>
      <w:r w:rsidR="00E23512">
        <w:rPr>
          <w:rFonts w:ascii="Arial" w:hAnsi="Arial" w:cs="Arial"/>
          <w:sz w:val="22"/>
          <w:szCs w:val="22"/>
        </w:rPr>
        <w:t>supported highest channel bandwidth is configured instead of maximum value defined in [3].</w:t>
      </w:r>
    </w:p>
    <w:p w14:paraId="4B8FD895" w14:textId="77777777" w:rsidR="00D5275B" w:rsidRDefault="00D5275B" w:rsidP="00D5275B">
      <w:pPr>
        <w:pStyle w:val="Heading2"/>
      </w:pPr>
      <w:r>
        <w:lastRenderedPageBreak/>
        <w:t xml:space="preserve">4.   </w:t>
      </w:r>
      <w:r w:rsidR="007E1FFF">
        <w:t>Proposal</w:t>
      </w:r>
    </w:p>
    <w:p w14:paraId="68749675" w14:textId="1F07BE48" w:rsidR="008E53A9" w:rsidRDefault="008E53A9" w:rsidP="008E53A9">
      <w:pPr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>Proposal</w:t>
      </w:r>
      <w:r>
        <w:rPr>
          <w:rFonts w:ascii="Arial" w:hAnsi="Arial" w:cs="Arial"/>
          <w:sz w:val="22"/>
          <w:szCs w:val="22"/>
        </w:rPr>
        <w:t xml:space="preserve"> </w:t>
      </w:r>
      <w:r w:rsidRPr="0045501F">
        <w:rPr>
          <w:rFonts w:ascii="Arial" w:hAnsi="Arial" w:cs="Arial"/>
          <w:sz w:val="22"/>
          <w:szCs w:val="22"/>
        </w:rPr>
        <w:t>#1 –</w:t>
      </w:r>
      <w:r w:rsidR="000113E6">
        <w:rPr>
          <w:rFonts w:ascii="Arial" w:hAnsi="Arial" w:cs="Arial"/>
          <w:sz w:val="22"/>
          <w:szCs w:val="22"/>
        </w:rPr>
        <w:t xml:space="preserve"> For all impacted test cases of [1], configure </w:t>
      </w:r>
      <w:r w:rsidR="000113E6" w:rsidRPr="000113E6">
        <w:rPr>
          <w:rFonts w:ascii="Arial" w:hAnsi="Arial" w:cs="Arial"/>
          <w:sz w:val="22"/>
          <w:szCs w:val="22"/>
        </w:rPr>
        <w:t>NR Cell bandwidth</w:t>
      </w:r>
      <w:r w:rsidR="000113E6">
        <w:rPr>
          <w:rFonts w:ascii="Arial" w:hAnsi="Arial" w:cs="Arial"/>
          <w:sz w:val="22"/>
          <w:szCs w:val="22"/>
        </w:rPr>
        <w:t xml:space="preserve"> to highest channel bandwidth supported by UE</w:t>
      </w:r>
      <w:r w:rsidR="00691584">
        <w:rPr>
          <w:rFonts w:ascii="Arial" w:hAnsi="Arial" w:cs="Arial"/>
          <w:sz w:val="22"/>
          <w:szCs w:val="22"/>
        </w:rPr>
        <w:t xml:space="preserve"> by defining a new PIXIT parameter </w:t>
      </w:r>
      <w:r w:rsidR="00047833">
        <w:rPr>
          <w:rFonts w:ascii="Arial" w:hAnsi="Arial" w:cs="Arial"/>
          <w:sz w:val="22"/>
          <w:szCs w:val="22"/>
        </w:rPr>
        <w:t>with</w:t>
      </w:r>
      <w:r w:rsidR="00691584">
        <w:rPr>
          <w:rFonts w:ascii="Arial" w:hAnsi="Arial" w:cs="Arial"/>
          <w:sz w:val="22"/>
          <w:szCs w:val="22"/>
        </w:rPr>
        <w:t xml:space="preserve"> highest channel bandwidth for band under test.</w:t>
      </w:r>
    </w:p>
    <w:p w14:paraId="376A94FD" w14:textId="1FA2C6D3" w:rsidR="00691584" w:rsidRPr="005E0161" w:rsidRDefault="00691584" w:rsidP="008E53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Proposal #2 – Configure highest channel bandwidth for band under test based on </w:t>
      </w:r>
      <w:proofErr w:type="spellStart"/>
      <w:r w:rsidR="003B063F" w:rsidRPr="003B063F">
        <w:rPr>
          <w:rFonts w:ascii="Arial" w:hAnsi="Arial" w:cs="Arial"/>
          <w:sz w:val="22"/>
          <w:szCs w:val="22"/>
          <w:highlight w:val="yellow"/>
        </w:rPr>
        <w:t>channelBWs</w:t>
      </w:r>
      <w:proofErr w:type="spellEnd"/>
      <w:r w:rsidR="003B063F" w:rsidRPr="003B063F">
        <w:rPr>
          <w:rFonts w:ascii="Arial" w:hAnsi="Arial" w:cs="Arial"/>
          <w:sz w:val="22"/>
          <w:szCs w:val="22"/>
          <w:highlight w:val="yellow"/>
        </w:rPr>
        <w:t>-DL</w:t>
      </w:r>
      <w:r w:rsidR="003B063F" w:rsidRPr="003B063F">
        <w:rPr>
          <w:rFonts w:ascii="Arial" w:hAnsi="Arial" w:cs="Arial"/>
          <w:sz w:val="22"/>
          <w:szCs w:val="22"/>
          <w:highlight w:val="yellow"/>
        </w:rPr>
        <w:t xml:space="preserve"> IE of</w:t>
      </w:r>
      <w:r w:rsidR="003B063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received UE Capability Information message from UE.</w:t>
      </w:r>
    </w:p>
    <w:p w14:paraId="790B5539" w14:textId="77777777" w:rsidR="00BA2509" w:rsidRDefault="00BA2509" w:rsidP="00BA2509">
      <w:pPr>
        <w:pStyle w:val="Heading2"/>
      </w:pPr>
      <w:r>
        <w:t>5.</w:t>
      </w:r>
      <w:r>
        <w:tab/>
        <w:t>References</w:t>
      </w:r>
    </w:p>
    <w:p w14:paraId="42D15F79" w14:textId="74232F26" w:rsidR="00295F4F" w:rsidRDefault="00585A9A" w:rsidP="007B4539">
      <w:pPr>
        <w:pStyle w:val="Heading2"/>
        <w:rPr>
          <w:rFonts w:cs="Arial"/>
          <w:sz w:val="20"/>
        </w:rPr>
      </w:pPr>
      <w:r w:rsidRPr="00585A9A">
        <w:rPr>
          <w:rFonts w:cs="Arial"/>
          <w:sz w:val="20"/>
        </w:rPr>
        <w:t>[1]</w:t>
      </w:r>
      <w:r w:rsidRPr="00585A9A">
        <w:rPr>
          <w:rFonts w:cs="Arial"/>
          <w:sz w:val="20"/>
        </w:rPr>
        <w:tab/>
      </w:r>
      <w:r w:rsidR="00295F4F" w:rsidRPr="00206824">
        <w:rPr>
          <w:rFonts w:cs="Arial"/>
          <w:sz w:val="20"/>
        </w:rPr>
        <w:t>TS 3</w:t>
      </w:r>
      <w:r w:rsidR="00295F4F">
        <w:rPr>
          <w:rFonts w:cs="Arial"/>
          <w:sz w:val="20"/>
        </w:rPr>
        <w:t>8</w:t>
      </w:r>
      <w:r w:rsidR="00295F4F" w:rsidRPr="00206824">
        <w:rPr>
          <w:rFonts w:cs="Arial"/>
          <w:sz w:val="20"/>
        </w:rPr>
        <w:t xml:space="preserve">.523-1: </w:t>
      </w:r>
      <w:r w:rsidR="00295F4F" w:rsidRPr="007B4539">
        <w:rPr>
          <w:rFonts w:cs="Arial"/>
          <w:sz w:val="20"/>
        </w:rPr>
        <w:t>3rd Generation Partnership Project;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Technical Specification Group Radio Access Network;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5GS;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User Equipment (UE) conformance specification;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Part 1: Protocol</w:t>
      </w:r>
      <w:r w:rsidR="00295F4F" w:rsidRPr="00206824">
        <w:rPr>
          <w:rFonts w:cs="Arial"/>
          <w:sz w:val="20"/>
        </w:rPr>
        <w:t xml:space="preserve"> </w:t>
      </w:r>
    </w:p>
    <w:p w14:paraId="04D4C649" w14:textId="3E3DA0CF" w:rsidR="007649A0" w:rsidRPr="007649A0" w:rsidRDefault="007649A0" w:rsidP="007649A0">
      <w:pPr>
        <w:ind w:left="1134" w:hanging="1134"/>
        <w:rPr>
          <w:rFonts w:ascii="Arial" w:hAnsi="Arial" w:cs="Arial"/>
        </w:rPr>
      </w:pPr>
      <w:r w:rsidRPr="007649A0">
        <w:rPr>
          <w:rFonts w:ascii="Arial" w:hAnsi="Arial" w:cs="Arial"/>
        </w:rPr>
        <w:t>[2]</w:t>
      </w:r>
      <w:r>
        <w:rPr>
          <w:rFonts w:ascii="Arial" w:hAnsi="Arial" w:cs="Arial"/>
        </w:rPr>
        <w:tab/>
        <w:t xml:space="preserve"> TS 3</w:t>
      </w:r>
      <w:r w:rsidR="00850F5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.306: </w:t>
      </w:r>
      <w:r w:rsidRPr="007649A0">
        <w:rPr>
          <w:rFonts w:ascii="Arial" w:hAnsi="Arial" w:cs="Arial"/>
        </w:rPr>
        <w:t>3rd Generation Partnership Project;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Technical Specification Group Radio Access Network;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NR;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User Equipment (UE) radio access capabilities</w:t>
      </w:r>
    </w:p>
    <w:p w14:paraId="7058CFF1" w14:textId="5DF5162D" w:rsidR="00C05508" w:rsidRPr="00F44661" w:rsidRDefault="00206824" w:rsidP="00F44661">
      <w:pPr>
        <w:pStyle w:val="Heading2"/>
        <w:rPr>
          <w:rFonts w:cs="Arial"/>
          <w:sz w:val="20"/>
        </w:rPr>
      </w:pPr>
      <w:r w:rsidRPr="00206824">
        <w:rPr>
          <w:rFonts w:cs="Arial"/>
          <w:sz w:val="20"/>
        </w:rPr>
        <w:t>[</w:t>
      </w:r>
      <w:r w:rsidR="006117F4">
        <w:rPr>
          <w:rFonts w:cs="Arial"/>
          <w:sz w:val="20"/>
        </w:rPr>
        <w:t>3</w:t>
      </w:r>
      <w:r w:rsidRPr="00206824">
        <w:rPr>
          <w:rFonts w:cs="Arial"/>
          <w:sz w:val="20"/>
        </w:rPr>
        <w:t>]</w:t>
      </w:r>
      <w:r w:rsidRPr="00206824">
        <w:rPr>
          <w:rFonts w:cs="Arial"/>
          <w:sz w:val="20"/>
        </w:rPr>
        <w:tab/>
      </w:r>
      <w:r w:rsidR="00295F4F" w:rsidRPr="00295F4F">
        <w:rPr>
          <w:rFonts w:cs="Arial"/>
          <w:sz w:val="20"/>
        </w:rPr>
        <w:t>TS 38.</w:t>
      </w:r>
      <w:r w:rsidR="006117F4">
        <w:rPr>
          <w:rFonts w:cs="Arial"/>
          <w:sz w:val="20"/>
        </w:rPr>
        <w:t>101</w:t>
      </w:r>
      <w:r w:rsidR="00295F4F" w:rsidRPr="00295F4F">
        <w:rPr>
          <w:rFonts w:cs="Arial"/>
          <w:sz w:val="20"/>
        </w:rPr>
        <w:t xml:space="preserve">-1: </w:t>
      </w:r>
      <w:r w:rsidR="006117F4" w:rsidRPr="006117F4">
        <w:rPr>
          <w:rFonts w:cs="Arial"/>
          <w:sz w:val="20"/>
        </w:rPr>
        <w:t>3rd Generation Partnership Project;</w:t>
      </w:r>
      <w:r w:rsidR="006117F4">
        <w:rPr>
          <w:rFonts w:cs="Arial"/>
          <w:sz w:val="20"/>
        </w:rPr>
        <w:t xml:space="preserve"> </w:t>
      </w:r>
      <w:r w:rsidR="006117F4" w:rsidRPr="006117F4">
        <w:rPr>
          <w:rFonts w:cs="Arial"/>
          <w:sz w:val="20"/>
        </w:rPr>
        <w:t>Technical Specification Group Radio Access Network;</w:t>
      </w:r>
      <w:r w:rsidR="006117F4">
        <w:rPr>
          <w:rFonts w:cs="Arial"/>
          <w:sz w:val="20"/>
        </w:rPr>
        <w:t xml:space="preserve"> </w:t>
      </w:r>
      <w:r w:rsidR="006117F4" w:rsidRPr="006117F4">
        <w:rPr>
          <w:rFonts w:cs="Arial"/>
          <w:sz w:val="20"/>
        </w:rPr>
        <w:t>NR;</w:t>
      </w:r>
      <w:r w:rsidR="006117F4">
        <w:rPr>
          <w:rFonts w:cs="Arial"/>
          <w:sz w:val="20"/>
        </w:rPr>
        <w:t xml:space="preserve"> </w:t>
      </w:r>
      <w:r w:rsidR="006117F4" w:rsidRPr="006117F4">
        <w:rPr>
          <w:rFonts w:cs="Arial"/>
          <w:sz w:val="20"/>
        </w:rPr>
        <w:t>User Equipment (UE) radio transmission and reception</w:t>
      </w:r>
    </w:p>
    <w:sectPr w:rsidR="00C05508" w:rsidRPr="00F44661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8672A" w14:textId="77777777" w:rsidR="00571F9C" w:rsidRDefault="00571F9C" w:rsidP="006233E3">
      <w:pPr>
        <w:spacing w:after="0"/>
      </w:pPr>
      <w:r>
        <w:separator/>
      </w:r>
    </w:p>
  </w:endnote>
  <w:endnote w:type="continuationSeparator" w:id="0">
    <w:p w14:paraId="037F5F6A" w14:textId="77777777" w:rsidR="00571F9C" w:rsidRDefault="00571F9C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C362F" w14:textId="77777777" w:rsidR="00571F9C" w:rsidRDefault="00571F9C" w:rsidP="006233E3">
      <w:pPr>
        <w:spacing w:after="0"/>
      </w:pPr>
      <w:r>
        <w:separator/>
      </w:r>
    </w:p>
  </w:footnote>
  <w:footnote w:type="continuationSeparator" w:id="0">
    <w:p w14:paraId="4BB12A30" w14:textId="77777777" w:rsidR="00571F9C" w:rsidRDefault="00571F9C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6"/>
  </w:num>
  <w:num w:numId="5">
    <w:abstractNumId w:val="35"/>
  </w:num>
  <w:num w:numId="6">
    <w:abstractNumId w:val="41"/>
  </w:num>
  <w:num w:numId="7">
    <w:abstractNumId w:val="18"/>
  </w:num>
  <w:num w:numId="8">
    <w:abstractNumId w:val="45"/>
  </w:num>
  <w:num w:numId="9">
    <w:abstractNumId w:val="40"/>
  </w:num>
  <w:num w:numId="10">
    <w:abstractNumId w:val="32"/>
  </w:num>
  <w:num w:numId="11">
    <w:abstractNumId w:val="15"/>
  </w:num>
  <w:num w:numId="12">
    <w:abstractNumId w:val="38"/>
  </w:num>
  <w:num w:numId="13">
    <w:abstractNumId w:val="26"/>
  </w:num>
  <w:num w:numId="14">
    <w:abstractNumId w:val="33"/>
  </w:num>
  <w:num w:numId="15">
    <w:abstractNumId w:val="30"/>
  </w:num>
  <w:num w:numId="16">
    <w:abstractNumId w:val="47"/>
  </w:num>
  <w:num w:numId="17">
    <w:abstractNumId w:val="22"/>
  </w:num>
  <w:num w:numId="18">
    <w:abstractNumId w:val="17"/>
  </w:num>
  <w:num w:numId="19">
    <w:abstractNumId w:val="21"/>
  </w:num>
  <w:num w:numId="20">
    <w:abstractNumId w:val="46"/>
  </w:num>
  <w:num w:numId="21">
    <w:abstractNumId w:val="10"/>
  </w:num>
  <w:num w:numId="22">
    <w:abstractNumId w:val="28"/>
  </w:num>
  <w:num w:numId="23">
    <w:abstractNumId w:val="31"/>
  </w:num>
  <w:num w:numId="24">
    <w:abstractNumId w:val="43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4"/>
  </w:num>
  <w:num w:numId="46">
    <w:abstractNumId w:val="37"/>
  </w:num>
  <w:num w:numId="47">
    <w:abstractNumId w:val="27"/>
  </w:num>
  <w:num w:numId="48">
    <w:abstractNumId w:val="42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6731"/>
    <w:rsid w:val="000113E6"/>
    <w:rsid w:val="0002516F"/>
    <w:rsid w:val="00032916"/>
    <w:rsid w:val="00040BFB"/>
    <w:rsid w:val="00047833"/>
    <w:rsid w:val="00047EC9"/>
    <w:rsid w:val="00050C7E"/>
    <w:rsid w:val="00060B2E"/>
    <w:rsid w:val="0006192B"/>
    <w:rsid w:val="00062BDE"/>
    <w:rsid w:val="00063DAE"/>
    <w:rsid w:val="0007199E"/>
    <w:rsid w:val="000740E5"/>
    <w:rsid w:val="000812BE"/>
    <w:rsid w:val="000927BB"/>
    <w:rsid w:val="00092EA3"/>
    <w:rsid w:val="000A63FD"/>
    <w:rsid w:val="000B7B98"/>
    <w:rsid w:val="000F1C62"/>
    <w:rsid w:val="00110355"/>
    <w:rsid w:val="00155CB9"/>
    <w:rsid w:val="0016631C"/>
    <w:rsid w:val="001663FA"/>
    <w:rsid w:val="001725D5"/>
    <w:rsid w:val="00177F90"/>
    <w:rsid w:val="00183669"/>
    <w:rsid w:val="001847C4"/>
    <w:rsid w:val="0019731E"/>
    <w:rsid w:val="001B11E5"/>
    <w:rsid w:val="001B4664"/>
    <w:rsid w:val="001C13A0"/>
    <w:rsid w:val="001C68A8"/>
    <w:rsid w:val="001F54F0"/>
    <w:rsid w:val="002067A2"/>
    <w:rsid w:val="00206824"/>
    <w:rsid w:val="002220BE"/>
    <w:rsid w:val="00222D4E"/>
    <w:rsid w:val="00224E0E"/>
    <w:rsid w:val="0023332B"/>
    <w:rsid w:val="002376C7"/>
    <w:rsid w:val="00241068"/>
    <w:rsid w:val="002426C9"/>
    <w:rsid w:val="00245B09"/>
    <w:rsid w:val="00257464"/>
    <w:rsid w:val="00260257"/>
    <w:rsid w:val="002703E6"/>
    <w:rsid w:val="00286F51"/>
    <w:rsid w:val="00295F4F"/>
    <w:rsid w:val="002A3EF3"/>
    <w:rsid w:val="002A454D"/>
    <w:rsid w:val="002A550B"/>
    <w:rsid w:val="002B0B46"/>
    <w:rsid w:val="002E78ED"/>
    <w:rsid w:val="002F2D92"/>
    <w:rsid w:val="00306118"/>
    <w:rsid w:val="00307672"/>
    <w:rsid w:val="00307C79"/>
    <w:rsid w:val="0031227B"/>
    <w:rsid w:val="00317B78"/>
    <w:rsid w:val="003204FD"/>
    <w:rsid w:val="0032745B"/>
    <w:rsid w:val="0033176D"/>
    <w:rsid w:val="0034729E"/>
    <w:rsid w:val="003618EF"/>
    <w:rsid w:val="00366FF0"/>
    <w:rsid w:val="00390CA4"/>
    <w:rsid w:val="003A0779"/>
    <w:rsid w:val="003A4A20"/>
    <w:rsid w:val="003B063F"/>
    <w:rsid w:val="003B2230"/>
    <w:rsid w:val="003B7B1F"/>
    <w:rsid w:val="003D1077"/>
    <w:rsid w:val="003D3D9B"/>
    <w:rsid w:val="003E1979"/>
    <w:rsid w:val="003F2E5B"/>
    <w:rsid w:val="00400EC9"/>
    <w:rsid w:val="00402B0B"/>
    <w:rsid w:val="004175FD"/>
    <w:rsid w:val="00417978"/>
    <w:rsid w:val="00417A23"/>
    <w:rsid w:val="0045501F"/>
    <w:rsid w:val="00464BBA"/>
    <w:rsid w:val="00465E70"/>
    <w:rsid w:val="00471C22"/>
    <w:rsid w:val="00472DCE"/>
    <w:rsid w:val="00480565"/>
    <w:rsid w:val="00483290"/>
    <w:rsid w:val="00491850"/>
    <w:rsid w:val="00495131"/>
    <w:rsid w:val="004A36AA"/>
    <w:rsid w:val="004C3321"/>
    <w:rsid w:val="004C5A59"/>
    <w:rsid w:val="004E0C1C"/>
    <w:rsid w:val="004E7F69"/>
    <w:rsid w:val="004F229E"/>
    <w:rsid w:val="004F4099"/>
    <w:rsid w:val="00502D3D"/>
    <w:rsid w:val="00507322"/>
    <w:rsid w:val="0051012B"/>
    <w:rsid w:val="00511D23"/>
    <w:rsid w:val="00512DD9"/>
    <w:rsid w:val="0052615B"/>
    <w:rsid w:val="00535E05"/>
    <w:rsid w:val="00546A47"/>
    <w:rsid w:val="005516C6"/>
    <w:rsid w:val="00556B5B"/>
    <w:rsid w:val="005649EB"/>
    <w:rsid w:val="005715EF"/>
    <w:rsid w:val="00571F9C"/>
    <w:rsid w:val="00585A9A"/>
    <w:rsid w:val="00592411"/>
    <w:rsid w:val="005938A0"/>
    <w:rsid w:val="005A28CB"/>
    <w:rsid w:val="005B0775"/>
    <w:rsid w:val="005B49DF"/>
    <w:rsid w:val="005B5856"/>
    <w:rsid w:val="005E0161"/>
    <w:rsid w:val="005E45D9"/>
    <w:rsid w:val="005F1A09"/>
    <w:rsid w:val="00605857"/>
    <w:rsid w:val="00605B84"/>
    <w:rsid w:val="006117F4"/>
    <w:rsid w:val="006233E3"/>
    <w:rsid w:val="00623F44"/>
    <w:rsid w:val="00626FF2"/>
    <w:rsid w:val="00632A28"/>
    <w:rsid w:val="0063561D"/>
    <w:rsid w:val="00637A31"/>
    <w:rsid w:val="0065721A"/>
    <w:rsid w:val="00661DA0"/>
    <w:rsid w:val="00663291"/>
    <w:rsid w:val="00667FDD"/>
    <w:rsid w:val="00676011"/>
    <w:rsid w:val="00686A9C"/>
    <w:rsid w:val="00691584"/>
    <w:rsid w:val="006936CF"/>
    <w:rsid w:val="006A29D4"/>
    <w:rsid w:val="006A77B8"/>
    <w:rsid w:val="006B144E"/>
    <w:rsid w:val="006C5D7C"/>
    <w:rsid w:val="006D04E8"/>
    <w:rsid w:val="006D4FDD"/>
    <w:rsid w:val="006E352A"/>
    <w:rsid w:val="006E3E6E"/>
    <w:rsid w:val="006E4802"/>
    <w:rsid w:val="006E5768"/>
    <w:rsid w:val="006F1730"/>
    <w:rsid w:val="007124D5"/>
    <w:rsid w:val="007217E4"/>
    <w:rsid w:val="0072688B"/>
    <w:rsid w:val="00743C0F"/>
    <w:rsid w:val="0074558D"/>
    <w:rsid w:val="007564CE"/>
    <w:rsid w:val="00763911"/>
    <w:rsid w:val="007649A0"/>
    <w:rsid w:val="00764F02"/>
    <w:rsid w:val="007653B4"/>
    <w:rsid w:val="0076693A"/>
    <w:rsid w:val="0078612B"/>
    <w:rsid w:val="00792D43"/>
    <w:rsid w:val="007A4A97"/>
    <w:rsid w:val="007A5428"/>
    <w:rsid w:val="007B4539"/>
    <w:rsid w:val="007B7B84"/>
    <w:rsid w:val="007C3D9D"/>
    <w:rsid w:val="007D2267"/>
    <w:rsid w:val="007D61B6"/>
    <w:rsid w:val="007D7D49"/>
    <w:rsid w:val="007E1FFF"/>
    <w:rsid w:val="007E4479"/>
    <w:rsid w:val="007E5808"/>
    <w:rsid w:val="007F56CE"/>
    <w:rsid w:val="00810872"/>
    <w:rsid w:val="008376BB"/>
    <w:rsid w:val="008405E6"/>
    <w:rsid w:val="00850F5E"/>
    <w:rsid w:val="00865B04"/>
    <w:rsid w:val="008736B4"/>
    <w:rsid w:val="00875895"/>
    <w:rsid w:val="0088023E"/>
    <w:rsid w:val="008A2F8C"/>
    <w:rsid w:val="008A75A5"/>
    <w:rsid w:val="008B63AC"/>
    <w:rsid w:val="008C30F0"/>
    <w:rsid w:val="008C4802"/>
    <w:rsid w:val="008C4C4E"/>
    <w:rsid w:val="008C7F77"/>
    <w:rsid w:val="008E53A9"/>
    <w:rsid w:val="008E633B"/>
    <w:rsid w:val="008F088F"/>
    <w:rsid w:val="008F108C"/>
    <w:rsid w:val="009010B6"/>
    <w:rsid w:val="00903147"/>
    <w:rsid w:val="00903B43"/>
    <w:rsid w:val="00905CBB"/>
    <w:rsid w:val="009104C7"/>
    <w:rsid w:val="009163EB"/>
    <w:rsid w:val="00916D09"/>
    <w:rsid w:val="00934606"/>
    <w:rsid w:val="009370B1"/>
    <w:rsid w:val="00943733"/>
    <w:rsid w:val="00951656"/>
    <w:rsid w:val="00954BA6"/>
    <w:rsid w:val="00960E53"/>
    <w:rsid w:val="00963821"/>
    <w:rsid w:val="00970836"/>
    <w:rsid w:val="00971391"/>
    <w:rsid w:val="009744E7"/>
    <w:rsid w:val="00982BCA"/>
    <w:rsid w:val="00994A5F"/>
    <w:rsid w:val="009B728C"/>
    <w:rsid w:val="009C1C44"/>
    <w:rsid w:val="009D4F03"/>
    <w:rsid w:val="009D7445"/>
    <w:rsid w:val="009F08F1"/>
    <w:rsid w:val="009F1803"/>
    <w:rsid w:val="009F7DC0"/>
    <w:rsid w:val="00A11E13"/>
    <w:rsid w:val="00A2025A"/>
    <w:rsid w:val="00A346B6"/>
    <w:rsid w:val="00A4347C"/>
    <w:rsid w:val="00A47D79"/>
    <w:rsid w:val="00A643B9"/>
    <w:rsid w:val="00A648ED"/>
    <w:rsid w:val="00A7425E"/>
    <w:rsid w:val="00A75683"/>
    <w:rsid w:val="00A87E5D"/>
    <w:rsid w:val="00A936A6"/>
    <w:rsid w:val="00A97825"/>
    <w:rsid w:val="00AB5E60"/>
    <w:rsid w:val="00AB6E19"/>
    <w:rsid w:val="00AD3C9E"/>
    <w:rsid w:val="00AD4259"/>
    <w:rsid w:val="00AE1133"/>
    <w:rsid w:val="00AE2B6E"/>
    <w:rsid w:val="00AF0A04"/>
    <w:rsid w:val="00AF4302"/>
    <w:rsid w:val="00AF4C32"/>
    <w:rsid w:val="00AF659C"/>
    <w:rsid w:val="00B063C1"/>
    <w:rsid w:val="00B07144"/>
    <w:rsid w:val="00B0786B"/>
    <w:rsid w:val="00B15C5A"/>
    <w:rsid w:val="00B216C2"/>
    <w:rsid w:val="00B33EBD"/>
    <w:rsid w:val="00B50977"/>
    <w:rsid w:val="00B50F4D"/>
    <w:rsid w:val="00B71F07"/>
    <w:rsid w:val="00B74DB6"/>
    <w:rsid w:val="00B83F2E"/>
    <w:rsid w:val="00BA2509"/>
    <w:rsid w:val="00BB5E76"/>
    <w:rsid w:val="00BC1BA7"/>
    <w:rsid w:val="00BE4293"/>
    <w:rsid w:val="00C02FF7"/>
    <w:rsid w:val="00C05508"/>
    <w:rsid w:val="00C115DC"/>
    <w:rsid w:val="00C11D0C"/>
    <w:rsid w:val="00C12695"/>
    <w:rsid w:val="00C22147"/>
    <w:rsid w:val="00C23F39"/>
    <w:rsid w:val="00C419B6"/>
    <w:rsid w:val="00C44161"/>
    <w:rsid w:val="00C5249E"/>
    <w:rsid w:val="00C52EE6"/>
    <w:rsid w:val="00C73A86"/>
    <w:rsid w:val="00C76259"/>
    <w:rsid w:val="00C8361D"/>
    <w:rsid w:val="00C836DB"/>
    <w:rsid w:val="00CA1F02"/>
    <w:rsid w:val="00CB6D74"/>
    <w:rsid w:val="00CC19E9"/>
    <w:rsid w:val="00CE3C73"/>
    <w:rsid w:val="00D03928"/>
    <w:rsid w:val="00D07322"/>
    <w:rsid w:val="00D1789C"/>
    <w:rsid w:val="00D21FFD"/>
    <w:rsid w:val="00D235E0"/>
    <w:rsid w:val="00D23732"/>
    <w:rsid w:val="00D253C8"/>
    <w:rsid w:val="00D32E6A"/>
    <w:rsid w:val="00D34706"/>
    <w:rsid w:val="00D35149"/>
    <w:rsid w:val="00D43382"/>
    <w:rsid w:val="00D5275B"/>
    <w:rsid w:val="00D52C72"/>
    <w:rsid w:val="00D54BCA"/>
    <w:rsid w:val="00D74589"/>
    <w:rsid w:val="00D80F2E"/>
    <w:rsid w:val="00D81E4D"/>
    <w:rsid w:val="00D85B67"/>
    <w:rsid w:val="00D867F9"/>
    <w:rsid w:val="00D9113A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F1007"/>
    <w:rsid w:val="00E03008"/>
    <w:rsid w:val="00E15F25"/>
    <w:rsid w:val="00E22540"/>
    <w:rsid w:val="00E23512"/>
    <w:rsid w:val="00E34408"/>
    <w:rsid w:val="00E51209"/>
    <w:rsid w:val="00E54450"/>
    <w:rsid w:val="00E65AA4"/>
    <w:rsid w:val="00E7322F"/>
    <w:rsid w:val="00E737A7"/>
    <w:rsid w:val="00E85202"/>
    <w:rsid w:val="00E87B86"/>
    <w:rsid w:val="00E942F2"/>
    <w:rsid w:val="00EA354E"/>
    <w:rsid w:val="00EA4F70"/>
    <w:rsid w:val="00EB3547"/>
    <w:rsid w:val="00EC130B"/>
    <w:rsid w:val="00ED0CB8"/>
    <w:rsid w:val="00ED1BAA"/>
    <w:rsid w:val="00ED5B84"/>
    <w:rsid w:val="00ED7196"/>
    <w:rsid w:val="00EF1CBA"/>
    <w:rsid w:val="00F00E25"/>
    <w:rsid w:val="00F05298"/>
    <w:rsid w:val="00F121A2"/>
    <w:rsid w:val="00F20FA2"/>
    <w:rsid w:val="00F24102"/>
    <w:rsid w:val="00F2604C"/>
    <w:rsid w:val="00F27A20"/>
    <w:rsid w:val="00F30EB3"/>
    <w:rsid w:val="00F325A3"/>
    <w:rsid w:val="00F35229"/>
    <w:rsid w:val="00F44661"/>
    <w:rsid w:val="00F516F2"/>
    <w:rsid w:val="00F61284"/>
    <w:rsid w:val="00F61D7E"/>
    <w:rsid w:val="00F65AF8"/>
    <w:rsid w:val="00F82382"/>
    <w:rsid w:val="00F86D79"/>
    <w:rsid w:val="00FA2FB0"/>
    <w:rsid w:val="00FA4ED2"/>
    <w:rsid w:val="00FA68F4"/>
    <w:rsid w:val="00FB7A79"/>
    <w:rsid w:val="00FC51DE"/>
    <w:rsid w:val="00FD071B"/>
    <w:rsid w:val="00FD2501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Bharadwaj Cheruvu</cp:lastModifiedBy>
  <cp:revision>18</cp:revision>
  <cp:lastPrinted>2017-08-07T12:00:00Z</cp:lastPrinted>
  <dcterms:created xsi:type="dcterms:W3CDTF">2021-02-04T10:49:00Z</dcterms:created>
  <dcterms:modified xsi:type="dcterms:W3CDTF">2021-03-03T05:24:00Z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</Properties>
</file>