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91C8BB" w14:textId="3C886E2C"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F7476A">
        <w:rPr>
          <w:rFonts w:ascii="Arial" w:eastAsia="SimSun" w:hAnsi="Arial" w:cs="Times New Roman"/>
          <w:b/>
          <w:sz w:val="24"/>
          <w:szCs w:val="20"/>
          <w:lang w:val="en-GB"/>
        </w:rPr>
        <w:t>WG4 Meeting NR</w:t>
      </w:r>
      <w:r w:rsidR="00C66353">
        <w:rPr>
          <w:rFonts w:ascii="Arial" w:eastAsia="SimSun" w:hAnsi="Arial" w:cs="Times New Roman"/>
          <w:b/>
          <w:sz w:val="24"/>
          <w:szCs w:val="20"/>
          <w:lang w:val="en-GB"/>
        </w:rPr>
        <w:t xml:space="preserve"> </w:t>
      </w:r>
      <w:r w:rsidR="00F7476A">
        <w:rPr>
          <w:rFonts w:ascii="Arial" w:eastAsia="SimSun" w:hAnsi="Arial" w:cs="Times New Roman"/>
          <w:b/>
          <w:sz w:val="24"/>
          <w:szCs w:val="20"/>
          <w:lang w:val="en-GB"/>
        </w:rPr>
        <w:t>#2</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DF21A2" w:rsidRPr="00841BCD">
        <w:rPr>
          <w:rFonts w:ascii="Arial" w:eastAsia="SimSun" w:hAnsi="Arial" w:cs="Times New Roman"/>
          <w:b/>
          <w:bCs/>
          <w:sz w:val="24"/>
          <w:szCs w:val="20"/>
          <w:lang w:val="en-GB" w:eastAsia="zh-CN"/>
        </w:rPr>
        <w:t>170</w:t>
      </w:r>
      <w:r w:rsidR="00DF21A2">
        <w:rPr>
          <w:rFonts w:ascii="Arial" w:eastAsia="SimSun" w:hAnsi="Arial" w:cs="Times New Roman"/>
          <w:b/>
          <w:bCs/>
          <w:sz w:val="24"/>
          <w:szCs w:val="20"/>
          <w:lang w:val="en-GB" w:eastAsia="zh-CN"/>
        </w:rPr>
        <w:t>6793</w:t>
      </w:r>
    </w:p>
    <w:p w14:paraId="07CE8454" w14:textId="77777777" w:rsidR="00841BCD" w:rsidRPr="00841BCD" w:rsidRDefault="00F7476A"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Qingdao, China, 27 – 29, June</w:t>
      </w:r>
      <w:r w:rsidR="00841BCD" w:rsidRPr="00841BCD">
        <w:rPr>
          <w:rFonts w:ascii="Arial" w:eastAsia="SimSun" w:hAnsi="Arial" w:cs="Times New Roman"/>
          <w:b/>
          <w:bCs/>
          <w:noProof/>
          <w:sz w:val="24"/>
          <w:szCs w:val="20"/>
          <w:lang w:eastAsia="zh-CN"/>
        </w:rPr>
        <w:t>, 2017</w:t>
      </w:r>
    </w:p>
    <w:bookmarkEnd w:id="0"/>
    <w:bookmarkEnd w:id="1"/>
    <w:p w14:paraId="18B74E8E"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4B4D4E5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Nokia, Alcatel-Lucent Shanghai Bell</w:t>
      </w:r>
      <w:r w:rsidRPr="00841BCD" w:rsidDel="00636277">
        <w:rPr>
          <w:rFonts w:ascii="Arial" w:eastAsia="Calibri" w:hAnsi="Arial" w:cs="Arial"/>
          <w:b/>
          <w:bCs/>
          <w:sz w:val="24"/>
          <w:lang w:val="en-GB"/>
        </w:rPr>
        <w:t xml:space="preserve"> </w:t>
      </w:r>
    </w:p>
    <w:p w14:paraId="6FC42923" w14:textId="77777777"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A43422">
        <w:rPr>
          <w:rFonts w:ascii="Arial" w:eastAsia="Calibri" w:hAnsi="Arial" w:cs="Arial"/>
          <w:b/>
          <w:bCs/>
          <w:sz w:val="24"/>
          <w:lang w:val="en-GB"/>
        </w:rPr>
        <w:t>UE Measurement capability</w:t>
      </w:r>
      <w:r w:rsidRPr="00841BCD" w:rsidDel="000A742C">
        <w:rPr>
          <w:rFonts w:ascii="Arial" w:eastAsia="Calibri" w:hAnsi="Arial" w:cs="Arial"/>
          <w:b/>
          <w:bCs/>
          <w:sz w:val="24"/>
          <w:lang w:val="en-GB"/>
        </w:rPr>
        <w:t xml:space="preserve"> </w:t>
      </w:r>
    </w:p>
    <w:p w14:paraId="536B1E5F" w14:textId="6DFC3D0D"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4A671C">
        <w:rPr>
          <w:rFonts w:ascii="Arial" w:eastAsia="MS Mincho" w:hAnsi="Arial" w:cs="Arial"/>
          <w:b/>
          <w:bCs/>
          <w:sz w:val="24"/>
          <w:szCs w:val="20"/>
          <w:lang w:val="en-GB"/>
        </w:rPr>
        <w:t>3.5.4</w:t>
      </w:r>
    </w:p>
    <w:p w14:paraId="4F7909B0"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t>Discussion</w:t>
      </w:r>
    </w:p>
    <w:p w14:paraId="71758358" w14:textId="77777777"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p>
    <w:p w14:paraId="443CC213" w14:textId="77777777" w:rsidR="005E0556" w:rsidRDefault="005E0556"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In last RAN4 meeting in Hangzhou, China, discussions on the UE </w:t>
      </w:r>
      <w:r w:rsidR="00EF423B">
        <w:rPr>
          <w:rFonts w:ascii="Times New Roman" w:eastAsia="Calibri" w:hAnsi="Times New Roman" w:cs="Times New Roman"/>
          <w:sz w:val="20"/>
          <w:szCs w:val="20"/>
          <w:lang w:val="en-GB"/>
        </w:rPr>
        <w:t xml:space="preserve">measurement </w:t>
      </w:r>
      <w:r>
        <w:rPr>
          <w:rFonts w:ascii="Times New Roman" w:eastAsia="Calibri" w:hAnsi="Times New Roman" w:cs="Times New Roman"/>
          <w:sz w:val="20"/>
          <w:szCs w:val="20"/>
          <w:lang w:val="en-GB"/>
        </w:rPr>
        <w:t xml:space="preserve">capability continued. </w:t>
      </w:r>
      <w:r w:rsidR="00A43422">
        <w:rPr>
          <w:rFonts w:ascii="Times New Roman" w:eastAsia="Calibri" w:hAnsi="Times New Roman" w:cs="Times New Roman"/>
          <w:sz w:val="20"/>
          <w:szCs w:val="20"/>
          <w:lang w:val="en-GB"/>
        </w:rPr>
        <w:t>In the agreed WF [</w:t>
      </w:r>
      <w:r w:rsidR="00A43422" w:rsidRPr="00A43422">
        <w:rPr>
          <w:rFonts w:ascii="Times New Roman" w:eastAsia="Calibri" w:hAnsi="Times New Roman" w:cs="Times New Roman"/>
          <w:sz w:val="20"/>
          <w:szCs w:val="20"/>
          <w:lang w:val="en-GB"/>
        </w:rPr>
        <w:t>R4-1704806</w:t>
      </w:r>
      <w:r w:rsidR="00A43422">
        <w:rPr>
          <w:rFonts w:ascii="Times New Roman" w:eastAsia="Calibri" w:hAnsi="Times New Roman" w:cs="Times New Roman"/>
          <w:sz w:val="20"/>
          <w:szCs w:val="20"/>
          <w:lang w:val="en-GB"/>
        </w:rPr>
        <w:t>] following was agreed related to UE measurement capabilities:</w:t>
      </w:r>
    </w:p>
    <w:p w14:paraId="69EE3D86" w14:textId="77777777" w:rsidR="00A43422" w:rsidRPr="00B34D5C" w:rsidRDefault="00A43422" w:rsidP="00A43422">
      <w:pPr>
        <w:numPr>
          <w:ilvl w:val="0"/>
          <w:numId w:val="2"/>
        </w:numPr>
        <w:spacing w:after="180" w:line="240" w:lineRule="auto"/>
        <w:rPr>
          <w:rFonts w:eastAsia="SimSun"/>
        </w:rPr>
      </w:pPr>
      <w:r w:rsidRPr="002B21DF">
        <w:rPr>
          <w:rFonts w:eastAsia="SimSun"/>
        </w:rPr>
        <w:t>Companies are encouraged to discuss whether RAN4 should involved in discussion of definitions of intra-frequency and inter-frequency.</w:t>
      </w:r>
    </w:p>
    <w:p w14:paraId="73BB29B9" w14:textId="77777777" w:rsidR="00A43422" w:rsidRDefault="00A43422" w:rsidP="00A43422">
      <w:pPr>
        <w:numPr>
          <w:ilvl w:val="0"/>
          <w:numId w:val="2"/>
        </w:numPr>
        <w:spacing w:after="180" w:line="240" w:lineRule="auto"/>
      </w:pPr>
      <w:r>
        <w:t>Further evaluate the capabilities for number of interfrequency ad inter-RAT frequency layers to measure</w:t>
      </w:r>
    </w:p>
    <w:p w14:paraId="6E3C9B8F" w14:textId="77777777" w:rsidR="00A43422" w:rsidRDefault="00A43422" w:rsidP="00A43422">
      <w:pPr>
        <w:numPr>
          <w:ilvl w:val="0"/>
          <w:numId w:val="2"/>
        </w:numPr>
        <w:spacing w:after="180" w:line="240" w:lineRule="auto"/>
      </w:pPr>
      <w:r>
        <w:t>Further evaluate the need for FDD/TDD differentiation in the number of carriers to measure</w:t>
      </w:r>
    </w:p>
    <w:p w14:paraId="2628B8CF" w14:textId="77777777" w:rsidR="00A43422" w:rsidRDefault="00A43422" w:rsidP="00A43422">
      <w:pPr>
        <w:numPr>
          <w:ilvl w:val="0"/>
          <w:numId w:val="2"/>
        </w:numPr>
        <w:spacing w:after="180" w:line="240" w:lineRule="auto"/>
      </w:pPr>
      <w:r>
        <w:t>Further discussion on the methodology for determining capability for number of cells, number of beams etc to measure</w:t>
      </w:r>
    </w:p>
    <w:p w14:paraId="03469A6B" w14:textId="77777777" w:rsidR="00A43422" w:rsidRPr="00A43422" w:rsidRDefault="001F568B" w:rsidP="00841BCD">
      <w:pPr>
        <w:ind w:right="-22"/>
        <w:rPr>
          <w:rFonts w:ascii="Times New Roman" w:eastAsia="Calibri" w:hAnsi="Times New Roman" w:cs="Times New Roman"/>
          <w:sz w:val="20"/>
          <w:szCs w:val="20"/>
        </w:rPr>
      </w:pPr>
      <w:r>
        <w:rPr>
          <w:rFonts w:ascii="Times New Roman" w:eastAsia="Calibri" w:hAnsi="Times New Roman" w:cs="Times New Roman"/>
          <w:sz w:val="20"/>
          <w:szCs w:val="20"/>
        </w:rPr>
        <w:t>In this paper, we will discuss these topics in more details.</w:t>
      </w:r>
    </w:p>
    <w:p w14:paraId="469EBDB5" w14:textId="77777777" w:rsidR="005E0556" w:rsidRDefault="005E0556" w:rsidP="00841BCD">
      <w:pPr>
        <w:ind w:right="-22"/>
        <w:rPr>
          <w:rFonts w:ascii="Times New Roman" w:eastAsia="Calibri" w:hAnsi="Times New Roman" w:cs="Times New Roman"/>
          <w:sz w:val="20"/>
          <w:szCs w:val="20"/>
        </w:rPr>
      </w:pPr>
    </w:p>
    <w:p w14:paraId="4407F9F0" w14:textId="052F6C6A" w:rsidR="00DB6987" w:rsidRPr="00841BCD" w:rsidRDefault="00842AC7" w:rsidP="00DB698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00DB6987" w:rsidRPr="00841BCD">
        <w:rPr>
          <w:rFonts w:ascii="Arial" w:eastAsia="SimSun" w:hAnsi="Arial" w:cs="Times New Roman"/>
          <w:sz w:val="36"/>
          <w:szCs w:val="20"/>
          <w:lang w:val="en-GB"/>
        </w:rPr>
        <w:tab/>
      </w:r>
      <w:r w:rsidRPr="00F251C4">
        <w:rPr>
          <w:rFonts w:ascii="Arial" w:eastAsia="Calibri" w:hAnsi="Arial" w:cs="Arial"/>
          <w:sz w:val="36"/>
        </w:rPr>
        <w:t>Intra-frequency and Inter-frequency discussion</w:t>
      </w:r>
    </w:p>
    <w:p w14:paraId="0EED0858" w14:textId="77777777" w:rsidR="001F568B" w:rsidRDefault="00F251C4" w:rsidP="00841BCD">
      <w:pPr>
        <w:ind w:right="-22"/>
        <w:rPr>
          <w:rFonts w:ascii="Times New Roman" w:eastAsia="Calibri" w:hAnsi="Times New Roman" w:cs="Times New Roman"/>
          <w:sz w:val="20"/>
          <w:szCs w:val="20"/>
        </w:rPr>
      </w:pPr>
      <w:r>
        <w:rPr>
          <w:rFonts w:ascii="Times New Roman" w:eastAsia="Calibri" w:hAnsi="Times New Roman" w:cs="Times New Roman"/>
          <w:sz w:val="20"/>
          <w:szCs w:val="20"/>
        </w:rPr>
        <w:t xml:space="preserve">When discussing intra-frequency and inter-frequency measurement it seems natural to look at how </w:t>
      </w:r>
      <w:r w:rsidR="00942062">
        <w:rPr>
          <w:rFonts w:ascii="Times New Roman" w:eastAsia="Calibri" w:hAnsi="Times New Roman" w:cs="Times New Roman"/>
          <w:sz w:val="20"/>
          <w:szCs w:val="20"/>
        </w:rPr>
        <w:t>intra-frequency and inter-frequency measurements</w:t>
      </w:r>
      <w:r>
        <w:rPr>
          <w:rFonts w:ascii="Times New Roman" w:eastAsia="Calibri" w:hAnsi="Times New Roman" w:cs="Times New Roman"/>
          <w:sz w:val="20"/>
          <w:szCs w:val="20"/>
        </w:rPr>
        <w:t xml:space="preserve"> are defined</w:t>
      </w:r>
      <w:r w:rsidR="00942062" w:rsidRPr="00942062">
        <w:rPr>
          <w:rFonts w:ascii="Times New Roman" w:eastAsia="Calibri" w:hAnsi="Times New Roman" w:cs="Times New Roman"/>
          <w:sz w:val="20"/>
          <w:szCs w:val="20"/>
        </w:rPr>
        <w:t xml:space="preserve"> </w:t>
      </w:r>
      <w:r w:rsidR="00942062">
        <w:rPr>
          <w:rFonts w:ascii="Times New Roman" w:eastAsia="Calibri" w:hAnsi="Times New Roman" w:cs="Times New Roman"/>
          <w:sz w:val="20"/>
          <w:szCs w:val="20"/>
        </w:rPr>
        <w:t>legacy systems</w:t>
      </w:r>
      <w:r>
        <w:rPr>
          <w:rFonts w:ascii="Times New Roman" w:eastAsia="Calibri" w:hAnsi="Times New Roman" w:cs="Times New Roman"/>
          <w:sz w:val="20"/>
          <w:szCs w:val="20"/>
        </w:rPr>
        <w:t>. Using LTE as baseline</w:t>
      </w:r>
      <w:r w:rsidR="00942062">
        <w:rPr>
          <w:rFonts w:ascii="Times New Roman" w:eastAsia="Calibri" w:hAnsi="Times New Roman" w:cs="Times New Roman"/>
          <w:sz w:val="20"/>
          <w:szCs w:val="20"/>
        </w:rPr>
        <w:t>,</w:t>
      </w:r>
      <w:r>
        <w:rPr>
          <w:rFonts w:ascii="Times New Roman" w:eastAsia="Calibri" w:hAnsi="Times New Roman" w:cs="Times New Roman"/>
          <w:sz w:val="20"/>
          <w:szCs w:val="20"/>
        </w:rPr>
        <w:t xml:space="preserve"> the understanding of the intra-frequency cell</w:t>
      </w:r>
      <w:r w:rsidR="00942062">
        <w:rPr>
          <w:rFonts w:ascii="Times New Roman" w:eastAsia="Calibri" w:hAnsi="Times New Roman" w:cs="Times New Roman"/>
          <w:sz w:val="20"/>
          <w:szCs w:val="20"/>
        </w:rPr>
        <w:t>s</w:t>
      </w:r>
      <w:r>
        <w:rPr>
          <w:rFonts w:ascii="Times New Roman" w:eastAsia="Calibri" w:hAnsi="Times New Roman" w:cs="Times New Roman"/>
          <w:sz w:val="20"/>
          <w:szCs w:val="20"/>
        </w:rPr>
        <w:t xml:space="preserve"> is that those are cells deployed using the same center frequency</w:t>
      </w:r>
      <w:r w:rsidR="00942062">
        <w:rPr>
          <w:rFonts w:ascii="Times New Roman" w:eastAsia="Calibri" w:hAnsi="Times New Roman" w:cs="Times New Roman"/>
          <w:sz w:val="20"/>
          <w:szCs w:val="20"/>
        </w:rPr>
        <w:t xml:space="preserve"> as the serving cell</w:t>
      </w:r>
      <w:r>
        <w:rPr>
          <w:rFonts w:ascii="Times New Roman" w:eastAsia="Calibri" w:hAnsi="Times New Roman" w:cs="Times New Roman"/>
          <w:sz w:val="20"/>
          <w:szCs w:val="20"/>
        </w:rPr>
        <w:t xml:space="preserve">. </w:t>
      </w:r>
      <w:r w:rsidR="00942062">
        <w:rPr>
          <w:rFonts w:ascii="Times New Roman" w:eastAsia="Calibri" w:hAnsi="Times New Roman" w:cs="Times New Roman"/>
          <w:sz w:val="20"/>
          <w:szCs w:val="20"/>
        </w:rPr>
        <w:t xml:space="preserve">Otherwise, the cells are seen as inter-frequency cells. </w:t>
      </w:r>
    </w:p>
    <w:p w14:paraId="3665DD34" w14:textId="73C6F0A7" w:rsidR="00591FC6" w:rsidRDefault="00B53EB6" w:rsidP="00841BCD">
      <w:pPr>
        <w:ind w:right="-22"/>
        <w:rPr>
          <w:rFonts w:ascii="Times New Roman" w:eastAsia="Calibri" w:hAnsi="Times New Roman" w:cs="Times New Roman"/>
          <w:sz w:val="20"/>
          <w:szCs w:val="20"/>
        </w:rPr>
      </w:pPr>
      <w:r>
        <w:rPr>
          <w:rFonts w:ascii="Times New Roman" w:eastAsia="Calibri" w:hAnsi="Times New Roman" w:cs="Times New Roman"/>
          <w:sz w:val="20"/>
          <w:szCs w:val="20"/>
        </w:rPr>
        <w:t xml:space="preserve">RAN1 has decided that the cells are detected and identified by SS-Block. Additionally, RAN1 has also introduced </w:t>
      </w:r>
      <w:r w:rsidR="002F601A">
        <w:rPr>
          <w:rFonts w:ascii="Times New Roman" w:eastAsia="Calibri" w:hAnsi="Times New Roman" w:cs="Times New Roman"/>
          <w:sz w:val="20"/>
          <w:szCs w:val="20"/>
        </w:rPr>
        <w:t>SS-Block-</w:t>
      </w:r>
      <w:r>
        <w:rPr>
          <w:rFonts w:ascii="Times New Roman" w:eastAsia="Calibri" w:hAnsi="Times New Roman" w:cs="Times New Roman"/>
          <w:sz w:val="20"/>
          <w:szCs w:val="20"/>
        </w:rPr>
        <w:t>RSRP for cell measurements</w:t>
      </w:r>
      <w:r w:rsidR="00527DA6">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00527DA6">
        <w:rPr>
          <w:rFonts w:ascii="Times New Roman" w:eastAsia="Calibri" w:hAnsi="Times New Roman" w:cs="Times New Roman"/>
          <w:sz w:val="20"/>
          <w:szCs w:val="20"/>
        </w:rPr>
        <w:t xml:space="preserve">RAN1 has also decided that </w:t>
      </w:r>
      <w:r w:rsidR="00591FC6">
        <w:rPr>
          <w:rFonts w:ascii="Times New Roman" w:eastAsia="Calibri" w:hAnsi="Times New Roman" w:cs="Times New Roman"/>
          <w:sz w:val="20"/>
          <w:szCs w:val="20"/>
        </w:rPr>
        <w:t>there can be one or more SS-blocks within the cell BW.</w:t>
      </w:r>
    </w:p>
    <w:p w14:paraId="7CE3E76F" w14:textId="77777777" w:rsidR="00591FC6" w:rsidRDefault="00591FC6" w:rsidP="00841BCD">
      <w:pPr>
        <w:ind w:right="-22"/>
        <w:rPr>
          <w:rFonts w:ascii="Times New Roman" w:eastAsia="Calibri" w:hAnsi="Times New Roman" w:cs="Times New Roman"/>
          <w:sz w:val="20"/>
          <w:szCs w:val="20"/>
        </w:rPr>
      </w:pPr>
      <w:r>
        <w:rPr>
          <w:rFonts w:ascii="Times New Roman" w:eastAsia="Calibri" w:hAnsi="Times New Roman" w:cs="Times New Roman"/>
          <w:sz w:val="20"/>
          <w:szCs w:val="20"/>
        </w:rPr>
        <w:t>As RAN4 will be responsible for defining the UE requirements – including both intra-frequency and inter-frequency requirements – it seems rather natural that RAN4 should be involved in the discussion how to define intra-frequency and inter-frequency.</w:t>
      </w:r>
    </w:p>
    <w:p w14:paraId="4E327B78" w14:textId="77777777" w:rsidR="00C02F27" w:rsidRDefault="00591FC6" w:rsidP="00841BCD">
      <w:pPr>
        <w:ind w:right="-22"/>
        <w:rPr>
          <w:rFonts w:ascii="Times New Roman" w:eastAsia="Calibri" w:hAnsi="Times New Roman" w:cs="Times New Roman"/>
          <w:sz w:val="20"/>
          <w:szCs w:val="20"/>
        </w:rPr>
      </w:pPr>
      <w:r w:rsidRPr="00591FC6">
        <w:rPr>
          <w:rFonts w:ascii="Times New Roman" w:eastAsia="Calibri" w:hAnsi="Times New Roman" w:cs="Times New Roman"/>
          <w:b/>
          <w:sz w:val="20"/>
          <w:szCs w:val="20"/>
        </w:rPr>
        <w:t>Observation 1:</w:t>
      </w:r>
      <w:r>
        <w:rPr>
          <w:rFonts w:ascii="Times New Roman" w:eastAsia="Calibri" w:hAnsi="Times New Roman" w:cs="Times New Roman"/>
          <w:sz w:val="20"/>
          <w:szCs w:val="20"/>
        </w:rPr>
        <w:t xml:space="preserve"> RAN4 should be involved in the discussion how to define intra-frequency and inter-frequency. </w:t>
      </w:r>
    </w:p>
    <w:p w14:paraId="01B78509" w14:textId="77777777" w:rsidR="00B53EB6" w:rsidRDefault="00C02F27" w:rsidP="00841BCD">
      <w:pPr>
        <w:ind w:right="-22"/>
        <w:rPr>
          <w:rFonts w:ascii="Times New Roman" w:eastAsia="Calibri" w:hAnsi="Times New Roman" w:cs="Times New Roman"/>
          <w:sz w:val="20"/>
          <w:szCs w:val="20"/>
        </w:rPr>
      </w:pPr>
      <w:r>
        <w:rPr>
          <w:rFonts w:ascii="Times New Roman" w:eastAsia="Calibri" w:hAnsi="Times New Roman" w:cs="Times New Roman"/>
          <w:sz w:val="20"/>
          <w:szCs w:val="20"/>
        </w:rPr>
        <w:t>As the definition of intra-frequency and inter-frequency measurements may or may not be the same in NR as known from e.g. LTE, we think RAN4 should discuss and agree on a common understanding of intra-frequency and inter-frequency rather soon to ensure common understanding among all companies.</w:t>
      </w:r>
    </w:p>
    <w:p w14:paraId="787766F5" w14:textId="77B17E87" w:rsidR="00C02F27" w:rsidRDefault="00C02F27" w:rsidP="00841BCD">
      <w:pPr>
        <w:ind w:right="-22"/>
        <w:rPr>
          <w:rFonts w:ascii="Times New Roman" w:eastAsia="Calibri" w:hAnsi="Times New Roman" w:cs="Times New Roman"/>
          <w:sz w:val="20"/>
          <w:szCs w:val="20"/>
        </w:rPr>
      </w:pPr>
      <w:r w:rsidRPr="00C02F27">
        <w:rPr>
          <w:rFonts w:ascii="Times New Roman" w:eastAsia="Calibri" w:hAnsi="Times New Roman" w:cs="Times New Roman"/>
          <w:b/>
          <w:sz w:val="20"/>
          <w:szCs w:val="20"/>
        </w:rPr>
        <w:t>Proposal 1:</w:t>
      </w:r>
      <w:r>
        <w:rPr>
          <w:rFonts w:ascii="Times New Roman" w:eastAsia="Calibri" w:hAnsi="Times New Roman" w:cs="Times New Roman"/>
          <w:sz w:val="20"/>
          <w:szCs w:val="20"/>
        </w:rPr>
        <w:t xml:space="preserve"> RAN4 should discuss and agree on a common understanding of intra-frequency and inter-frequency.</w:t>
      </w:r>
    </w:p>
    <w:p w14:paraId="6F4FE7D8" w14:textId="77777777" w:rsidR="00B656A0" w:rsidRDefault="00B656A0" w:rsidP="00841BCD">
      <w:pPr>
        <w:ind w:right="-22"/>
        <w:rPr>
          <w:rFonts w:ascii="Times New Roman" w:eastAsia="Calibri" w:hAnsi="Times New Roman" w:cs="Times New Roman"/>
          <w:sz w:val="20"/>
          <w:szCs w:val="20"/>
        </w:rPr>
      </w:pPr>
    </w:p>
    <w:p w14:paraId="3F0639D7" w14:textId="269FA13C" w:rsidR="00842AC7" w:rsidRPr="00841BCD" w:rsidRDefault="00842AC7" w:rsidP="00842AC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lastRenderedPageBreak/>
        <w:t>3</w:t>
      </w:r>
      <w:r w:rsidRPr="00841BCD">
        <w:rPr>
          <w:rFonts w:ascii="Arial" w:eastAsia="SimSun" w:hAnsi="Arial" w:cs="Times New Roman"/>
          <w:sz w:val="36"/>
          <w:szCs w:val="20"/>
          <w:lang w:val="en-GB"/>
        </w:rPr>
        <w:tab/>
      </w:r>
      <w:r w:rsidR="00DE24A3">
        <w:rPr>
          <w:rFonts w:ascii="Arial" w:eastAsia="Calibri" w:hAnsi="Arial" w:cs="Arial"/>
          <w:sz w:val="36"/>
        </w:rPr>
        <w:t xml:space="preserve">Intra-frequency and </w:t>
      </w:r>
      <w:r>
        <w:rPr>
          <w:rFonts w:ascii="Arial" w:eastAsia="Calibri" w:hAnsi="Arial" w:cs="Arial"/>
          <w:sz w:val="36"/>
        </w:rPr>
        <w:t>Inter</w:t>
      </w:r>
      <w:r w:rsidRPr="00F251C4">
        <w:rPr>
          <w:rFonts w:ascii="Arial" w:eastAsia="Calibri" w:hAnsi="Arial" w:cs="Arial"/>
          <w:sz w:val="36"/>
        </w:rPr>
        <w:t xml:space="preserve">-frequency </w:t>
      </w:r>
      <w:r>
        <w:rPr>
          <w:rFonts w:ascii="Arial" w:eastAsia="Calibri" w:hAnsi="Arial" w:cs="Arial"/>
          <w:sz w:val="36"/>
        </w:rPr>
        <w:t>layers</w:t>
      </w:r>
    </w:p>
    <w:p w14:paraId="34192265" w14:textId="426F3B0E" w:rsidR="00913860" w:rsidRDefault="004F63F7" w:rsidP="00841BCD">
      <w:pPr>
        <w:ind w:right="-22"/>
        <w:rPr>
          <w:rFonts w:ascii="Times New Roman" w:eastAsia="Calibri" w:hAnsi="Times New Roman" w:cs="Times New Roman"/>
          <w:sz w:val="20"/>
          <w:szCs w:val="20"/>
        </w:rPr>
      </w:pPr>
      <w:r>
        <w:rPr>
          <w:rFonts w:ascii="Times New Roman" w:eastAsia="Calibri" w:hAnsi="Times New Roman" w:cs="Times New Roman"/>
          <w:sz w:val="20"/>
          <w:szCs w:val="20"/>
        </w:rPr>
        <w:t xml:space="preserve">Looking first at what RAN2 has been discussing related to </w:t>
      </w:r>
      <w:r w:rsidR="000A771F">
        <w:rPr>
          <w:rFonts w:ascii="Times New Roman" w:eastAsia="Calibri" w:hAnsi="Times New Roman" w:cs="Times New Roman"/>
          <w:sz w:val="20"/>
          <w:szCs w:val="20"/>
        </w:rPr>
        <w:t xml:space="preserve">NR and </w:t>
      </w:r>
      <w:r w:rsidR="00FF28DB">
        <w:rPr>
          <w:rFonts w:ascii="Times New Roman" w:eastAsia="Calibri" w:hAnsi="Times New Roman" w:cs="Times New Roman"/>
          <w:sz w:val="20"/>
          <w:szCs w:val="20"/>
        </w:rPr>
        <w:t xml:space="preserve">EN-DC (i.e. NR NSA </w:t>
      </w:r>
      <w:r w:rsidR="000A771F">
        <w:rPr>
          <w:rFonts w:ascii="Times New Roman" w:eastAsia="Calibri" w:hAnsi="Times New Roman" w:cs="Times New Roman"/>
          <w:sz w:val="20"/>
          <w:szCs w:val="20"/>
        </w:rPr>
        <w:t>Option 3</w:t>
      </w:r>
      <w:r w:rsidR="00FF28DB">
        <w:rPr>
          <w:rFonts w:ascii="Times New Roman" w:eastAsia="Calibri" w:hAnsi="Times New Roman" w:cs="Times New Roman"/>
          <w:sz w:val="20"/>
          <w:szCs w:val="20"/>
        </w:rPr>
        <w:t>)</w:t>
      </w:r>
      <w:r w:rsidR="000A771F">
        <w:rPr>
          <w:rFonts w:ascii="Times New Roman" w:eastAsia="Calibri" w:hAnsi="Times New Roman" w:cs="Times New Roman"/>
          <w:sz w:val="20"/>
          <w:szCs w:val="20"/>
        </w:rPr>
        <w:t>, RAN2 has decided following:</w:t>
      </w:r>
    </w:p>
    <w:p w14:paraId="43494991" w14:textId="176EC62A" w:rsidR="000A771F" w:rsidRDefault="000A771F" w:rsidP="000A771F">
      <w:pPr>
        <w:pStyle w:val="ListParagraph"/>
        <w:numPr>
          <w:ilvl w:val="0"/>
          <w:numId w:val="2"/>
        </w:numPr>
        <w:ind w:right="-22"/>
        <w:rPr>
          <w:rFonts w:ascii="Times New Roman" w:eastAsia="Calibri" w:hAnsi="Times New Roman" w:cs="Times New Roman"/>
          <w:sz w:val="20"/>
          <w:szCs w:val="20"/>
        </w:rPr>
      </w:pPr>
      <w:r>
        <w:rPr>
          <w:rFonts w:ascii="Times New Roman" w:eastAsia="Calibri" w:hAnsi="Times New Roman" w:cs="Times New Roman"/>
          <w:sz w:val="20"/>
          <w:szCs w:val="20"/>
        </w:rPr>
        <w:t>SN handles the mobility within the SCG</w:t>
      </w:r>
      <w:r w:rsidR="00D80404">
        <w:rPr>
          <w:rFonts w:ascii="Times New Roman" w:eastAsia="Calibri" w:hAnsi="Times New Roman" w:cs="Times New Roman"/>
          <w:sz w:val="20"/>
          <w:szCs w:val="20"/>
        </w:rPr>
        <w:t xml:space="preserve"> </w:t>
      </w:r>
      <w:r w:rsidR="00FF28DB">
        <w:rPr>
          <w:rFonts w:ascii="Times New Roman" w:eastAsia="Calibri" w:hAnsi="Times New Roman" w:cs="Times New Roman"/>
          <w:sz w:val="20"/>
          <w:szCs w:val="20"/>
        </w:rPr>
        <w:t>and decides on the PSCell.</w:t>
      </w:r>
    </w:p>
    <w:p w14:paraId="6D982773" w14:textId="77777777" w:rsidR="000A771F" w:rsidRDefault="000A771F" w:rsidP="000A771F">
      <w:pPr>
        <w:pStyle w:val="ListParagraph"/>
        <w:numPr>
          <w:ilvl w:val="0"/>
          <w:numId w:val="2"/>
        </w:numPr>
        <w:ind w:right="-22"/>
        <w:rPr>
          <w:rFonts w:ascii="Times New Roman" w:eastAsia="Calibri" w:hAnsi="Times New Roman" w:cs="Times New Roman"/>
          <w:sz w:val="20"/>
          <w:szCs w:val="20"/>
        </w:rPr>
      </w:pPr>
      <w:r>
        <w:rPr>
          <w:rFonts w:ascii="Times New Roman" w:eastAsia="Calibri" w:hAnsi="Times New Roman" w:cs="Times New Roman"/>
          <w:sz w:val="20"/>
          <w:szCs w:val="20"/>
        </w:rPr>
        <w:t>SN does not make any decisions regarding mobility within MCG</w:t>
      </w:r>
    </w:p>
    <w:p w14:paraId="012E5693" w14:textId="45A2A212" w:rsidR="000A771F" w:rsidRDefault="000A771F" w:rsidP="000A771F">
      <w:pPr>
        <w:pStyle w:val="ListParagraph"/>
        <w:numPr>
          <w:ilvl w:val="0"/>
          <w:numId w:val="2"/>
        </w:numPr>
        <w:ind w:right="-22"/>
        <w:rPr>
          <w:rFonts w:ascii="Times New Roman" w:eastAsia="Calibri" w:hAnsi="Times New Roman" w:cs="Times New Roman"/>
          <w:sz w:val="20"/>
          <w:szCs w:val="20"/>
        </w:rPr>
      </w:pPr>
      <w:r>
        <w:rPr>
          <w:rFonts w:ascii="Times New Roman" w:eastAsia="Calibri" w:hAnsi="Times New Roman" w:cs="Times New Roman"/>
          <w:sz w:val="20"/>
          <w:szCs w:val="20"/>
        </w:rPr>
        <w:t xml:space="preserve">SN can initiate change of </w:t>
      </w:r>
      <w:r w:rsidR="00FF28DB">
        <w:rPr>
          <w:rFonts w:ascii="Times New Roman" w:eastAsia="Calibri" w:hAnsi="Times New Roman" w:cs="Times New Roman"/>
          <w:sz w:val="20"/>
          <w:szCs w:val="20"/>
        </w:rPr>
        <w:t xml:space="preserve">within the </w:t>
      </w:r>
      <w:r>
        <w:rPr>
          <w:rFonts w:ascii="Times New Roman" w:eastAsia="Calibri" w:hAnsi="Times New Roman" w:cs="Times New Roman"/>
          <w:sz w:val="20"/>
          <w:szCs w:val="20"/>
        </w:rPr>
        <w:t>SN (</w:t>
      </w:r>
      <w:r w:rsidR="00FF28DB">
        <w:rPr>
          <w:rFonts w:ascii="Times New Roman" w:eastAsia="Calibri" w:hAnsi="Times New Roman" w:cs="Times New Roman"/>
          <w:sz w:val="20"/>
          <w:szCs w:val="20"/>
        </w:rPr>
        <w:t>including</w:t>
      </w:r>
      <w:r>
        <w:rPr>
          <w:rFonts w:ascii="Times New Roman" w:eastAsia="Calibri" w:hAnsi="Times New Roman" w:cs="Times New Roman"/>
          <w:sz w:val="20"/>
          <w:szCs w:val="20"/>
        </w:rPr>
        <w:t xml:space="preserve"> change of PSCell in NR)</w:t>
      </w:r>
    </w:p>
    <w:p w14:paraId="734F1FB3" w14:textId="0B3074EB" w:rsidR="00FF28DB" w:rsidRDefault="00FF28DB" w:rsidP="00FF28DB">
      <w:pPr>
        <w:pStyle w:val="ListParagraph"/>
        <w:numPr>
          <w:ilvl w:val="0"/>
          <w:numId w:val="2"/>
        </w:numPr>
        <w:ind w:right="-22"/>
        <w:rPr>
          <w:rFonts w:ascii="Times New Roman" w:eastAsia="Calibri" w:hAnsi="Times New Roman" w:cs="Times New Roman"/>
          <w:sz w:val="20"/>
          <w:szCs w:val="20"/>
        </w:rPr>
      </w:pPr>
      <w:r>
        <w:rPr>
          <w:rFonts w:ascii="Times New Roman" w:eastAsia="Calibri" w:hAnsi="Times New Roman" w:cs="Times New Roman"/>
          <w:sz w:val="20"/>
          <w:szCs w:val="20"/>
        </w:rPr>
        <w:t>MN can also decide change  the entire SCG (i.e. SN that is used by the UE, including PSCell and all SCG SCells)</w:t>
      </w:r>
    </w:p>
    <w:p w14:paraId="6B5320E4" w14:textId="1F042467" w:rsidR="000A771F" w:rsidRDefault="000A771F" w:rsidP="000A771F">
      <w:pPr>
        <w:pStyle w:val="ListParagraph"/>
        <w:numPr>
          <w:ilvl w:val="0"/>
          <w:numId w:val="2"/>
        </w:numPr>
        <w:ind w:right="-22"/>
        <w:rPr>
          <w:rFonts w:ascii="Times New Roman" w:eastAsia="Calibri" w:hAnsi="Times New Roman" w:cs="Times New Roman"/>
          <w:sz w:val="20"/>
          <w:szCs w:val="20"/>
        </w:rPr>
      </w:pPr>
      <w:r>
        <w:rPr>
          <w:rFonts w:ascii="Times New Roman" w:eastAsia="Calibri" w:hAnsi="Times New Roman" w:cs="Times New Roman"/>
          <w:sz w:val="20"/>
          <w:szCs w:val="20"/>
        </w:rPr>
        <w:t xml:space="preserve">MN and SN can </w:t>
      </w:r>
      <w:r w:rsidR="00942062">
        <w:rPr>
          <w:rFonts w:ascii="Times New Roman" w:eastAsia="Calibri" w:hAnsi="Times New Roman" w:cs="Times New Roman"/>
          <w:sz w:val="20"/>
          <w:szCs w:val="20"/>
        </w:rPr>
        <w:t>configure same measurement objects, but some coordination is expected.</w:t>
      </w:r>
    </w:p>
    <w:p w14:paraId="6F21C58F" w14:textId="4BE2CAD5" w:rsidR="00D807ED" w:rsidRDefault="00FF28DB" w:rsidP="00841BCD">
      <w:pPr>
        <w:ind w:right="-22"/>
        <w:rPr>
          <w:rFonts w:ascii="Times New Roman" w:eastAsia="Calibri" w:hAnsi="Times New Roman" w:cs="Times New Roman"/>
          <w:sz w:val="20"/>
          <w:szCs w:val="20"/>
        </w:rPr>
      </w:pPr>
      <w:r>
        <w:rPr>
          <w:rFonts w:ascii="Times New Roman" w:eastAsia="Calibri" w:hAnsi="Times New Roman" w:cs="Times New Roman"/>
          <w:sz w:val="20"/>
          <w:szCs w:val="20"/>
        </w:rPr>
        <w:t>T</w:t>
      </w:r>
      <w:r w:rsidR="00D807ED">
        <w:rPr>
          <w:rFonts w:ascii="Times New Roman" w:eastAsia="Calibri" w:hAnsi="Times New Roman" w:cs="Times New Roman"/>
          <w:sz w:val="20"/>
          <w:szCs w:val="20"/>
        </w:rPr>
        <w:t xml:space="preserve">o initially </w:t>
      </w:r>
      <w:r>
        <w:rPr>
          <w:rFonts w:ascii="Times New Roman" w:eastAsia="Calibri" w:hAnsi="Times New Roman" w:cs="Times New Roman"/>
          <w:sz w:val="20"/>
          <w:szCs w:val="20"/>
        </w:rPr>
        <w:t>setup</w:t>
      </w:r>
      <w:r w:rsidR="00D807ED">
        <w:rPr>
          <w:rFonts w:ascii="Times New Roman" w:eastAsia="Calibri" w:hAnsi="Times New Roman" w:cs="Times New Roman"/>
          <w:sz w:val="20"/>
          <w:szCs w:val="20"/>
        </w:rPr>
        <w:t xml:space="preserve"> EN</w:t>
      </w:r>
      <w:r>
        <w:rPr>
          <w:rFonts w:ascii="Times New Roman" w:eastAsia="Calibri" w:hAnsi="Times New Roman" w:cs="Times New Roman"/>
          <w:sz w:val="20"/>
          <w:szCs w:val="20"/>
        </w:rPr>
        <w:t>-</w:t>
      </w:r>
      <w:r w:rsidR="00D807ED">
        <w:rPr>
          <w:rFonts w:ascii="Times New Roman" w:eastAsia="Calibri" w:hAnsi="Times New Roman" w:cs="Times New Roman"/>
          <w:sz w:val="20"/>
          <w:szCs w:val="20"/>
        </w:rPr>
        <w:t xml:space="preserve">DC, it needs to be possible </w:t>
      </w:r>
      <w:r>
        <w:rPr>
          <w:rFonts w:ascii="Times New Roman" w:eastAsia="Calibri" w:hAnsi="Times New Roman" w:cs="Times New Roman"/>
          <w:sz w:val="20"/>
          <w:szCs w:val="20"/>
        </w:rPr>
        <w:t xml:space="preserve">for MN </w:t>
      </w:r>
      <w:r w:rsidR="00D807ED">
        <w:rPr>
          <w:rFonts w:ascii="Times New Roman" w:eastAsia="Calibri" w:hAnsi="Times New Roman" w:cs="Times New Roman"/>
          <w:sz w:val="20"/>
          <w:szCs w:val="20"/>
        </w:rPr>
        <w:t>to configure measurements on an NR carrier while operating in LTE. I.e. MN need to be able to configure UE with NR inter-RAT measurements. Based on such configuration the UE will initiate measurements on the given NR measurement objects. Assuming similar use of measurement events, triggers and reporting the UE will at some point report NR cells to MN based on the inter-RAT measurement results.</w:t>
      </w:r>
    </w:p>
    <w:p w14:paraId="7DA4ED2A" w14:textId="77777777" w:rsidR="00D807ED" w:rsidRDefault="00D807ED" w:rsidP="00841BCD">
      <w:pPr>
        <w:ind w:right="-22"/>
        <w:rPr>
          <w:rFonts w:ascii="Times New Roman" w:eastAsia="Calibri" w:hAnsi="Times New Roman" w:cs="Times New Roman"/>
          <w:sz w:val="20"/>
          <w:szCs w:val="20"/>
        </w:rPr>
      </w:pPr>
      <w:r w:rsidRPr="00D807ED">
        <w:rPr>
          <w:rFonts w:ascii="Times New Roman" w:eastAsia="Calibri" w:hAnsi="Times New Roman" w:cs="Times New Roman"/>
          <w:b/>
          <w:sz w:val="20"/>
          <w:szCs w:val="20"/>
        </w:rPr>
        <w:t>Observation</w:t>
      </w:r>
      <w:r>
        <w:rPr>
          <w:rFonts w:ascii="Times New Roman" w:eastAsia="Calibri" w:hAnsi="Times New Roman" w:cs="Times New Roman"/>
          <w:b/>
          <w:sz w:val="20"/>
          <w:szCs w:val="20"/>
        </w:rPr>
        <w:t xml:space="preserve"> </w:t>
      </w:r>
      <w:r w:rsidR="003A1665">
        <w:rPr>
          <w:rFonts w:ascii="Times New Roman" w:eastAsia="Calibri" w:hAnsi="Times New Roman" w:cs="Times New Roman"/>
          <w:b/>
          <w:sz w:val="20"/>
          <w:szCs w:val="20"/>
        </w:rPr>
        <w:t>2</w:t>
      </w:r>
      <w:r w:rsidRPr="00D807ED">
        <w:rPr>
          <w:rFonts w:ascii="Times New Roman" w:eastAsia="Calibri" w:hAnsi="Times New Roman" w:cs="Times New Roman"/>
          <w:b/>
          <w:sz w:val="20"/>
          <w:szCs w:val="20"/>
        </w:rPr>
        <w:t>:</w:t>
      </w:r>
      <w:r>
        <w:rPr>
          <w:rFonts w:ascii="Times New Roman" w:eastAsia="Calibri" w:hAnsi="Times New Roman" w:cs="Times New Roman"/>
          <w:sz w:val="20"/>
          <w:szCs w:val="20"/>
        </w:rPr>
        <w:t xml:space="preserve"> MN (LTE) will have to be able to configure NR inter-RAT measurements.</w:t>
      </w:r>
    </w:p>
    <w:p w14:paraId="3B2B6BF4" w14:textId="77777777" w:rsidR="00C02F27" w:rsidRDefault="00596FC1" w:rsidP="00841BCD">
      <w:pPr>
        <w:ind w:right="-22"/>
        <w:rPr>
          <w:rFonts w:ascii="Times New Roman" w:eastAsia="Calibri" w:hAnsi="Times New Roman" w:cs="Times New Roman"/>
          <w:sz w:val="20"/>
          <w:szCs w:val="20"/>
        </w:rPr>
      </w:pPr>
      <w:r>
        <w:rPr>
          <w:rFonts w:ascii="Times New Roman" w:eastAsia="Calibri" w:hAnsi="Times New Roman" w:cs="Times New Roman"/>
          <w:sz w:val="20"/>
          <w:szCs w:val="20"/>
        </w:rPr>
        <w:t>From this it is clear that new NR inter-RAT measurement requirements are needed in 36.133 for UE supporting NR.</w:t>
      </w:r>
      <w:r w:rsidR="003F1A25">
        <w:rPr>
          <w:rFonts w:ascii="Times New Roman" w:eastAsia="Calibri" w:hAnsi="Times New Roman" w:cs="Times New Roman"/>
          <w:sz w:val="20"/>
          <w:szCs w:val="20"/>
        </w:rPr>
        <w:t xml:space="preserve"> Next question is how many </w:t>
      </w:r>
      <w:r w:rsidR="002E5ECA">
        <w:rPr>
          <w:rFonts w:ascii="Times New Roman" w:eastAsia="Calibri" w:hAnsi="Times New Roman" w:cs="Times New Roman"/>
          <w:sz w:val="20"/>
          <w:szCs w:val="20"/>
        </w:rPr>
        <w:t xml:space="preserve">NR </w:t>
      </w:r>
      <w:r w:rsidR="00C02F27">
        <w:rPr>
          <w:rFonts w:ascii="Times New Roman" w:eastAsia="Calibri" w:hAnsi="Times New Roman" w:cs="Times New Roman"/>
          <w:sz w:val="20"/>
          <w:szCs w:val="20"/>
        </w:rPr>
        <w:t xml:space="preserve">inter-RAT layers the UE shall be able to support when operating in LTE and how to decide on such requirement. </w:t>
      </w:r>
      <w:r w:rsidR="002E5ECA">
        <w:rPr>
          <w:rFonts w:ascii="Times New Roman" w:eastAsia="Calibri" w:hAnsi="Times New Roman" w:cs="Times New Roman"/>
          <w:sz w:val="20"/>
          <w:szCs w:val="20"/>
        </w:rPr>
        <w:t>Shall the NR layers be in addition to the number of layers that UE is currently required to support (i.e. number of inter-RAT layers is increased) or shall the support of NR Inter-RAT layers lead to a relaxation in the existing requirements such that the overall number of inter-RAT layers is not increased (too much)?</w:t>
      </w:r>
    </w:p>
    <w:p w14:paraId="0BD947AF" w14:textId="58DA75AF" w:rsidR="003349A7" w:rsidRDefault="004F2103" w:rsidP="00841BCD">
      <w:pPr>
        <w:ind w:right="-22"/>
        <w:rPr>
          <w:rFonts w:ascii="Times New Roman" w:eastAsia="Calibri" w:hAnsi="Times New Roman" w:cs="Times New Roman"/>
          <w:sz w:val="20"/>
          <w:szCs w:val="20"/>
        </w:rPr>
      </w:pPr>
      <w:r>
        <w:rPr>
          <w:rFonts w:ascii="Times New Roman" w:eastAsia="Calibri" w:hAnsi="Times New Roman" w:cs="Times New Roman"/>
          <w:sz w:val="20"/>
          <w:szCs w:val="20"/>
        </w:rPr>
        <w:t xml:space="preserve">Once the NR PSCell has been configured, the SN can configure </w:t>
      </w:r>
      <w:r w:rsidR="00FF28DB">
        <w:rPr>
          <w:rFonts w:ascii="Times New Roman" w:eastAsia="Calibri" w:hAnsi="Times New Roman" w:cs="Times New Roman"/>
          <w:sz w:val="20"/>
          <w:szCs w:val="20"/>
        </w:rPr>
        <w:t xml:space="preserve">its </w:t>
      </w:r>
      <w:r>
        <w:rPr>
          <w:rFonts w:ascii="Times New Roman" w:eastAsia="Calibri" w:hAnsi="Times New Roman" w:cs="Times New Roman"/>
          <w:sz w:val="20"/>
          <w:szCs w:val="20"/>
        </w:rPr>
        <w:t xml:space="preserve">own measurement configuration </w:t>
      </w:r>
      <w:r w:rsidR="00FF28DB">
        <w:rPr>
          <w:rFonts w:ascii="Times New Roman" w:eastAsia="Calibri" w:hAnsi="Times New Roman" w:cs="Times New Roman"/>
          <w:sz w:val="20"/>
          <w:szCs w:val="20"/>
        </w:rPr>
        <w:t xml:space="preserve">for NR Scell management (including </w:t>
      </w:r>
      <w:r>
        <w:rPr>
          <w:rFonts w:ascii="Times New Roman" w:eastAsia="Calibri" w:hAnsi="Times New Roman" w:cs="Times New Roman"/>
          <w:sz w:val="20"/>
          <w:szCs w:val="20"/>
        </w:rPr>
        <w:t>change of PSCell</w:t>
      </w:r>
      <w:r w:rsidR="00FF28DB">
        <w:rPr>
          <w:rFonts w:ascii="Times New Roman" w:eastAsia="Calibri" w:hAnsi="Times New Roman" w:cs="Times New Roman"/>
          <w:sz w:val="20"/>
          <w:szCs w:val="20"/>
        </w:rPr>
        <w:t>)</w:t>
      </w:r>
      <w:r w:rsidR="00FF28DB" w:rsidDel="00FF28DB">
        <w:rPr>
          <w:rFonts w:ascii="Times New Roman" w:eastAsia="Calibri" w:hAnsi="Times New Roman" w:cs="Times New Roman"/>
          <w:sz w:val="20"/>
          <w:szCs w:val="20"/>
        </w:rPr>
        <w:t xml:space="preserve"> </w:t>
      </w:r>
      <w:r>
        <w:rPr>
          <w:rFonts w:ascii="Times New Roman" w:eastAsia="Calibri" w:hAnsi="Times New Roman" w:cs="Times New Roman"/>
          <w:sz w:val="20"/>
          <w:szCs w:val="20"/>
        </w:rPr>
        <w:t>.</w:t>
      </w:r>
      <w:r w:rsidR="00CA6253">
        <w:rPr>
          <w:rFonts w:ascii="Times New Roman" w:eastAsia="Calibri" w:hAnsi="Times New Roman" w:cs="Times New Roman"/>
          <w:sz w:val="20"/>
          <w:szCs w:val="20"/>
        </w:rPr>
        <w:t xml:space="preserve"> For every serving NR ce</w:t>
      </w:r>
      <w:r w:rsidR="003349A7">
        <w:rPr>
          <w:rFonts w:ascii="Times New Roman" w:eastAsia="Calibri" w:hAnsi="Times New Roman" w:cs="Times New Roman"/>
          <w:sz w:val="20"/>
          <w:szCs w:val="20"/>
        </w:rPr>
        <w:t>ll</w:t>
      </w:r>
      <w:r w:rsidR="00D00236">
        <w:rPr>
          <w:rFonts w:ascii="Times New Roman" w:eastAsia="Calibri" w:hAnsi="Times New Roman" w:cs="Times New Roman"/>
          <w:sz w:val="20"/>
          <w:szCs w:val="20"/>
        </w:rPr>
        <w:t>,</w:t>
      </w:r>
      <w:r w:rsidR="003349A7">
        <w:rPr>
          <w:rFonts w:ascii="Times New Roman" w:eastAsia="Calibri" w:hAnsi="Times New Roman" w:cs="Times New Roman"/>
          <w:sz w:val="20"/>
          <w:szCs w:val="20"/>
        </w:rPr>
        <w:t xml:space="preserve"> RAN4 will need to discuss and decide on </w:t>
      </w:r>
      <w:r w:rsidR="002F601A">
        <w:rPr>
          <w:rFonts w:ascii="Times New Roman" w:eastAsia="Calibri" w:hAnsi="Times New Roman" w:cs="Times New Roman"/>
          <w:sz w:val="20"/>
          <w:szCs w:val="20"/>
        </w:rPr>
        <w:t xml:space="preserve">the </w:t>
      </w:r>
      <w:r w:rsidR="003349A7">
        <w:rPr>
          <w:rFonts w:ascii="Times New Roman" w:eastAsia="Calibri" w:hAnsi="Times New Roman" w:cs="Times New Roman"/>
          <w:sz w:val="20"/>
          <w:szCs w:val="20"/>
        </w:rPr>
        <w:t xml:space="preserve">requirements related to number of intra-frequency cells the UE should be able to monitor. </w:t>
      </w:r>
    </w:p>
    <w:p w14:paraId="299FC876" w14:textId="77777777" w:rsidR="004F2103" w:rsidRDefault="003349A7" w:rsidP="00841BCD">
      <w:pPr>
        <w:ind w:right="-22"/>
        <w:rPr>
          <w:rFonts w:ascii="Times New Roman" w:eastAsia="Calibri" w:hAnsi="Times New Roman" w:cs="Times New Roman"/>
          <w:sz w:val="20"/>
          <w:szCs w:val="20"/>
        </w:rPr>
      </w:pPr>
      <w:r>
        <w:rPr>
          <w:rFonts w:ascii="Times New Roman" w:eastAsia="Calibri" w:hAnsi="Times New Roman" w:cs="Times New Roman"/>
          <w:sz w:val="20"/>
          <w:szCs w:val="20"/>
        </w:rPr>
        <w:t xml:space="preserve">Additionally, RAN4 will need to discuss the </w:t>
      </w:r>
      <w:r w:rsidR="009028BB">
        <w:rPr>
          <w:rFonts w:ascii="Times New Roman" w:eastAsia="Calibri" w:hAnsi="Times New Roman" w:cs="Times New Roman"/>
          <w:sz w:val="20"/>
          <w:szCs w:val="20"/>
        </w:rPr>
        <w:t>number of inter-frequency and inter-RAT layers the UE be able to monitor and how these numbers are supposed to be determined across LTE and NR RAT in terms of total number of carriers.</w:t>
      </w:r>
    </w:p>
    <w:p w14:paraId="71DA2012" w14:textId="4FE18D72" w:rsidR="009028BB" w:rsidRDefault="009028BB" w:rsidP="00841BCD">
      <w:pPr>
        <w:ind w:right="-22"/>
        <w:rPr>
          <w:rFonts w:ascii="Times New Roman" w:eastAsia="Calibri" w:hAnsi="Times New Roman" w:cs="Times New Roman"/>
          <w:sz w:val="20"/>
          <w:szCs w:val="20"/>
        </w:rPr>
      </w:pPr>
      <w:r>
        <w:rPr>
          <w:rFonts w:ascii="Times New Roman" w:eastAsia="Calibri" w:hAnsi="Times New Roman" w:cs="Times New Roman"/>
          <w:sz w:val="20"/>
          <w:szCs w:val="20"/>
        </w:rPr>
        <w:t xml:space="preserve">Considering only </w:t>
      </w:r>
      <w:r w:rsidR="00B31E4C">
        <w:rPr>
          <w:rFonts w:ascii="Times New Roman" w:eastAsia="Calibri" w:hAnsi="Times New Roman" w:cs="Times New Roman"/>
          <w:sz w:val="20"/>
          <w:szCs w:val="20"/>
        </w:rPr>
        <w:t xml:space="preserve">EN-DC (i.e. NR </w:t>
      </w:r>
      <w:r>
        <w:rPr>
          <w:rFonts w:ascii="Times New Roman" w:eastAsia="Calibri" w:hAnsi="Times New Roman" w:cs="Times New Roman"/>
          <w:sz w:val="20"/>
          <w:szCs w:val="20"/>
        </w:rPr>
        <w:t>NSA option 3</w:t>
      </w:r>
      <w:r w:rsidR="00B31E4C">
        <w:rPr>
          <w:rFonts w:ascii="Times New Roman" w:eastAsia="Calibri" w:hAnsi="Times New Roman" w:cs="Times New Roman"/>
          <w:sz w:val="20"/>
          <w:szCs w:val="20"/>
        </w:rPr>
        <w:t>)</w:t>
      </w:r>
      <w:r>
        <w:rPr>
          <w:rFonts w:ascii="Times New Roman" w:eastAsia="Calibri" w:hAnsi="Times New Roman" w:cs="Times New Roman"/>
          <w:sz w:val="20"/>
          <w:szCs w:val="20"/>
        </w:rPr>
        <w:t>, RAN4 would not need to discuss inter-RAT frequency layers from NR point of view</w:t>
      </w:r>
      <w:r w:rsidR="00667979">
        <w:rPr>
          <w:rFonts w:ascii="Times New Roman" w:eastAsia="Calibri" w:hAnsi="Times New Roman" w:cs="Times New Roman"/>
          <w:sz w:val="20"/>
          <w:szCs w:val="20"/>
        </w:rPr>
        <w:t>. This means RAN4 can focus on inter-frequency layers that UE needs to be able to monitor from NR. From RAN4 point of we think the combined UE measurement configuration should be used as base for the requirements – i.e. the combined number of inter-frequency and inter-RAT layers received from the MN measurement configuration and the SN measurement configuration.</w:t>
      </w:r>
    </w:p>
    <w:p w14:paraId="580D3E23" w14:textId="052F22F5" w:rsidR="003349A7" w:rsidRDefault="003A1665" w:rsidP="00841BCD">
      <w:pPr>
        <w:ind w:right="-22"/>
        <w:rPr>
          <w:rFonts w:ascii="Times New Roman" w:eastAsia="Calibri" w:hAnsi="Times New Roman" w:cs="Times New Roman"/>
          <w:sz w:val="20"/>
          <w:szCs w:val="20"/>
        </w:rPr>
      </w:pPr>
      <w:r w:rsidRPr="003A1665">
        <w:rPr>
          <w:rFonts w:ascii="Times New Roman" w:eastAsia="Calibri" w:hAnsi="Times New Roman" w:cs="Times New Roman"/>
          <w:b/>
          <w:sz w:val="20"/>
          <w:szCs w:val="20"/>
        </w:rPr>
        <w:t>Proposal 2:</w:t>
      </w:r>
      <w:r>
        <w:rPr>
          <w:rFonts w:ascii="Times New Roman" w:eastAsia="Calibri" w:hAnsi="Times New Roman" w:cs="Times New Roman"/>
          <w:sz w:val="20"/>
          <w:szCs w:val="20"/>
        </w:rPr>
        <w:t xml:space="preserve"> The combined UE measurement configuration </w:t>
      </w:r>
      <w:r w:rsidR="00B31E4C">
        <w:rPr>
          <w:rFonts w:ascii="Times New Roman" w:eastAsia="Calibri" w:hAnsi="Times New Roman" w:cs="Times New Roman"/>
          <w:sz w:val="20"/>
          <w:szCs w:val="20"/>
        </w:rPr>
        <w:t>(i.e. measurements configure</w:t>
      </w:r>
      <w:r w:rsidR="00DF21A2">
        <w:rPr>
          <w:rFonts w:ascii="Times New Roman" w:eastAsia="Calibri" w:hAnsi="Times New Roman" w:cs="Times New Roman"/>
          <w:sz w:val="20"/>
          <w:szCs w:val="20"/>
        </w:rPr>
        <w:t>d</w:t>
      </w:r>
      <w:r w:rsidR="00B31E4C">
        <w:rPr>
          <w:rFonts w:ascii="Times New Roman" w:eastAsia="Calibri" w:hAnsi="Times New Roman" w:cs="Times New Roman"/>
          <w:sz w:val="20"/>
          <w:szCs w:val="20"/>
        </w:rPr>
        <w:t xml:space="preserve"> by MN and SN) </w:t>
      </w:r>
      <w:r>
        <w:rPr>
          <w:rFonts w:ascii="Times New Roman" w:eastAsia="Calibri" w:hAnsi="Times New Roman" w:cs="Times New Roman"/>
          <w:sz w:val="20"/>
          <w:szCs w:val="20"/>
        </w:rPr>
        <w:t>should be used as base for the requirements</w:t>
      </w:r>
      <w:r w:rsidR="00B31E4C">
        <w:rPr>
          <w:rFonts w:ascii="Times New Roman" w:eastAsia="Calibri" w:hAnsi="Times New Roman" w:cs="Times New Roman"/>
          <w:sz w:val="20"/>
          <w:szCs w:val="20"/>
        </w:rPr>
        <w:t>.</w:t>
      </w:r>
    </w:p>
    <w:p w14:paraId="0F159843" w14:textId="77777777" w:rsidR="003A1665" w:rsidRDefault="003A1665" w:rsidP="00841BCD">
      <w:pPr>
        <w:ind w:right="-22"/>
        <w:rPr>
          <w:rFonts w:ascii="Times New Roman" w:eastAsia="Calibri" w:hAnsi="Times New Roman" w:cs="Times New Roman"/>
          <w:sz w:val="20"/>
          <w:szCs w:val="20"/>
        </w:rPr>
      </w:pPr>
      <w:r>
        <w:rPr>
          <w:rFonts w:ascii="Times New Roman" w:eastAsia="Calibri" w:hAnsi="Times New Roman" w:cs="Times New Roman"/>
          <w:sz w:val="20"/>
          <w:szCs w:val="20"/>
        </w:rPr>
        <w:t>Next question is then how to combine two measurement configurations? E.g. when are two measurement configurations same or similar enough to count as one?</w:t>
      </w:r>
    </w:p>
    <w:p w14:paraId="4A7F0A1F" w14:textId="77777777" w:rsidR="00B44BB4" w:rsidRDefault="00B44BB4"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When it comes to the NR cell detection and measurement it is clear from the current RAN1 decisions, that the UE would at least need to be informed about the location of the center carrier frequency of the SS-Block. I.e. one could conclude that an NR Object refer to the center carrier frequency of the SS-Block.</w:t>
      </w:r>
    </w:p>
    <w:p w14:paraId="06B4218E" w14:textId="1AFC2436" w:rsidR="00B44BB4" w:rsidRDefault="00B44BB4" w:rsidP="00841BCD">
      <w:pPr>
        <w:ind w:right="-22"/>
        <w:rPr>
          <w:rFonts w:ascii="Times New Roman" w:eastAsia="Calibri" w:hAnsi="Times New Roman" w:cs="Times New Roman"/>
          <w:sz w:val="20"/>
          <w:szCs w:val="20"/>
          <w:lang w:val="en-GB"/>
        </w:rPr>
      </w:pPr>
      <w:r w:rsidRPr="00B44BB4">
        <w:rPr>
          <w:rFonts w:ascii="Times New Roman" w:eastAsia="Calibri" w:hAnsi="Times New Roman" w:cs="Times New Roman"/>
          <w:b/>
          <w:sz w:val="20"/>
          <w:szCs w:val="20"/>
          <w:lang w:val="en-GB"/>
        </w:rPr>
        <w:t>Proposal 3:</w:t>
      </w:r>
      <w:r>
        <w:rPr>
          <w:rFonts w:ascii="Times New Roman" w:eastAsia="Calibri" w:hAnsi="Times New Roman" w:cs="Times New Roman"/>
          <w:sz w:val="20"/>
          <w:szCs w:val="20"/>
          <w:lang w:val="en-GB"/>
        </w:rPr>
        <w:t xml:space="preserve"> An NR </w:t>
      </w:r>
      <w:r w:rsidR="00982D2A">
        <w:rPr>
          <w:rFonts w:ascii="Times New Roman" w:eastAsia="Calibri" w:hAnsi="Times New Roman" w:cs="Times New Roman"/>
          <w:sz w:val="20"/>
          <w:szCs w:val="20"/>
          <w:lang w:val="en-GB"/>
        </w:rPr>
        <w:t>measurement o</w:t>
      </w:r>
      <w:r>
        <w:rPr>
          <w:rFonts w:ascii="Times New Roman" w:eastAsia="Calibri" w:hAnsi="Times New Roman" w:cs="Times New Roman"/>
          <w:sz w:val="20"/>
          <w:szCs w:val="20"/>
          <w:lang w:val="en-GB"/>
        </w:rPr>
        <w:t>bject refer</w:t>
      </w:r>
      <w:r w:rsidR="00982D2A">
        <w:rPr>
          <w:rFonts w:ascii="Times New Roman" w:eastAsia="Calibri" w:hAnsi="Times New Roman" w:cs="Times New Roman"/>
          <w:sz w:val="20"/>
          <w:szCs w:val="20"/>
          <w:lang w:val="en-GB"/>
        </w:rPr>
        <w:t>s</w:t>
      </w:r>
      <w:r>
        <w:rPr>
          <w:rFonts w:ascii="Times New Roman" w:eastAsia="Calibri" w:hAnsi="Times New Roman" w:cs="Times New Roman"/>
          <w:sz w:val="20"/>
          <w:szCs w:val="20"/>
          <w:lang w:val="en-GB"/>
        </w:rPr>
        <w:t xml:space="preserve"> to the center carrier frequency of the SS-Block</w:t>
      </w:r>
    </w:p>
    <w:p w14:paraId="4777F357" w14:textId="7715E4D6" w:rsidR="00B44BB4" w:rsidRDefault="00B44BB4"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Once an NR Object is configured this would lead to that the UE will start to monitor the Object. As RAN2 has decided it is possible that </w:t>
      </w:r>
      <w:r w:rsidR="002B3569">
        <w:rPr>
          <w:rFonts w:ascii="Times New Roman" w:eastAsia="Calibri" w:hAnsi="Times New Roman" w:cs="Times New Roman"/>
          <w:sz w:val="20"/>
          <w:szCs w:val="20"/>
          <w:lang w:val="en-GB"/>
        </w:rPr>
        <w:t xml:space="preserve">both </w:t>
      </w:r>
      <w:r>
        <w:rPr>
          <w:rFonts w:ascii="Times New Roman" w:eastAsia="Calibri" w:hAnsi="Times New Roman" w:cs="Times New Roman"/>
          <w:sz w:val="20"/>
          <w:szCs w:val="20"/>
          <w:lang w:val="en-GB"/>
        </w:rPr>
        <w:t xml:space="preserve">MN and SN configures </w:t>
      </w:r>
      <w:r w:rsidR="002B3569">
        <w:rPr>
          <w:rFonts w:ascii="Times New Roman" w:eastAsia="Calibri" w:hAnsi="Times New Roman" w:cs="Times New Roman"/>
          <w:sz w:val="20"/>
          <w:szCs w:val="20"/>
          <w:lang w:val="en-GB"/>
        </w:rPr>
        <w:t xml:space="preserve">the </w:t>
      </w:r>
      <w:r>
        <w:rPr>
          <w:rFonts w:ascii="Times New Roman" w:eastAsia="Calibri" w:hAnsi="Times New Roman" w:cs="Times New Roman"/>
          <w:sz w:val="20"/>
          <w:szCs w:val="20"/>
          <w:lang w:val="en-GB"/>
        </w:rPr>
        <w:t>same measurement Object</w:t>
      </w:r>
      <w:r w:rsidR="00982D2A">
        <w:rPr>
          <w:rFonts w:ascii="Times New Roman" w:eastAsia="Calibri" w:hAnsi="Times New Roman" w:cs="Times New Roman"/>
          <w:sz w:val="20"/>
          <w:szCs w:val="20"/>
          <w:lang w:val="en-GB"/>
        </w:rPr>
        <w:t xml:space="preserve">, so </w:t>
      </w:r>
      <w:r>
        <w:rPr>
          <w:rFonts w:ascii="Times New Roman" w:eastAsia="Calibri" w:hAnsi="Times New Roman" w:cs="Times New Roman"/>
          <w:sz w:val="20"/>
          <w:szCs w:val="20"/>
          <w:lang w:val="en-GB"/>
        </w:rPr>
        <w:t xml:space="preserve"> it is reasonable to assume that the physical measurement of the Object only needs to be carried out</w:t>
      </w:r>
      <w:r w:rsidR="002B3569">
        <w:rPr>
          <w:rFonts w:ascii="Times New Roman" w:eastAsia="Calibri" w:hAnsi="Times New Roman" w:cs="Times New Roman"/>
          <w:sz w:val="20"/>
          <w:szCs w:val="20"/>
          <w:lang w:val="en-GB"/>
        </w:rPr>
        <w:t xml:space="preserve"> once by the UE,</w:t>
      </w:r>
      <w:r>
        <w:rPr>
          <w:rFonts w:ascii="Times New Roman" w:eastAsia="Calibri" w:hAnsi="Times New Roman" w:cs="Times New Roman"/>
          <w:sz w:val="20"/>
          <w:szCs w:val="20"/>
          <w:lang w:val="en-GB"/>
        </w:rPr>
        <w:t xml:space="preserve"> despite the fact that the UE is configured with same Object from </w:t>
      </w:r>
      <w:r w:rsidR="002B3569">
        <w:rPr>
          <w:rFonts w:ascii="Times New Roman" w:eastAsia="Calibri" w:hAnsi="Times New Roman" w:cs="Times New Roman"/>
          <w:sz w:val="20"/>
          <w:szCs w:val="20"/>
          <w:lang w:val="en-GB"/>
        </w:rPr>
        <w:t xml:space="preserve">both </w:t>
      </w:r>
      <w:r>
        <w:rPr>
          <w:rFonts w:ascii="Times New Roman" w:eastAsia="Calibri" w:hAnsi="Times New Roman" w:cs="Times New Roman"/>
          <w:sz w:val="20"/>
          <w:szCs w:val="20"/>
          <w:lang w:val="en-GB"/>
        </w:rPr>
        <w:t>MN and SN.</w:t>
      </w:r>
    </w:p>
    <w:p w14:paraId="5FBF37A1" w14:textId="77777777" w:rsidR="00B44BB4" w:rsidRDefault="00B44BB4" w:rsidP="00841BCD">
      <w:pPr>
        <w:ind w:right="-22"/>
        <w:rPr>
          <w:rFonts w:ascii="Times New Roman" w:eastAsia="Calibri" w:hAnsi="Times New Roman" w:cs="Times New Roman"/>
          <w:sz w:val="20"/>
          <w:szCs w:val="20"/>
          <w:lang w:val="en-GB"/>
        </w:rPr>
      </w:pPr>
      <w:r w:rsidRPr="00C8013A">
        <w:rPr>
          <w:rFonts w:ascii="Times New Roman" w:eastAsia="Calibri" w:hAnsi="Times New Roman" w:cs="Times New Roman"/>
          <w:b/>
          <w:sz w:val="20"/>
          <w:szCs w:val="20"/>
          <w:lang w:val="en-GB"/>
        </w:rPr>
        <w:t>Observation</w:t>
      </w:r>
      <w:r w:rsidR="00C8013A" w:rsidRPr="00C8013A">
        <w:rPr>
          <w:rFonts w:ascii="Times New Roman" w:eastAsia="Calibri" w:hAnsi="Times New Roman" w:cs="Times New Roman"/>
          <w:b/>
          <w:sz w:val="20"/>
          <w:szCs w:val="20"/>
          <w:lang w:val="en-GB"/>
        </w:rPr>
        <w:t xml:space="preserve"> 3:</w:t>
      </w:r>
      <w:r w:rsidR="00C8013A">
        <w:rPr>
          <w:rFonts w:ascii="Times New Roman" w:eastAsia="Calibri" w:hAnsi="Times New Roman" w:cs="Times New Roman"/>
          <w:sz w:val="20"/>
          <w:szCs w:val="20"/>
          <w:lang w:val="en-GB"/>
        </w:rPr>
        <w:t xml:space="preserve"> Physical measurement of an Object is only needed once although an Object is configured twice.</w:t>
      </w:r>
    </w:p>
    <w:p w14:paraId="45C61253" w14:textId="2D716FA6" w:rsidR="00E269CA" w:rsidRDefault="00C8013A"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A measurement configuration includes more parameters than just the Object to be measured. On the other hand – </w:t>
      </w:r>
      <w:r w:rsidR="002B3569">
        <w:rPr>
          <w:rFonts w:ascii="Times New Roman" w:eastAsia="Calibri" w:hAnsi="Times New Roman" w:cs="Times New Roman"/>
          <w:sz w:val="20"/>
          <w:szCs w:val="20"/>
          <w:lang w:val="en-GB"/>
        </w:rPr>
        <w:t>most</w:t>
      </w:r>
      <w:r>
        <w:rPr>
          <w:rFonts w:ascii="Times New Roman" w:eastAsia="Calibri" w:hAnsi="Times New Roman" w:cs="Times New Roman"/>
          <w:sz w:val="20"/>
          <w:szCs w:val="20"/>
          <w:lang w:val="en-GB"/>
        </w:rPr>
        <w:t xml:space="preserve"> of these parameters are more related to postprocessing of the physical measurement – e.g. adding offsets</w:t>
      </w:r>
      <w:r w:rsidR="00982D2A">
        <w:rPr>
          <w:rFonts w:ascii="Times New Roman" w:eastAsia="Calibri" w:hAnsi="Times New Roman" w:cs="Times New Roman"/>
          <w:sz w:val="20"/>
          <w:szCs w:val="20"/>
          <w:lang w:val="en-GB"/>
        </w:rPr>
        <w:t xml:space="preserve"> to measurement results</w:t>
      </w:r>
      <w:r>
        <w:rPr>
          <w:rFonts w:ascii="Times New Roman" w:eastAsia="Calibri" w:hAnsi="Times New Roman" w:cs="Times New Roman"/>
          <w:sz w:val="20"/>
          <w:szCs w:val="20"/>
          <w:lang w:val="en-GB"/>
        </w:rPr>
        <w:t xml:space="preserve">, evaluating </w:t>
      </w:r>
      <w:r w:rsidR="00982D2A">
        <w:rPr>
          <w:rFonts w:ascii="Times New Roman" w:eastAsia="Calibri" w:hAnsi="Times New Roman" w:cs="Times New Roman"/>
          <w:sz w:val="20"/>
          <w:szCs w:val="20"/>
          <w:lang w:val="en-GB"/>
        </w:rPr>
        <w:t xml:space="preserve">triggering of </w:t>
      </w:r>
      <w:r>
        <w:rPr>
          <w:rFonts w:ascii="Times New Roman" w:eastAsia="Calibri" w:hAnsi="Times New Roman" w:cs="Times New Roman"/>
          <w:sz w:val="20"/>
          <w:szCs w:val="20"/>
          <w:lang w:val="en-GB"/>
        </w:rPr>
        <w:t>events</w:t>
      </w:r>
      <w:r w:rsidR="00982D2A">
        <w:rPr>
          <w:rFonts w:ascii="Times New Roman" w:eastAsia="Calibri" w:hAnsi="Times New Roman" w:cs="Times New Roman"/>
          <w:sz w:val="20"/>
          <w:szCs w:val="20"/>
          <w:lang w:val="en-GB"/>
        </w:rPr>
        <w:t xml:space="preserve"> (including which cells may trigger an event)</w:t>
      </w:r>
      <w:r>
        <w:rPr>
          <w:rFonts w:ascii="Times New Roman" w:eastAsia="Calibri" w:hAnsi="Times New Roman" w:cs="Times New Roman"/>
          <w:sz w:val="20"/>
          <w:szCs w:val="20"/>
          <w:lang w:val="en-GB"/>
        </w:rPr>
        <w:t xml:space="preserve">, starting/stopping </w:t>
      </w:r>
      <w:r>
        <w:rPr>
          <w:rFonts w:ascii="Times New Roman" w:eastAsia="Calibri" w:hAnsi="Times New Roman" w:cs="Times New Roman"/>
          <w:sz w:val="20"/>
          <w:szCs w:val="20"/>
          <w:lang w:val="en-GB"/>
        </w:rPr>
        <w:lastRenderedPageBreak/>
        <w:t>timers etc. Post-processing of course impact the UE to some extent, but this impact is less than carrying out the actual physical measurement (e.g. RF chain need not be activated</w:t>
      </w:r>
      <w:r w:rsidR="002B3569">
        <w:rPr>
          <w:rFonts w:ascii="Times New Roman" w:eastAsia="Calibri" w:hAnsi="Times New Roman" w:cs="Times New Roman"/>
          <w:sz w:val="20"/>
          <w:szCs w:val="20"/>
          <w:lang w:val="en-GB"/>
        </w:rPr>
        <w:t>, possible gap impact</w:t>
      </w:r>
      <w:r>
        <w:rPr>
          <w:rFonts w:ascii="Times New Roman" w:eastAsia="Calibri" w:hAnsi="Times New Roman" w:cs="Times New Roman"/>
          <w:sz w:val="20"/>
          <w:szCs w:val="20"/>
          <w:lang w:val="en-GB"/>
        </w:rPr>
        <w:t>)</w:t>
      </w:r>
      <w:r w:rsidR="00E269CA">
        <w:rPr>
          <w:rFonts w:ascii="Times New Roman" w:eastAsia="Calibri" w:hAnsi="Times New Roman" w:cs="Times New Roman"/>
          <w:sz w:val="20"/>
          <w:szCs w:val="20"/>
          <w:lang w:val="en-GB"/>
        </w:rPr>
        <w:t xml:space="preserve">. </w:t>
      </w:r>
    </w:p>
    <w:p w14:paraId="5AB9D723" w14:textId="77777777" w:rsidR="00C8013A" w:rsidRDefault="00E269CA"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When it comes to actual physical measurements of configured Objects and how to count the number of inter-frequency and inter-RAT layers, we propose that if an Object is configured from both MN and SN it only count as one Object in the total number of effective carrier to monitor requirement.</w:t>
      </w:r>
    </w:p>
    <w:p w14:paraId="267F4384" w14:textId="1DF8D83C" w:rsidR="00E269CA" w:rsidRDefault="00E269CA" w:rsidP="00841BCD">
      <w:pPr>
        <w:ind w:right="-22"/>
        <w:rPr>
          <w:rFonts w:ascii="Times New Roman" w:eastAsia="Calibri" w:hAnsi="Times New Roman" w:cs="Times New Roman"/>
          <w:sz w:val="20"/>
          <w:szCs w:val="20"/>
          <w:lang w:val="en-GB"/>
        </w:rPr>
      </w:pPr>
      <w:r w:rsidRPr="00E269CA">
        <w:rPr>
          <w:rFonts w:ascii="Times New Roman" w:eastAsia="Calibri" w:hAnsi="Times New Roman" w:cs="Times New Roman"/>
          <w:b/>
          <w:sz w:val="20"/>
          <w:szCs w:val="20"/>
          <w:lang w:val="en-GB"/>
        </w:rPr>
        <w:t>Proposal 4:</w:t>
      </w:r>
      <w:r>
        <w:rPr>
          <w:rFonts w:ascii="Times New Roman" w:eastAsia="Calibri" w:hAnsi="Times New Roman" w:cs="Times New Roman"/>
          <w:sz w:val="20"/>
          <w:szCs w:val="20"/>
          <w:lang w:val="en-GB"/>
        </w:rPr>
        <w:t xml:space="preserve"> If an Object is configured from both MN and SN it only count</w:t>
      </w:r>
      <w:r w:rsidR="00982D2A">
        <w:rPr>
          <w:rFonts w:ascii="Times New Roman" w:eastAsia="Calibri" w:hAnsi="Times New Roman" w:cs="Times New Roman"/>
          <w:sz w:val="20"/>
          <w:szCs w:val="20"/>
          <w:lang w:val="en-GB"/>
        </w:rPr>
        <w:t>s</w:t>
      </w:r>
      <w:r>
        <w:rPr>
          <w:rFonts w:ascii="Times New Roman" w:eastAsia="Calibri" w:hAnsi="Times New Roman" w:cs="Times New Roman"/>
          <w:sz w:val="20"/>
          <w:szCs w:val="20"/>
          <w:lang w:val="en-GB"/>
        </w:rPr>
        <w:t xml:space="preserve"> as one Object in </w:t>
      </w:r>
      <w:r w:rsidR="00982D2A">
        <w:rPr>
          <w:rFonts w:ascii="Times New Roman" w:eastAsia="Calibri" w:hAnsi="Times New Roman" w:cs="Times New Roman"/>
          <w:sz w:val="20"/>
          <w:szCs w:val="20"/>
          <w:lang w:val="en-GB"/>
        </w:rPr>
        <w:t xml:space="preserve">requirement for </w:t>
      </w:r>
      <w:r>
        <w:rPr>
          <w:rFonts w:ascii="Times New Roman" w:eastAsia="Calibri" w:hAnsi="Times New Roman" w:cs="Times New Roman"/>
          <w:sz w:val="20"/>
          <w:szCs w:val="20"/>
          <w:lang w:val="en-GB"/>
        </w:rPr>
        <w:t>the total number of effective carrier</w:t>
      </w:r>
      <w:r w:rsidR="00982D2A">
        <w:rPr>
          <w:rFonts w:ascii="Times New Roman" w:eastAsia="Calibri" w:hAnsi="Times New Roman" w:cs="Times New Roman"/>
          <w:sz w:val="20"/>
          <w:szCs w:val="20"/>
          <w:lang w:val="en-GB"/>
        </w:rPr>
        <w:t>s</w:t>
      </w:r>
      <w:r>
        <w:rPr>
          <w:rFonts w:ascii="Times New Roman" w:eastAsia="Calibri" w:hAnsi="Times New Roman" w:cs="Times New Roman"/>
          <w:sz w:val="20"/>
          <w:szCs w:val="20"/>
          <w:lang w:val="en-GB"/>
        </w:rPr>
        <w:t xml:space="preserve"> to monitor.</w:t>
      </w:r>
    </w:p>
    <w:p w14:paraId="7B4DE4B5" w14:textId="6D8957EE" w:rsidR="00E269CA" w:rsidRDefault="00E269CA"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Rest of the measurement configuration for the Object configuration may be different based on whether the Object is configured from MN or from SN. The impact from having different parameterization will be on the total number of reporting criteria.</w:t>
      </w:r>
    </w:p>
    <w:p w14:paraId="48FF3CF9" w14:textId="77777777" w:rsidR="00DE24A3" w:rsidRDefault="00DE24A3" w:rsidP="00841BCD">
      <w:pPr>
        <w:ind w:right="-22"/>
        <w:rPr>
          <w:rFonts w:ascii="Times New Roman" w:eastAsia="Calibri" w:hAnsi="Times New Roman" w:cs="Times New Roman"/>
          <w:sz w:val="20"/>
          <w:szCs w:val="20"/>
          <w:lang w:val="en-GB"/>
        </w:rPr>
      </w:pPr>
    </w:p>
    <w:p w14:paraId="6CE5B3E9" w14:textId="4A08A72E" w:rsidR="00842AC7" w:rsidRPr="00841BCD" w:rsidRDefault="00842AC7" w:rsidP="00842AC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4</w:t>
      </w:r>
      <w:r w:rsidRPr="00841BCD">
        <w:rPr>
          <w:rFonts w:ascii="Arial" w:eastAsia="SimSun" w:hAnsi="Arial" w:cs="Times New Roman"/>
          <w:sz w:val="36"/>
          <w:szCs w:val="20"/>
          <w:lang w:val="en-GB"/>
        </w:rPr>
        <w:tab/>
      </w:r>
      <w:r>
        <w:rPr>
          <w:rFonts w:ascii="Arial" w:eastAsia="Calibri" w:hAnsi="Arial" w:cs="Arial"/>
          <w:sz w:val="36"/>
        </w:rPr>
        <w:t>FDD/TDD differentiation</w:t>
      </w:r>
    </w:p>
    <w:p w14:paraId="5B78E8B6" w14:textId="77777777" w:rsidR="00882B78" w:rsidRDefault="007306ED" w:rsidP="00882B78">
      <w:pPr>
        <w:ind w:right="-22"/>
        <w:rPr>
          <w:rFonts w:ascii="Times New Roman" w:eastAsia="Calibri" w:hAnsi="Times New Roman" w:cs="Times New Roman"/>
          <w:sz w:val="20"/>
          <w:szCs w:val="20"/>
        </w:rPr>
      </w:pPr>
      <w:r>
        <w:rPr>
          <w:rFonts w:ascii="Times New Roman" w:eastAsia="Calibri" w:hAnsi="Times New Roman" w:cs="Times New Roman"/>
          <w:sz w:val="20"/>
          <w:szCs w:val="20"/>
        </w:rPr>
        <w:t xml:space="preserve">In LTE RAN4 have defined clear requirements regarding the number of carriers the UE shall be able to monitor per RAT group and per capability (FDD/TDD). There are requirement for UEs supporting only FDD, UEs supporting only TDD and then also UEs supporting both FDD and TDD. </w:t>
      </w:r>
    </w:p>
    <w:p w14:paraId="4884790A" w14:textId="5F59EBB4" w:rsidR="00E269CA" w:rsidRDefault="007306ED" w:rsidP="00841BCD">
      <w:pPr>
        <w:ind w:right="-22"/>
        <w:rPr>
          <w:rFonts w:ascii="Times New Roman" w:eastAsia="Calibri" w:hAnsi="Times New Roman" w:cs="Times New Roman"/>
          <w:sz w:val="20"/>
          <w:szCs w:val="20"/>
        </w:rPr>
      </w:pPr>
      <w:r>
        <w:rPr>
          <w:rFonts w:ascii="Times New Roman" w:eastAsia="Calibri" w:hAnsi="Times New Roman" w:cs="Times New Roman"/>
          <w:sz w:val="20"/>
          <w:szCs w:val="20"/>
        </w:rPr>
        <w:t xml:space="preserve">Common understanding is that </w:t>
      </w:r>
      <w:r w:rsidR="00882B78">
        <w:rPr>
          <w:rFonts w:ascii="Times New Roman" w:eastAsia="Calibri" w:hAnsi="Times New Roman" w:cs="Times New Roman"/>
          <w:sz w:val="20"/>
          <w:szCs w:val="20"/>
        </w:rPr>
        <w:t xml:space="preserve">at least a large majority of the </w:t>
      </w:r>
      <w:r>
        <w:rPr>
          <w:rFonts w:ascii="Times New Roman" w:eastAsia="Calibri" w:hAnsi="Times New Roman" w:cs="Times New Roman"/>
          <w:sz w:val="20"/>
          <w:szCs w:val="20"/>
        </w:rPr>
        <w:t>bands for NR will be TDD bands.</w:t>
      </w:r>
      <w:r w:rsidR="00882B78">
        <w:rPr>
          <w:rFonts w:ascii="Times New Roman" w:eastAsia="Calibri" w:hAnsi="Times New Roman" w:cs="Times New Roman"/>
          <w:sz w:val="20"/>
          <w:szCs w:val="20"/>
        </w:rPr>
        <w:t xml:space="preserve"> This somehow indicates that the UE might have to be able to monitor more TDD carrier than FDD carriers. One approach </w:t>
      </w:r>
      <w:r w:rsidR="00DE24A3">
        <w:rPr>
          <w:rFonts w:ascii="Times New Roman" w:eastAsia="Calibri" w:hAnsi="Times New Roman" w:cs="Times New Roman"/>
          <w:sz w:val="20"/>
          <w:szCs w:val="20"/>
        </w:rPr>
        <w:t xml:space="preserve">to address the FDD/TDD differentiation, </w:t>
      </w:r>
      <w:r w:rsidR="00882B78">
        <w:rPr>
          <w:rFonts w:ascii="Times New Roman" w:eastAsia="Calibri" w:hAnsi="Times New Roman" w:cs="Times New Roman"/>
          <w:sz w:val="20"/>
          <w:szCs w:val="20"/>
        </w:rPr>
        <w:t>is not to have any UE FDD/TDD differentiation in number of carriers to monitor</w:t>
      </w:r>
      <w:r w:rsidR="00DE24A3">
        <w:rPr>
          <w:rFonts w:ascii="Times New Roman" w:eastAsia="Calibri" w:hAnsi="Times New Roman" w:cs="Times New Roman"/>
          <w:sz w:val="20"/>
          <w:szCs w:val="20"/>
        </w:rPr>
        <w:t>.</w:t>
      </w:r>
      <w:r w:rsidR="00882B78">
        <w:rPr>
          <w:rFonts w:ascii="Times New Roman" w:eastAsia="Calibri" w:hAnsi="Times New Roman" w:cs="Times New Roman"/>
          <w:sz w:val="20"/>
          <w:szCs w:val="20"/>
        </w:rPr>
        <w:t xml:space="preserve"> </w:t>
      </w:r>
      <w:r w:rsidR="00DE24A3">
        <w:rPr>
          <w:rFonts w:ascii="Times New Roman" w:eastAsia="Calibri" w:hAnsi="Times New Roman" w:cs="Times New Roman"/>
          <w:sz w:val="20"/>
          <w:szCs w:val="20"/>
        </w:rPr>
        <w:t>I</w:t>
      </w:r>
      <w:r w:rsidR="00882B78">
        <w:rPr>
          <w:rFonts w:ascii="Times New Roman" w:eastAsia="Calibri" w:hAnsi="Times New Roman" w:cs="Times New Roman"/>
          <w:sz w:val="20"/>
          <w:szCs w:val="20"/>
        </w:rPr>
        <w:t xml:space="preserve">nstead </w:t>
      </w:r>
      <w:r w:rsidR="00DE24A3">
        <w:rPr>
          <w:rFonts w:ascii="Times New Roman" w:eastAsia="Calibri" w:hAnsi="Times New Roman" w:cs="Times New Roman"/>
          <w:sz w:val="20"/>
          <w:szCs w:val="20"/>
        </w:rPr>
        <w:t xml:space="preserve">RAN4 will </w:t>
      </w:r>
      <w:r w:rsidR="00882B78">
        <w:rPr>
          <w:rFonts w:ascii="Times New Roman" w:eastAsia="Calibri" w:hAnsi="Times New Roman" w:cs="Times New Roman"/>
          <w:sz w:val="20"/>
          <w:szCs w:val="20"/>
        </w:rPr>
        <w:t xml:space="preserve">simply </w:t>
      </w:r>
      <w:r w:rsidR="00DE24A3">
        <w:rPr>
          <w:rFonts w:ascii="Times New Roman" w:eastAsia="Calibri" w:hAnsi="Times New Roman" w:cs="Times New Roman"/>
          <w:sz w:val="20"/>
          <w:szCs w:val="20"/>
        </w:rPr>
        <w:t>define</w:t>
      </w:r>
      <w:r w:rsidR="00882B78">
        <w:rPr>
          <w:rFonts w:ascii="Times New Roman" w:eastAsia="Calibri" w:hAnsi="Times New Roman" w:cs="Times New Roman"/>
          <w:sz w:val="20"/>
          <w:szCs w:val="20"/>
        </w:rPr>
        <w:t xml:space="preserve"> a generic number of carrier that the UE should be able to monitor. The weighting between FDD and TDD would then be governed by the actual measurement configuration.</w:t>
      </w:r>
    </w:p>
    <w:p w14:paraId="1D245631" w14:textId="5F565B1A" w:rsidR="00882B78" w:rsidRDefault="00882B78" w:rsidP="00841BCD">
      <w:pPr>
        <w:ind w:right="-22"/>
        <w:rPr>
          <w:rFonts w:ascii="Times New Roman" w:eastAsia="Calibri" w:hAnsi="Times New Roman" w:cs="Times New Roman"/>
          <w:sz w:val="20"/>
          <w:szCs w:val="20"/>
        </w:rPr>
      </w:pPr>
      <w:r w:rsidRPr="00F731F9">
        <w:rPr>
          <w:rFonts w:ascii="Times New Roman" w:eastAsia="Calibri" w:hAnsi="Times New Roman" w:cs="Times New Roman"/>
          <w:b/>
          <w:sz w:val="20"/>
          <w:szCs w:val="20"/>
        </w:rPr>
        <w:t>Proposal 5:</w:t>
      </w:r>
      <w:r>
        <w:rPr>
          <w:rFonts w:ascii="Times New Roman" w:eastAsia="Calibri" w:hAnsi="Times New Roman" w:cs="Times New Roman"/>
          <w:sz w:val="20"/>
          <w:szCs w:val="20"/>
        </w:rPr>
        <w:t xml:space="preserve"> In NR there is no FDD/TDD </w:t>
      </w:r>
      <w:r w:rsidR="00DE24A3">
        <w:rPr>
          <w:rFonts w:ascii="Times New Roman" w:eastAsia="Calibri" w:hAnsi="Times New Roman" w:cs="Times New Roman"/>
          <w:sz w:val="20"/>
          <w:szCs w:val="20"/>
        </w:rPr>
        <w:t>differentiation</w:t>
      </w:r>
      <w:r>
        <w:rPr>
          <w:rFonts w:ascii="Times New Roman" w:eastAsia="Calibri" w:hAnsi="Times New Roman" w:cs="Times New Roman"/>
          <w:sz w:val="20"/>
          <w:szCs w:val="20"/>
        </w:rPr>
        <w:t xml:space="preserve"> in the number of </w:t>
      </w:r>
      <w:r w:rsidR="00247522">
        <w:rPr>
          <w:rFonts w:ascii="Times New Roman" w:eastAsia="Calibri" w:hAnsi="Times New Roman" w:cs="Times New Roman"/>
          <w:sz w:val="20"/>
          <w:szCs w:val="20"/>
        </w:rPr>
        <w:t xml:space="preserve">inter-frequency </w:t>
      </w:r>
      <w:r>
        <w:rPr>
          <w:rFonts w:ascii="Times New Roman" w:eastAsia="Calibri" w:hAnsi="Times New Roman" w:cs="Times New Roman"/>
          <w:sz w:val="20"/>
          <w:szCs w:val="20"/>
        </w:rPr>
        <w:t>carrier</w:t>
      </w:r>
      <w:r w:rsidR="00247522">
        <w:rPr>
          <w:rFonts w:ascii="Times New Roman" w:eastAsia="Calibri" w:hAnsi="Times New Roman" w:cs="Times New Roman"/>
          <w:sz w:val="20"/>
          <w:szCs w:val="20"/>
        </w:rPr>
        <w:t>s</w:t>
      </w:r>
      <w:r>
        <w:rPr>
          <w:rFonts w:ascii="Times New Roman" w:eastAsia="Calibri" w:hAnsi="Times New Roman" w:cs="Times New Roman"/>
          <w:sz w:val="20"/>
          <w:szCs w:val="20"/>
        </w:rPr>
        <w:t xml:space="preserve"> the UE shall be able to monitor.</w:t>
      </w:r>
    </w:p>
    <w:p w14:paraId="0EF1CE70" w14:textId="77777777" w:rsidR="00DE24A3" w:rsidRDefault="00DE24A3" w:rsidP="00841BCD">
      <w:pPr>
        <w:ind w:right="-22"/>
        <w:rPr>
          <w:rFonts w:ascii="Times New Roman" w:eastAsia="Calibri" w:hAnsi="Times New Roman" w:cs="Times New Roman"/>
          <w:sz w:val="20"/>
          <w:szCs w:val="20"/>
        </w:rPr>
      </w:pPr>
    </w:p>
    <w:p w14:paraId="630203BD" w14:textId="7A93CBBC" w:rsidR="00DE24A3" w:rsidRPr="00841BCD" w:rsidRDefault="00DE24A3" w:rsidP="00DE24A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5</w:t>
      </w:r>
      <w:r w:rsidRPr="00841BCD">
        <w:rPr>
          <w:rFonts w:ascii="Arial" w:eastAsia="SimSun" w:hAnsi="Arial" w:cs="Times New Roman"/>
          <w:sz w:val="36"/>
          <w:szCs w:val="20"/>
          <w:lang w:val="en-GB"/>
        </w:rPr>
        <w:tab/>
      </w:r>
      <w:r>
        <w:rPr>
          <w:rFonts w:ascii="Arial" w:eastAsia="Calibri" w:hAnsi="Arial" w:cs="Arial"/>
          <w:sz w:val="36"/>
        </w:rPr>
        <w:t>Number of Inter</w:t>
      </w:r>
      <w:r w:rsidRPr="00F251C4">
        <w:rPr>
          <w:rFonts w:ascii="Arial" w:eastAsia="Calibri" w:hAnsi="Arial" w:cs="Arial"/>
          <w:sz w:val="36"/>
        </w:rPr>
        <w:t>-frequency and Inter-</w:t>
      </w:r>
      <w:r>
        <w:rPr>
          <w:rFonts w:ascii="Arial" w:eastAsia="Calibri" w:hAnsi="Arial" w:cs="Arial"/>
          <w:sz w:val="36"/>
        </w:rPr>
        <w:t>RAT</w:t>
      </w:r>
      <w:r w:rsidRPr="00F251C4">
        <w:rPr>
          <w:rFonts w:ascii="Arial" w:eastAsia="Calibri" w:hAnsi="Arial" w:cs="Arial"/>
          <w:sz w:val="36"/>
        </w:rPr>
        <w:t xml:space="preserve"> </w:t>
      </w:r>
      <w:r>
        <w:rPr>
          <w:rFonts w:ascii="Arial" w:eastAsia="Calibri" w:hAnsi="Arial" w:cs="Arial"/>
          <w:sz w:val="36"/>
        </w:rPr>
        <w:t>layers</w:t>
      </w:r>
    </w:p>
    <w:p w14:paraId="160B5C50" w14:textId="0364ACDF" w:rsidR="00F731F9" w:rsidRDefault="00F731F9" w:rsidP="00841BCD">
      <w:pPr>
        <w:ind w:right="-22"/>
        <w:rPr>
          <w:rFonts w:ascii="Times New Roman" w:eastAsia="Calibri" w:hAnsi="Times New Roman" w:cs="Times New Roman"/>
          <w:sz w:val="20"/>
          <w:szCs w:val="20"/>
        </w:rPr>
      </w:pPr>
      <w:r>
        <w:rPr>
          <w:rFonts w:ascii="Times New Roman" w:eastAsia="Calibri" w:hAnsi="Times New Roman" w:cs="Times New Roman"/>
          <w:sz w:val="20"/>
          <w:szCs w:val="20"/>
        </w:rPr>
        <w:t>In last meeting</w:t>
      </w:r>
      <w:r w:rsidR="00BD56AA">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00BD56AA">
        <w:rPr>
          <w:rFonts w:ascii="Times New Roman" w:eastAsia="Calibri" w:hAnsi="Times New Roman" w:cs="Times New Roman"/>
          <w:sz w:val="20"/>
          <w:szCs w:val="20"/>
        </w:rPr>
        <w:t xml:space="preserve">the number of </w:t>
      </w:r>
      <w:r w:rsidR="00247522">
        <w:rPr>
          <w:rFonts w:ascii="Times New Roman" w:eastAsia="Calibri" w:hAnsi="Times New Roman" w:cs="Times New Roman"/>
          <w:sz w:val="20"/>
          <w:szCs w:val="20"/>
        </w:rPr>
        <w:t xml:space="preserve">inter-frequency </w:t>
      </w:r>
      <w:r w:rsidR="00BD56AA">
        <w:rPr>
          <w:rFonts w:ascii="Times New Roman" w:eastAsia="Calibri" w:hAnsi="Times New Roman" w:cs="Times New Roman"/>
          <w:sz w:val="20"/>
          <w:szCs w:val="20"/>
        </w:rPr>
        <w:t xml:space="preserve">carriers the UE should be able to monitor was discussed without any agreements. Looking at the history of LTE the initial number of inter-frequency carriers for an FDD capable UE to monitor was 3. Same for TDD while for an FDD/TDD capable UE the number was 6. Over the </w:t>
      </w:r>
      <w:r w:rsidR="00247522">
        <w:rPr>
          <w:rFonts w:ascii="Times New Roman" w:eastAsia="Calibri" w:hAnsi="Times New Roman" w:cs="Times New Roman"/>
          <w:sz w:val="20"/>
          <w:szCs w:val="20"/>
        </w:rPr>
        <w:t>time,</w:t>
      </w:r>
      <w:r w:rsidR="00BD56AA">
        <w:rPr>
          <w:rFonts w:ascii="Times New Roman" w:eastAsia="Calibri" w:hAnsi="Times New Roman" w:cs="Times New Roman"/>
          <w:sz w:val="20"/>
          <w:szCs w:val="20"/>
        </w:rPr>
        <w:t xml:space="preserve"> it became clear that at some point </w:t>
      </w:r>
      <w:r w:rsidR="00B40978">
        <w:rPr>
          <w:rFonts w:ascii="Times New Roman" w:eastAsia="Calibri" w:hAnsi="Times New Roman" w:cs="Times New Roman"/>
          <w:sz w:val="20"/>
          <w:szCs w:val="20"/>
        </w:rPr>
        <w:t xml:space="preserve">these </w:t>
      </w:r>
      <w:r w:rsidR="00247522">
        <w:rPr>
          <w:rFonts w:ascii="Times New Roman" w:eastAsia="Calibri" w:hAnsi="Times New Roman" w:cs="Times New Roman"/>
          <w:sz w:val="20"/>
          <w:szCs w:val="20"/>
        </w:rPr>
        <w:t>requirements</w:t>
      </w:r>
      <w:r w:rsidR="00B40978">
        <w:rPr>
          <w:rFonts w:ascii="Times New Roman" w:eastAsia="Calibri" w:hAnsi="Times New Roman" w:cs="Times New Roman"/>
          <w:sz w:val="20"/>
          <w:szCs w:val="20"/>
        </w:rPr>
        <w:t xml:space="preserve"> would not be able to meet the needs from the operators – hence RAN4 defined new requirements in Rel12 under the IncMon WI.</w:t>
      </w:r>
    </w:p>
    <w:p w14:paraId="4CE1199E" w14:textId="3CD24F97" w:rsidR="000C3583" w:rsidRDefault="000C3583" w:rsidP="00841BCD">
      <w:pPr>
        <w:ind w:right="-22"/>
        <w:rPr>
          <w:rFonts w:ascii="Times New Roman" w:eastAsia="Calibri" w:hAnsi="Times New Roman" w:cs="Times New Roman"/>
          <w:sz w:val="20"/>
          <w:szCs w:val="20"/>
        </w:rPr>
      </w:pPr>
      <w:r>
        <w:rPr>
          <w:rFonts w:ascii="Times New Roman" w:eastAsia="Calibri" w:hAnsi="Times New Roman" w:cs="Times New Roman"/>
          <w:sz w:val="20"/>
          <w:szCs w:val="20"/>
        </w:rPr>
        <w:t xml:space="preserve">Based on these </w:t>
      </w:r>
      <w:r w:rsidR="00247522">
        <w:rPr>
          <w:rFonts w:ascii="Times New Roman" w:eastAsia="Calibri" w:hAnsi="Times New Roman" w:cs="Times New Roman"/>
          <w:sz w:val="20"/>
          <w:szCs w:val="20"/>
        </w:rPr>
        <w:t xml:space="preserve">earlier </w:t>
      </w:r>
      <w:r>
        <w:rPr>
          <w:rFonts w:ascii="Times New Roman" w:eastAsia="Calibri" w:hAnsi="Times New Roman" w:cs="Times New Roman"/>
          <w:sz w:val="20"/>
          <w:szCs w:val="20"/>
        </w:rPr>
        <w:t xml:space="preserve">identified needs </w:t>
      </w:r>
      <w:r w:rsidR="00247522">
        <w:rPr>
          <w:rFonts w:ascii="Times New Roman" w:eastAsia="Calibri" w:hAnsi="Times New Roman" w:cs="Times New Roman"/>
          <w:sz w:val="20"/>
          <w:szCs w:val="20"/>
        </w:rPr>
        <w:t xml:space="preserve">during the IncMon WI </w:t>
      </w:r>
      <w:r>
        <w:rPr>
          <w:rFonts w:ascii="Times New Roman" w:eastAsia="Calibri" w:hAnsi="Times New Roman" w:cs="Times New Roman"/>
          <w:sz w:val="20"/>
          <w:szCs w:val="20"/>
        </w:rPr>
        <w:t xml:space="preserve">we believe that for NR </w:t>
      </w:r>
      <w:r w:rsidR="00247522">
        <w:rPr>
          <w:rFonts w:ascii="Times New Roman" w:eastAsia="Calibri" w:hAnsi="Times New Roman" w:cs="Times New Roman"/>
          <w:sz w:val="20"/>
          <w:szCs w:val="20"/>
        </w:rPr>
        <w:t>the number of inter-frequency carriers the UE shall be able to monitor need</w:t>
      </w:r>
      <w:r w:rsidR="00DE24A3">
        <w:rPr>
          <w:rFonts w:ascii="Times New Roman" w:eastAsia="Calibri" w:hAnsi="Times New Roman" w:cs="Times New Roman"/>
          <w:sz w:val="20"/>
          <w:szCs w:val="20"/>
        </w:rPr>
        <w:t>s</w:t>
      </w:r>
      <w:r w:rsidR="00247522">
        <w:rPr>
          <w:rFonts w:ascii="Times New Roman" w:eastAsia="Calibri" w:hAnsi="Times New Roman" w:cs="Times New Roman"/>
          <w:sz w:val="20"/>
          <w:szCs w:val="20"/>
        </w:rPr>
        <w:t xml:space="preserve"> to be increased compared to Rel-8 LTE. The requirements would most likely depend on the outcome of the discussion related to proposal 5. If RAN4 decides to have FDD/TDD differentiation in the requirements we propose that for each duplex mode</w:t>
      </w:r>
      <w:r w:rsidR="00DE24A3">
        <w:rPr>
          <w:rFonts w:ascii="Times New Roman" w:eastAsia="Calibri" w:hAnsi="Times New Roman" w:cs="Times New Roman"/>
          <w:sz w:val="20"/>
          <w:szCs w:val="20"/>
        </w:rPr>
        <w:t>, we propose that</w:t>
      </w:r>
      <w:r w:rsidR="00247522">
        <w:rPr>
          <w:rFonts w:ascii="Times New Roman" w:eastAsia="Calibri" w:hAnsi="Times New Roman" w:cs="Times New Roman"/>
          <w:sz w:val="20"/>
          <w:szCs w:val="20"/>
        </w:rPr>
        <w:t xml:space="preserve"> the UE shall be able to monitor </w:t>
      </w:r>
      <w:r w:rsidR="00DE24A3">
        <w:rPr>
          <w:rFonts w:ascii="Times New Roman" w:eastAsia="Calibri" w:hAnsi="Times New Roman" w:cs="Times New Roman"/>
          <w:sz w:val="20"/>
          <w:szCs w:val="20"/>
        </w:rPr>
        <w:t xml:space="preserve">at least </w:t>
      </w:r>
      <w:r w:rsidR="00247522">
        <w:rPr>
          <w:rFonts w:ascii="Times New Roman" w:eastAsia="Calibri" w:hAnsi="Times New Roman" w:cs="Times New Roman"/>
          <w:sz w:val="20"/>
          <w:szCs w:val="20"/>
        </w:rPr>
        <w:t>6 inter-frequency carrier</w:t>
      </w:r>
      <w:r w:rsidR="00164F17">
        <w:rPr>
          <w:rFonts w:ascii="Times New Roman" w:eastAsia="Calibri" w:hAnsi="Times New Roman" w:cs="Times New Roman"/>
          <w:sz w:val="20"/>
          <w:szCs w:val="20"/>
        </w:rPr>
        <w:t>s</w:t>
      </w:r>
      <w:r w:rsidR="00247522">
        <w:rPr>
          <w:rFonts w:ascii="Times New Roman" w:eastAsia="Calibri" w:hAnsi="Times New Roman" w:cs="Times New Roman"/>
          <w:sz w:val="20"/>
          <w:szCs w:val="20"/>
        </w:rPr>
        <w:t xml:space="preserve">. If RAN4 decides not to have differentiation the number could be </w:t>
      </w:r>
      <w:r w:rsidR="00164F17">
        <w:rPr>
          <w:rFonts w:ascii="Times New Roman" w:eastAsia="Calibri" w:hAnsi="Times New Roman" w:cs="Times New Roman"/>
          <w:sz w:val="20"/>
          <w:szCs w:val="20"/>
        </w:rPr>
        <w:t>slightly lower than 12 inter-frequency carriers.</w:t>
      </w:r>
      <w:r w:rsidR="00DE24A3">
        <w:rPr>
          <w:rFonts w:ascii="Times New Roman" w:eastAsia="Calibri" w:hAnsi="Times New Roman" w:cs="Times New Roman"/>
          <w:sz w:val="20"/>
          <w:szCs w:val="20"/>
        </w:rPr>
        <w:t xml:space="preserve"> In the end some input from operators might be useful.</w:t>
      </w:r>
    </w:p>
    <w:p w14:paraId="72A090D8" w14:textId="77777777" w:rsidR="00164F17" w:rsidRDefault="00164F17" w:rsidP="00841BCD">
      <w:pPr>
        <w:ind w:right="-22"/>
        <w:rPr>
          <w:rFonts w:ascii="Times New Roman" w:eastAsia="Calibri" w:hAnsi="Times New Roman" w:cs="Times New Roman"/>
          <w:sz w:val="20"/>
          <w:szCs w:val="20"/>
        </w:rPr>
      </w:pPr>
      <w:r w:rsidRPr="005222DD">
        <w:rPr>
          <w:rFonts w:ascii="Times New Roman" w:eastAsia="Calibri" w:hAnsi="Times New Roman" w:cs="Times New Roman"/>
          <w:b/>
          <w:sz w:val="20"/>
          <w:szCs w:val="20"/>
        </w:rPr>
        <w:t>Proposal 6:</w:t>
      </w:r>
      <w:r>
        <w:rPr>
          <w:rFonts w:ascii="Times New Roman" w:eastAsia="Calibri" w:hAnsi="Times New Roman" w:cs="Times New Roman"/>
          <w:sz w:val="20"/>
          <w:szCs w:val="20"/>
        </w:rPr>
        <w:t xml:space="preserve"> If FDD/TDD differentiation is applied, for each duplex mode the UE shall be able to monitor 6 inter-frequency carriers.</w:t>
      </w:r>
    </w:p>
    <w:p w14:paraId="14E1B57E" w14:textId="677E2B66" w:rsidR="00164F17" w:rsidRDefault="00164F17" w:rsidP="00841BCD">
      <w:pPr>
        <w:ind w:right="-22"/>
        <w:rPr>
          <w:rFonts w:ascii="Times New Roman" w:eastAsia="Calibri" w:hAnsi="Times New Roman" w:cs="Times New Roman"/>
          <w:sz w:val="20"/>
          <w:szCs w:val="20"/>
        </w:rPr>
      </w:pPr>
      <w:r w:rsidRPr="005222DD">
        <w:rPr>
          <w:rFonts w:ascii="Times New Roman" w:eastAsia="Calibri" w:hAnsi="Times New Roman" w:cs="Times New Roman"/>
          <w:b/>
          <w:sz w:val="20"/>
          <w:szCs w:val="20"/>
        </w:rPr>
        <w:t>Proposal 7:</w:t>
      </w:r>
      <w:r>
        <w:rPr>
          <w:rFonts w:ascii="Times New Roman" w:eastAsia="Calibri" w:hAnsi="Times New Roman" w:cs="Times New Roman"/>
          <w:sz w:val="20"/>
          <w:szCs w:val="20"/>
        </w:rPr>
        <w:t xml:space="preserve"> If no FDD/TDD differentiation is applied, the number of carriers the UE shall be able to monitor could be less than 12.</w:t>
      </w:r>
    </w:p>
    <w:p w14:paraId="6E53D17A" w14:textId="77777777" w:rsidR="00B656A0" w:rsidRDefault="00B656A0" w:rsidP="00841BCD">
      <w:pPr>
        <w:ind w:right="-22"/>
        <w:rPr>
          <w:rFonts w:ascii="Times New Roman" w:eastAsia="Calibri" w:hAnsi="Times New Roman" w:cs="Times New Roman"/>
          <w:sz w:val="20"/>
          <w:szCs w:val="20"/>
        </w:rPr>
      </w:pPr>
    </w:p>
    <w:p w14:paraId="4333E46F" w14:textId="630B1BE7" w:rsidR="00842AC7" w:rsidRPr="00841BCD" w:rsidRDefault="00DE24A3" w:rsidP="00842AC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lastRenderedPageBreak/>
        <w:t>6</w:t>
      </w:r>
      <w:r w:rsidR="00842AC7" w:rsidRPr="00841BCD">
        <w:rPr>
          <w:rFonts w:ascii="Arial" w:eastAsia="SimSun" w:hAnsi="Arial" w:cs="Times New Roman"/>
          <w:sz w:val="36"/>
          <w:szCs w:val="20"/>
          <w:lang w:val="en-GB"/>
        </w:rPr>
        <w:tab/>
      </w:r>
      <w:r w:rsidR="00842AC7">
        <w:rPr>
          <w:rFonts w:ascii="Arial" w:eastAsia="Calibri" w:hAnsi="Arial" w:cs="Arial"/>
          <w:sz w:val="36"/>
        </w:rPr>
        <w:t>Further Discussion</w:t>
      </w:r>
    </w:p>
    <w:p w14:paraId="3A5D11B7" w14:textId="46ECE589" w:rsidR="00247522" w:rsidRDefault="00B479D5" w:rsidP="00841BCD">
      <w:pPr>
        <w:ind w:right="-22"/>
        <w:rPr>
          <w:rFonts w:ascii="Times New Roman" w:eastAsia="Calibri" w:hAnsi="Times New Roman" w:cs="Times New Roman"/>
          <w:sz w:val="20"/>
          <w:szCs w:val="20"/>
        </w:rPr>
      </w:pPr>
      <w:r>
        <w:rPr>
          <w:rFonts w:ascii="Times New Roman" w:eastAsia="Calibri" w:hAnsi="Times New Roman" w:cs="Times New Roman"/>
          <w:sz w:val="20"/>
          <w:szCs w:val="20"/>
        </w:rPr>
        <w:t xml:space="preserve">Related to the methodology for determining the UE capability of number of cells and beams to measure we propose to use input from the system level simulations. </w:t>
      </w:r>
      <w:r w:rsidR="00B656A0">
        <w:rPr>
          <w:rFonts w:ascii="Times New Roman" w:eastAsia="Calibri" w:hAnsi="Times New Roman" w:cs="Times New Roman"/>
          <w:sz w:val="20"/>
          <w:szCs w:val="20"/>
        </w:rPr>
        <w:t>We have more detailed discussion related to this in other papers.</w:t>
      </w:r>
    </w:p>
    <w:p w14:paraId="6C437466" w14:textId="77777777" w:rsidR="00784BCE" w:rsidRDefault="00784BCE" w:rsidP="00F06F41">
      <w:pPr>
        <w:ind w:right="-22"/>
        <w:rPr>
          <w:rFonts w:ascii="Times New Roman" w:hAnsi="Times New Roman" w:cs="Times New Roman"/>
          <w:sz w:val="20"/>
        </w:rPr>
      </w:pPr>
    </w:p>
    <w:p w14:paraId="413478CF" w14:textId="4948E8A4" w:rsidR="00842AC7" w:rsidRPr="00841BCD" w:rsidRDefault="00113853" w:rsidP="00842AC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7</w:t>
      </w:r>
      <w:r w:rsidR="00842AC7" w:rsidRPr="00841BCD">
        <w:rPr>
          <w:rFonts w:ascii="Arial" w:eastAsia="SimSun" w:hAnsi="Arial" w:cs="Times New Roman"/>
          <w:sz w:val="36"/>
          <w:szCs w:val="20"/>
          <w:lang w:val="en-GB"/>
        </w:rPr>
        <w:tab/>
      </w:r>
      <w:r w:rsidR="00842AC7">
        <w:rPr>
          <w:rFonts w:ascii="Arial" w:eastAsia="Calibri" w:hAnsi="Arial" w:cs="Arial"/>
          <w:sz w:val="36"/>
        </w:rPr>
        <w:t>Conclusion</w:t>
      </w:r>
    </w:p>
    <w:p w14:paraId="004634BB" w14:textId="690FAD71" w:rsidR="00F06F41" w:rsidRDefault="00113853" w:rsidP="00F06F41">
      <w:pPr>
        <w:ind w:right="-22"/>
        <w:rPr>
          <w:rFonts w:ascii="Times New Roman" w:hAnsi="Times New Roman" w:cs="Times New Roman"/>
          <w:sz w:val="20"/>
        </w:rPr>
      </w:pPr>
      <w:r>
        <w:rPr>
          <w:rFonts w:ascii="Times New Roman" w:hAnsi="Times New Roman" w:cs="Times New Roman"/>
          <w:sz w:val="20"/>
        </w:rPr>
        <w:t xml:space="preserve">RAN4 has discussed </w:t>
      </w:r>
      <w:r>
        <w:rPr>
          <w:rFonts w:ascii="Times New Roman" w:eastAsia="Calibri" w:hAnsi="Times New Roman" w:cs="Times New Roman"/>
          <w:sz w:val="20"/>
          <w:szCs w:val="20"/>
          <w:lang w:val="en-GB"/>
        </w:rPr>
        <w:t>the UE measurement capability for some time. In this paper, we continued the discussion by firstly looking at the actual definition of intra- and inter-frequency carrier. Then we looked at the measurement configurations and how to address the fact that same objects may be configured by MN and SN. Finally we discussed the FDD/TDD differentiation and number of inter-f and inter-RAT layers the UE would need to be able to monitor.</w:t>
      </w:r>
    </w:p>
    <w:p w14:paraId="20619EE9" w14:textId="38656380" w:rsidR="00F06F41" w:rsidRDefault="00113853" w:rsidP="00F06F41">
      <w:pPr>
        <w:ind w:right="-22"/>
        <w:rPr>
          <w:rFonts w:ascii="Times New Roman" w:hAnsi="Times New Roman" w:cs="Times New Roman"/>
          <w:sz w:val="20"/>
        </w:rPr>
      </w:pPr>
      <w:r>
        <w:rPr>
          <w:rFonts w:ascii="Times New Roman" w:hAnsi="Times New Roman" w:cs="Times New Roman"/>
          <w:sz w:val="20"/>
        </w:rPr>
        <w:t>We make a number of proposals:</w:t>
      </w:r>
    </w:p>
    <w:p w14:paraId="5CC8B52A" w14:textId="77777777" w:rsidR="00113853" w:rsidRDefault="00113853" w:rsidP="00113853">
      <w:pPr>
        <w:ind w:right="-22"/>
        <w:rPr>
          <w:rFonts w:ascii="Times New Roman" w:eastAsia="Calibri" w:hAnsi="Times New Roman" w:cs="Times New Roman"/>
          <w:sz w:val="20"/>
          <w:szCs w:val="20"/>
        </w:rPr>
      </w:pPr>
      <w:r w:rsidRPr="00C02F27">
        <w:rPr>
          <w:rFonts w:ascii="Times New Roman" w:eastAsia="Calibri" w:hAnsi="Times New Roman" w:cs="Times New Roman"/>
          <w:b/>
          <w:sz w:val="20"/>
          <w:szCs w:val="20"/>
        </w:rPr>
        <w:t>Proposal 1:</w:t>
      </w:r>
      <w:r>
        <w:rPr>
          <w:rFonts w:ascii="Times New Roman" w:eastAsia="Calibri" w:hAnsi="Times New Roman" w:cs="Times New Roman"/>
          <w:sz w:val="20"/>
          <w:szCs w:val="20"/>
        </w:rPr>
        <w:t xml:space="preserve"> RAN4 should discuss and agree on a common understanding of intra-frequency and inter-frequency.</w:t>
      </w:r>
    </w:p>
    <w:p w14:paraId="5D32824D" w14:textId="687ADDB1" w:rsidR="00113853" w:rsidRDefault="00113853" w:rsidP="00113853">
      <w:pPr>
        <w:ind w:right="-22"/>
        <w:rPr>
          <w:rFonts w:ascii="Times New Roman" w:eastAsia="Calibri" w:hAnsi="Times New Roman" w:cs="Times New Roman"/>
          <w:sz w:val="20"/>
          <w:szCs w:val="20"/>
        </w:rPr>
      </w:pPr>
      <w:r w:rsidRPr="003A1665">
        <w:rPr>
          <w:rFonts w:ascii="Times New Roman" w:eastAsia="Calibri" w:hAnsi="Times New Roman" w:cs="Times New Roman"/>
          <w:b/>
          <w:sz w:val="20"/>
          <w:szCs w:val="20"/>
        </w:rPr>
        <w:t>Proposal 2:</w:t>
      </w:r>
      <w:r>
        <w:rPr>
          <w:rFonts w:ascii="Times New Roman" w:eastAsia="Calibri" w:hAnsi="Times New Roman" w:cs="Times New Roman"/>
          <w:sz w:val="20"/>
          <w:szCs w:val="20"/>
        </w:rPr>
        <w:t xml:space="preserve"> The combined UE measurement configuration </w:t>
      </w:r>
      <w:r w:rsidR="00B31E4C">
        <w:rPr>
          <w:rFonts w:ascii="Times New Roman" w:eastAsia="Calibri" w:hAnsi="Times New Roman" w:cs="Times New Roman"/>
          <w:sz w:val="20"/>
          <w:szCs w:val="20"/>
        </w:rPr>
        <w:t xml:space="preserve">(i.e. measurements configure by MN and SN) </w:t>
      </w:r>
      <w:r>
        <w:rPr>
          <w:rFonts w:ascii="Times New Roman" w:eastAsia="Calibri" w:hAnsi="Times New Roman" w:cs="Times New Roman"/>
          <w:sz w:val="20"/>
          <w:szCs w:val="20"/>
        </w:rPr>
        <w:t>should be used as base for the requirements</w:t>
      </w:r>
    </w:p>
    <w:p w14:paraId="08672EB3" w14:textId="6E8C3E40" w:rsidR="00113853" w:rsidRDefault="00113853" w:rsidP="00113853">
      <w:pPr>
        <w:ind w:right="-22"/>
        <w:rPr>
          <w:rFonts w:ascii="Times New Roman" w:eastAsia="Calibri" w:hAnsi="Times New Roman" w:cs="Times New Roman"/>
          <w:sz w:val="20"/>
          <w:szCs w:val="20"/>
          <w:lang w:val="en-GB"/>
        </w:rPr>
      </w:pPr>
      <w:r w:rsidRPr="00B44BB4">
        <w:rPr>
          <w:rFonts w:ascii="Times New Roman" w:eastAsia="Calibri" w:hAnsi="Times New Roman" w:cs="Times New Roman"/>
          <w:b/>
          <w:sz w:val="20"/>
          <w:szCs w:val="20"/>
          <w:lang w:val="en-GB"/>
        </w:rPr>
        <w:t>Proposal 3:</w:t>
      </w:r>
      <w:r>
        <w:rPr>
          <w:rFonts w:ascii="Times New Roman" w:eastAsia="Calibri" w:hAnsi="Times New Roman" w:cs="Times New Roman"/>
          <w:sz w:val="20"/>
          <w:szCs w:val="20"/>
          <w:lang w:val="en-GB"/>
        </w:rPr>
        <w:t xml:space="preserve"> An NR </w:t>
      </w:r>
      <w:r w:rsidR="00982D2A">
        <w:rPr>
          <w:rFonts w:ascii="Times New Roman" w:eastAsia="Calibri" w:hAnsi="Times New Roman" w:cs="Times New Roman"/>
          <w:sz w:val="20"/>
          <w:szCs w:val="20"/>
          <w:lang w:val="en-GB"/>
        </w:rPr>
        <w:t>measurement o</w:t>
      </w:r>
      <w:r>
        <w:rPr>
          <w:rFonts w:ascii="Times New Roman" w:eastAsia="Calibri" w:hAnsi="Times New Roman" w:cs="Times New Roman"/>
          <w:sz w:val="20"/>
          <w:szCs w:val="20"/>
          <w:lang w:val="en-GB"/>
        </w:rPr>
        <w:t>bject refer</w:t>
      </w:r>
      <w:r w:rsidR="00982D2A">
        <w:rPr>
          <w:rFonts w:ascii="Times New Roman" w:eastAsia="Calibri" w:hAnsi="Times New Roman" w:cs="Times New Roman"/>
          <w:sz w:val="20"/>
          <w:szCs w:val="20"/>
          <w:lang w:val="en-GB"/>
        </w:rPr>
        <w:t>s</w:t>
      </w:r>
      <w:r>
        <w:rPr>
          <w:rFonts w:ascii="Times New Roman" w:eastAsia="Calibri" w:hAnsi="Times New Roman" w:cs="Times New Roman"/>
          <w:sz w:val="20"/>
          <w:szCs w:val="20"/>
          <w:lang w:val="en-GB"/>
        </w:rPr>
        <w:t xml:space="preserve"> to the center carrier frequency of the SS-Block</w:t>
      </w:r>
    </w:p>
    <w:p w14:paraId="70DCD590" w14:textId="153D0FE5" w:rsidR="00113853" w:rsidRDefault="00113853" w:rsidP="00113853">
      <w:pPr>
        <w:ind w:right="-22"/>
        <w:rPr>
          <w:rFonts w:ascii="Times New Roman" w:eastAsia="Calibri" w:hAnsi="Times New Roman" w:cs="Times New Roman"/>
          <w:sz w:val="20"/>
          <w:szCs w:val="20"/>
          <w:lang w:val="en-GB"/>
        </w:rPr>
      </w:pPr>
      <w:r w:rsidRPr="00E269CA">
        <w:rPr>
          <w:rFonts w:ascii="Times New Roman" w:eastAsia="Calibri" w:hAnsi="Times New Roman" w:cs="Times New Roman"/>
          <w:b/>
          <w:sz w:val="20"/>
          <w:szCs w:val="20"/>
          <w:lang w:val="en-GB"/>
        </w:rPr>
        <w:t>Proposal 4:</w:t>
      </w:r>
      <w:r>
        <w:rPr>
          <w:rFonts w:ascii="Times New Roman" w:eastAsia="Calibri" w:hAnsi="Times New Roman" w:cs="Times New Roman"/>
          <w:sz w:val="20"/>
          <w:szCs w:val="20"/>
          <w:lang w:val="en-GB"/>
        </w:rPr>
        <w:t xml:space="preserve"> If an Object is configured from both MN and SN it only count as one Object in </w:t>
      </w:r>
      <w:r w:rsidR="00982D2A">
        <w:rPr>
          <w:rFonts w:ascii="Times New Roman" w:eastAsia="Calibri" w:hAnsi="Times New Roman" w:cs="Times New Roman"/>
          <w:sz w:val="20"/>
          <w:szCs w:val="20"/>
          <w:lang w:val="en-GB"/>
        </w:rPr>
        <w:t xml:space="preserve">requirement for </w:t>
      </w:r>
      <w:r>
        <w:rPr>
          <w:rFonts w:ascii="Times New Roman" w:eastAsia="Calibri" w:hAnsi="Times New Roman" w:cs="Times New Roman"/>
          <w:sz w:val="20"/>
          <w:szCs w:val="20"/>
          <w:lang w:val="en-GB"/>
        </w:rPr>
        <w:t>the total number of effective carrier</w:t>
      </w:r>
      <w:r w:rsidR="00982D2A">
        <w:rPr>
          <w:rFonts w:ascii="Times New Roman" w:eastAsia="Calibri" w:hAnsi="Times New Roman" w:cs="Times New Roman"/>
          <w:sz w:val="20"/>
          <w:szCs w:val="20"/>
          <w:lang w:val="en-GB"/>
        </w:rPr>
        <w:t>s</w:t>
      </w:r>
      <w:r>
        <w:rPr>
          <w:rFonts w:ascii="Times New Roman" w:eastAsia="Calibri" w:hAnsi="Times New Roman" w:cs="Times New Roman"/>
          <w:sz w:val="20"/>
          <w:szCs w:val="20"/>
          <w:lang w:val="en-GB"/>
        </w:rPr>
        <w:t xml:space="preserve"> to monitor.</w:t>
      </w:r>
    </w:p>
    <w:p w14:paraId="29E51F5B" w14:textId="77777777" w:rsidR="00113853" w:rsidRDefault="00113853" w:rsidP="00113853">
      <w:pPr>
        <w:ind w:right="-22"/>
        <w:rPr>
          <w:rFonts w:ascii="Times New Roman" w:eastAsia="Calibri" w:hAnsi="Times New Roman" w:cs="Times New Roman"/>
          <w:sz w:val="20"/>
          <w:szCs w:val="20"/>
        </w:rPr>
      </w:pPr>
      <w:r w:rsidRPr="00F731F9">
        <w:rPr>
          <w:rFonts w:ascii="Times New Roman" w:eastAsia="Calibri" w:hAnsi="Times New Roman" w:cs="Times New Roman"/>
          <w:b/>
          <w:sz w:val="20"/>
          <w:szCs w:val="20"/>
        </w:rPr>
        <w:t>Proposal 5:</w:t>
      </w:r>
      <w:r>
        <w:rPr>
          <w:rFonts w:ascii="Times New Roman" w:eastAsia="Calibri" w:hAnsi="Times New Roman" w:cs="Times New Roman"/>
          <w:sz w:val="20"/>
          <w:szCs w:val="20"/>
        </w:rPr>
        <w:t xml:space="preserve"> In NR there is no FDD/TDD differentiation in the number of inter-frequency carriers the UE shall be able to monitor.</w:t>
      </w:r>
    </w:p>
    <w:p w14:paraId="675BE261" w14:textId="77777777" w:rsidR="00113853" w:rsidRDefault="00113853" w:rsidP="00113853">
      <w:pPr>
        <w:ind w:right="-22"/>
        <w:rPr>
          <w:rFonts w:ascii="Times New Roman" w:eastAsia="Calibri" w:hAnsi="Times New Roman" w:cs="Times New Roman"/>
          <w:sz w:val="20"/>
          <w:szCs w:val="20"/>
        </w:rPr>
      </w:pPr>
      <w:r w:rsidRPr="005222DD">
        <w:rPr>
          <w:rFonts w:ascii="Times New Roman" w:eastAsia="Calibri" w:hAnsi="Times New Roman" w:cs="Times New Roman"/>
          <w:b/>
          <w:sz w:val="20"/>
          <w:szCs w:val="20"/>
        </w:rPr>
        <w:t>Proposal 6:</w:t>
      </w:r>
      <w:r>
        <w:rPr>
          <w:rFonts w:ascii="Times New Roman" w:eastAsia="Calibri" w:hAnsi="Times New Roman" w:cs="Times New Roman"/>
          <w:sz w:val="20"/>
          <w:szCs w:val="20"/>
        </w:rPr>
        <w:t xml:space="preserve"> If FDD/TDD differentiation is applied, for each duplex mode the UE shall be able to monitor 6 inter-frequency carriers.</w:t>
      </w:r>
    </w:p>
    <w:p w14:paraId="4B089EF2" w14:textId="77777777" w:rsidR="00113853" w:rsidRDefault="00113853" w:rsidP="00113853">
      <w:pPr>
        <w:ind w:right="-22"/>
        <w:rPr>
          <w:rFonts w:ascii="Times New Roman" w:eastAsia="Calibri" w:hAnsi="Times New Roman" w:cs="Times New Roman"/>
          <w:sz w:val="20"/>
          <w:szCs w:val="20"/>
        </w:rPr>
      </w:pPr>
      <w:r w:rsidRPr="005222DD">
        <w:rPr>
          <w:rFonts w:ascii="Times New Roman" w:eastAsia="Calibri" w:hAnsi="Times New Roman" w:cs="Times New Roman"/>
          <w:b/>
          <w:sz w:val="20"/>
          <w:szCs w:val="20"/>
        </w:rPr>
        <w:t>Proposal 7:</w:t>
      </w:r>
      <w:r>
        <w:rPr>
          <w:rFonts w:ascii="Times New Roman" w:eastAsia="Calibri" w:hAnsi="Times New Roman" w:cs="Times New Roman"/>
          <w:sz w:val="20"/>
          <w:szCs w:val="20"/>
        </w:rPr>
        <w:t xml:space="preserve"> If no FDD/TDD differentiation is applied, the number of carriers the UE shall be able to monitor could be less than 12.</w:t>
      </w:r>
    </w:p>
    <w:p w14:paraId="24A70124" w14:textId="77777777" w:rsidR="00113853" w:rsidRPr="00113853" w:rsidRDefault="00113853" w:rsidP="00F06F41">
      <w:pPr>
        <w:ind w:right="-22"/>
        <w:rPr>
          <w:rFonts w:ascii="Times New Roman" w:hAnsi="Times New Roman" w:cs="Times New Roman"/>
          <w:sz w:val="20"/>
        </w:rPr>
      </w:pPr>
    </w:p>
    <w:p w14:paraId="150B6EA6" w14:textId="214EC504" w:rsidR="00842AC7" w:rsidRPr="00841BCD" w:rsidRDefault="00113853" w:rsidP="00842AC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8</w:t>
      </w:r>
      <w:r w:rsidR="00842AC7" w:rsidRPr="00841BCD">
        <w:rPr>
          <w:rFonts w:ascii="Arial" w:eastAsia="SimSun" w:hAnsi="Arial" w:cs="Times New Roman"/>
          <w:sz w:val="36"/>
          <w:szCs w:val="20"/>
          <w:lang w:val="en-GB"/>
        </w:rPr>
        <w:tab/>
      </w:r>
      <w:r w:rsidR="00842AC7">
        <w:rPr>
          <w:rFonts w:ascii="Arial" w:eastAsia="Calibri" w:hAnsi="Arial" w:cs="Arial"/>
          <w:sz w:val="36"/>
        </w:rPr>
        <w:t>References</w:t>
      </w:r>
    </w:p>
    <w:p w14:paraId="33E6EA7E" w14:textId="087838C1" w:rsidR="00113853" w:rsidRDefault="00113853" w:rsidP="00113853">
      <w:pPr>
        <w:numPr>
          <w:ilvl w:val="0"/>
          <w:numId w:val="3"/>
        </w:numPr>
        <w:overflowPunct w:val="0"/>
        <w:autoSpaceDE w:val="0"/>
        <w:autoSpaceDN w:val="0"/>
        <w:adjustRightInd w:val="0"/>
        <w:textAlignment w:val="baseline"/>
        <w:rPr>
          <w:rFonts w:eastAsia="Calibri"/>
        </w:rPr>
      </w:pPr>
      <w:r w:rsidRPr="00A43422">
        <w:rPr>
          <w:rFonts w:ascii="Times New Roman" w:eastAsia="Calibri" w:hAnsi="Times New Roman" w:cs="Times New Roman"/>
          <w:sz w:val="20"/>
          <w:szCs w:val="20"/>
          <w:lang w:val="en-GB"/>
        </w:rPr>
        <w:t>R4-1704806</w:t>
      </w:r>
      <w:r w:rsidRPr="00335B4C">
        <w:rPr>
          <w:rFonts w:eastAsia="Calibri"/>
          <w:sz w:val="20"/>
        </w:rPr>
        <w:t xml:space="preserve">, </w:t>
      </w:r>
      <w:r w:rsidRPr="00113853">
        <w:rPr>
          <w:rFonts w:eastAsia="Calibri"/>
          <w:sz w:val="20"/>
        </w:rPr>
        <w:t>NR RRM way forward</w:t>
      </w:r>
      <w:r w:rsidRPr="00335B4C">
        <w:rPr>
          <w:rFonts w:eastAsia="Calibri"/>
          <w:sz w:val="20"/>
        </w:rPr>
        <w:t>, RAN2</w:t>
      </w:r>
      <w:r>
        <w:rPr>
          <w:rFonts w:eastAsia="Calibri"/>
          <w:sz w:val="20"/>
        </w:rPr>
        <w:t xml:space="preserve">, </w:t>
      </w:r>
      <w:r w:rsidRPr="00113853">
        <w:rPr>
          <w:rFonts w:eastAsia="Calibri"/>
          <w:sz w:val="20"/>
        </w:rPr>
        <w:t>Ericsson, Nokia, ZTE</w:t>
      </w:r>
    </w:p>
    <w:p w14:paraId="6F86FD83" w14:textId="7BAE0B04" w:rsidR="00F06F41" w:rsidRPr="00F06F41" w:rsidRDefault="00F06F41" w:rsidP="00F06F41">
      <w:pPr>
        <w:ind w:right="-22"/>
        <w:rPr>
          <w:rFonts w:ascii="Times New Roman" w:hAnsi="Times New Roman" w:cs="Times New Roman"/>
          <w:sz w:val="20"/>
        </w:rPr>
      </w:pPr>
    </w:p>
    <w:sectPr w:rsidR="00F06F41" w:rsidRPr="00F06F41" w:rsidSect="00841BCD">
      <w:pgSz w:w="11907" w:h="16840" w:code="9"/>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9CA3754"/>
    <w:multiLevelType w:val="hybridMultilevel"/>
    <w:tmpl w:val="94ACF298"/>
    <w:lvl w:ilvl="0" w:tplc="6802AA7A">
      <w:start w:val="1"/>
      <w:numFmt w:val="bullet"/>
      <w:lvlText w:val="-"/>
      <w:lvlJc w:val="left"/>
      <w:pPr>
        <w:tabs>
          <w:tab w:val="num" w:pos="720"/>
        </w:tabs>
        <w:ind w:left="720" w:hanging="360"/>
      </w:pPr>
      <w:rPr>
        <w:rFonts w:ascii="Lucida Grande" w:hAnsi="Lucida Grande" w:hint="default"/>
      </w:rPr>
    </w:lvl>
    <w:lvl w:ilvl="1" w:tplc="BC6E8170">
      <w:start w:val="1"/>
      <w:numFmt w:val="bullet"/>
      <w:lvlText w:val="-"/>
      <w:lvlJc w:val="left"/>
      <w:pPr>
        <w:tabs>
          <w:tab w:val="num" w:pos="1440"/>
        </w:tabs>
        <w:ind w:left="1440" w:hanging="360"/>
      </w:pPr>
      <w:rPr>
        <w:rFonts w:ascii="Lucida Grande" w:hAnsi="Lucida Grande" w:hint="default"/>
      </w:rPr>
    </w:lvl>
    <w:lvl w:ilvl="2" w:tplc="19D6A056" w:tentative="1">
      <w:start w:val="1"/>
      <w:numFmt w:val="bullet"/>
      <w:lvlText w:val="-"/>
      <w:lvlJc w:val="left"/>
      <w:pPr>
        <w:tabs>
          <w:tab w:val="num" w:pos="2160"/>
        </w:tabs>
        <w:ind w:left="2160" w:hanging="360"/>
      </w:pPr>
      <w:rPr>
        <w:rFonts w:ascii="Lucida Grande" w:hAnsi="Lucida Grande" w:hint="default"/>
      </w:rPr>
    </w:lvl>
    <w:lvl w:ilvl="3" w:tplc="7BAE44CC" w:tentative="1">
      <w:start w:val="1"/>
      <w:numFmt w:val="bullet"/>
      <w:lvlText w:val="-"/>
      <w:lvlJc w:val="left"/>
      <w:pPr>
        <w:tabs>
          <w:tab w:val="num" w:pos="2880"/>
        </w:tabs>
        <w:ind w:left="2880" w:hanging="360"/>
      </w:pPr>
      <w:rPr>
        <w:rFonts w:ascii="Lucida Grande" w:hAnsi="Lucida Grande" w:hint="default"/>
      </w:rPr>
    </w:lvl>
    <w:lvl w:ilvl="4" w:tplc="BCBABB38" w:tentative="1">
      <w:start w:val="1"/>
      <w:numFmt w:val="bullet"/>
      <w:lvlText w:val="-"/>
      <w:lvlJc w:val="left"/>
      <w:pPr>
        <w:tabs>
          <w:tab w:val="num" w:pos="3600"/>
        </w:tabs>
        <w:ind w:left="3600" w:hanging="360"/>
      </w:pPr>
      <w:rPr>
        <w:rFonts w:ascii="Lucida Grande" w:hAnsi="Lucida Grande" w:hint="default"/>
      </w:rPr>
    </w:lvl>
    <w:lvl w:ilvl="5" w:tplc="F8FEAAB8" w:tentative="1">
      <w:start w:val="1"/>
      <w:numFmt w:val="bullet"/>
      <w:lvlText w:val="-"/>
      <w:lvlJc w:val="left"/>
      <w:pPr>
        <w:tabs>
          <w:tab w:val="num" w:pos="4320"/>
        </w:tabs>
        <w:ind w:left="4320" w:hanging="360"/>
      </w:pPr>
      <w:rPr>
        <w:rFonts w:ascii="Lucida Grande" w:hAnsi="Lucida Grande" w:hint="default"/>
      </w:rPr>
    </w:lvl>
    <w:lvl w:ilvl="6" w:tplc="D85E331E" w:tentative="1">
      <w:start w:val="1"/>
      <w:numFmt w:val="bullet"/>
      <w:lvlText w:val="-"/>
      <w:lvlJc w:val="left"/>
      <w:pPr>
        <w:tabs>
          <w:tab w:val="num" w:pos="5040"/>
        </w:tabs>
        <w:ind w:left="5040" w:hanging="360"/>
      </w:pPr>
      <w:rPr>
        <w:rFonts w:ascii="Lucida Grande" w:hAnsi="Lucida Grande" w:hint="default"/>
      </w:rPr>
    </w:lvl>
    <w:lvl w:ilvl="7" w:tplc="891C9900" w:tentative="1">
      <w:start w:val="1"/>
      <w:numFmt w:val="bullet"/>
      <w:lvlText w:val="-"/>
      <w:lvlJc w:val="left"/>
      <w:pPr>
        <w:tabs>
          <w:tab w:val="num" w:pos="5760"/>
        </w:tabs>
        <w:ind w:left="5760" w:hanging="360"/>
      </w:pPr>
      <w:rPr>
        <w:rFonts w:ascii="Lucida Grande" w:hAnsi="Lucida Grande" w:hint="default"/>
      </w:rPr>
    </w:lvl>
    <w:lvl w:ilvl="8" w:tplc="FA540C04" w:tentative="1">
      <w:start w:val="1"/>
      <w:numFmt w:val="bullet"/>
      <w:lvlText w:val="-"/>
      <w:lvlJc w:val="left"/>
      <w:pPr>
        <w:tabs>
          <w:tab w:val="num" w:pos="6480"/>
        </w:tabs>
        <w:ind w:left="6480" w:hanging="360"/>
      </w:pPr>
      <w:rPr>
        <w:rFonts w:ascii="Lucida Grande" w:hAnsi="Lucida Grande" w:hint="default"/>
      </w:rPr>
    </w:lvl>
  </w:abstractNum>
  <w:abstractNum w:abstractNumId="2" w15:restartNumberingAfterBreak="0">
    <w:nsid w:val="6D227548"/>
    <w:multiLevelType w:val="hybridMultilevel"/>
    <w:tmpl w:val="CD525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10D55"/>
    <w:rsid w:val="000A35F6"/>
    <w:rsid w:val="000A5AE2"/>
    <w:rsid w:val="000A771F"/>
    <w:rsid w:val="000C3583"/>
    <w:rsid w:val="00113853"/>
    <w:rsid w:val="00164F17"/>
    <w:rsid w:val="001838CF"/>
    <w:rsid w:val="001E30F6"/>
    <w:rsid w:val="001F568B"/>
    <w:rsid w:val="00247522"/>
    <w:rsid w:val="002B3569"/>
    <w:rsid w:val="002E5ECA"/>
    <w:rsid w:val="002F601A"/>
    <w:rsid w:val="003349A7"/>
    <w:rsid w:val="00381529"/>
    <w:rsid w:val="003A1665"/>
    <w:rsid w:val="003F1A25"/>
    <w:rsid w:val="003F6828"/>
    <w:rsid w:val="00481AE4"/>
    <w:rsid w:val="004A671C"/>
    <w:rsid w:val="004B3E8D"/>
    <w:rsid w:val="004E5E66"/>
    <w:rsid w:val="004F2103"/>
    <w:rsid w:val="004F63F7"/>
    <w:rsid w:val="00503B4D"/>
    <w:rsid w:val="005222DD"/>
    <w:rsid w:val="00527DA6"/>
    <w:rsid w:val="00591FC6"/>
    <w:rsid w:val="00596FC1"/>
    <w:rsid w:val="005E0556"/>
    <w:rsid w:val="005E61A8"/>
    <w:rsid w:val="00653499"/>
    <w:rsid w:val="00664950"/>
    <w:rsid w:val="00667979"/>
    <w:rsid w:val="007306ED"/>
    <w:rsid w:val="00733E5D"/>
    <w:rsid w:val="007662A6"/>
    <w:rsid w:val="00784BCE"/>
    <w:rsid w:val="00785232"/>
    <w:rsid w:val="007C3ED0"/>
    <w:rsid w:val="0082463B"/>
    <w:rsid w:val="00841BCD"/>
    <w:rsid w:val="00842AC7"/>
    <w:rsid w:val="00882B78"/>
    <w:rsid w:val="008C16BB"/>
    <w:rsid w:val="009028BB"/>
    <w:rsid w:val="00913860"/>
    <w:rsid w:val="00942062"/>
    <w:rsid w:val="00982D2A"/>
    <w:rsid w:val="00A25AE5"/>
    <w:rsid w:val="00A43422"/>
    <w:rsid w:val="00AA1B0E"/>
    <w:rsid w:val="00AC5CA7"/>
    <w:rsid w:val="00B31E4C"/>
    <w:rsid w:val="00B40978"/>
    <w:rsid w:val="00B44BB4"/>
    <w:rsid w:val="00B479D5"/>
    <w:rsid w:val="00B53EB6"/>
    <w:rsid w:val="00B656A0"/>
    <w:rsid w:val="00BD56AA"/>
    <w:rsid w:val="00C02F27"/>
    <w:rsid w:val="00C66353"/>
    <w:rsid w:val="00C8013A"/>
    <w:rsid w:val="00CA6253"/>
    <w:rsid w:val="00CE3A6B"/>
    <w:rsid w:val="00D00211"/>
    <w:rsid w:val="00D00236"/>
    <w:rsid w:val="00D06309"/>
    <w:rsid w:val="00D43403"/>
    <w:rsid w:val="00D80404"/>
    <w:rsid w:val="00D807ED"/>
    <w:rsid w:val="00D85728"/>
    <w:rsid w:val="00DB332F"/>
    <w:rsid w:val="00DB6987"/>
    <w:rsid w:val="00DE24A3"/>
    <w:rsid w:val="00DF21A2"/>
    <w:rsid w:val="00DF2997"/>
    <w:rsid w:val="00E269CA"/>
    <w:rsid w:val="00EB75B4"/>
    <w:rsid w:val="00EC7BC3"/>
    <w:rsid w:val="00EF423B"/>
    <w:rsid w:val="00F02576"/>
    <w:rsid w:val="00F06F41"/>
    <w:rsid w:val="00F1362C"/>
    <w:rsid w:val="00F251C4"/>
    <w:rsid w:val="00F731F9"/>
    <w:rsid w:val="00F7476A"/>
    <w:rsid w:val="00FC6FD3"/>
    <w:rsid w:val="00FF28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5B1C5"/>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251C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F568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0556"/>
    <w:pPr>
      <w:ind w:left="720"/>
      <w:contextualSpacing/>
    </w:pPr>
  </w:style>
  <w:style w:type="character" w:customStyle="1" w:styleId="Heading2Char">
    <w:name w:val="Heading 2 Char"/>
    <w:basedOn w:val="DefaultParagraphFont"/>
    <w:link w:val="Heading2"/>
    <w:uiPriority w:val="9"/>
    <w:rsid w:val="001F568B"/>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uiPriority w:val="9"/>
    <w:rsid w:val="00F251C4"/>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uiPriority w:val="99"/>
    <w:semiHidden/>
    <w:unhideWhenUsed/>
    <w:rsid w:val="003F6828"/>
    <w:rPr>
      <w:sz w:val="16"/>
      <w:szCs w:val="16"/>
    </w:rPr>
  </w:style>
  <w:style w:type="paragraph" w:styleId="CommentText">
    <w:name w:val="annotation text"/>
    <w:basedOn w:val="Normal"/>
    <w:link w:val="CommentTextChar"/>
    <w:uiPriority w:val="99"/>
    <w:semiHidden/>
    <w:unhideWhenUsed/>
    <w:rsid w:val="003F6828"/>
    <w:pPr>
      <w:spacing w:line="240" w:lineRule="auto"/>
    </w:pPr>
    <w:rPr>
      <w:sz w:val="20"/>
      <w:szCs w:val="20"/>
    </w:rPr>
  </w:style>
  <w:style w:type="character" w:customStyle="1" w:styleId="CommentTextChar">
    <w:name w:val="Comment Text Char"/>
    <w:basedOn w:val="DefaultParagraphFont"/>
    <w:link w:val="CommentText"/>
    <w:uiPriority w:val="99"/>
    <w:semiHidden/>
    <w:rsid w:val="003F6828"/>
    <w:rPr>
      <w:sz w:val="20"/>
      <w:szCs w:val="20"/>
    </w:rPr>
  </w:style>
  <w:style w:type="paragraph" w:styleId="CommentSubject">
    <w:name w:val="annotation subject"/>
    <w:basedOn w:val="CommentText"/>
    <w:next w:val="CommentText"/>
    <w:link w:val="CommentSubjectChar"/>
    <w:uiPriority w:val="99"/>
    <w:semiHidden/>
    <w:unhideWhenUsed/>
    <w:rsid w:val="003F6828"/>
    <w:rPr>
      <w:b/>
      <w:bCs/>
    </w:rPr>
  </w:style>
  <w:style w:type="character" w:customStyle="1" w:styleId="CommentSubjectChar">
    <w:name w:val="Comment Subject Char"/>
    <w:basedOn w:val="CommentTextChar"/>
    <w:link w:val="CommentSubject"/>
    <w:uiPriority w:val="99"/>
    <w:semiHidden/>
    <w:rsid w:val="003F6828"/>
    <w:rPr>
      <w:b/>
      <w:bCs/>
      <w:sz w:val="20"/>
      <w:szCs w:val="20"/>
    </w:rPr>
  </w:style>
  <w:style w:type="paragraph" w:styleId="BalloonText">
    <w:name w:val="Balloon Text"/>
    <w:basedOn w:val="Normal"/>
    <w:link w:val="BalloonTextChar"/>
    <w:uiPriority w:val="99"/>
    <w:semiHidden/>
    <w:unhideWhenUsed/>
    <w:rsid w:val="003F68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68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5354757">
      <w:bodyDiv w:val="1"/>
      <w:marLeft w:val="0"/>
      <w:marRight w:val="0"/>
      <w:marTop w:val="0"/>
      <w:marBottom w:val="0"/>
      <w:divBdr>
        <w:top w:val="none" w:sz="0" w:space="0" w:color="auto"/>
        <w:left w:val="none" w:sz="0" w:space="0" w:color="auto"/>
        <w:bottom w:val="none" w:sz="0" w:space="0" w:color="auto"/>
        <w:right w:val="none" w:sz="0" w:space="0" w:color="auto"/>
      </w:divBdr>
      <w:divsChild>
        <w:div w:id="1465081310">
          <w:marLeft w:val="1195"/>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1738</Words>
  <Characters>9911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Dalsgaard</dc:creator>
  <cp:keywords/>
  <dc:description/>
  <cp:lastModifiedBy>Nokia</cp:lastModifiedBy>
  <cp:revision>2</cp:revision>
  <dcterms:created xsi:type="dcterms:W3CDTF">2017-06-19T18:24:00Z</dcterms:created>
  <dcterms:modified xsi:type="dcterms:W3CDTF">2017-06-19T18:24:00Z</dcterms:modified>
</cp:coreProperties>
</file>