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7EA26" w14:textId="25113C0F"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8116BD">
        <w:rPr>
          <w:rFonts w:cs="Arial"/>
          <w:sz w:val="24"/>
          <w:szCs w:val="24"/>
          <w:lang w:val="de-DE"/>
        </w:rPr>
        <w:t>9</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sidR="003D1C7B">
        <w:rPr>
          <w:rFonts w:cs="Arial"/>
          <w:sz w:val="24"/>
          <w:szCs w:val="24"/>
          <w:lang w:val="de-DE"/>
        </w:rPr>
        <w:t>10983</w:t>
      </w:r>
    </w:p>
    <w:p w14:paraId="5A5E9D28" w14:textId="49DC41D7" w:rsidR="00A40206" w:rsidRPr="00DB3907" w:rsidRDefault="00E35BC4" w:rsidP="00A40206">
      <w:pPr>
        <w:pStyle w:val="Header"/>
        <w:tabs>
          <w:tab w:val="left" w:pos="6521"/>
        </w:tabs>
        <w:rPr>
          <w:rFonts w:cs="Arial"/>
          <w:sz w:val="24"/>
          <w:szCs w:val="24"/>
        </w:rPr>
      </w:pPr>
      <w:r>
        <w:rPr>
          <w:rFonts w:cs="Arial"/>
          <w:sz w:val="24"/>
          <w:szCs w:val="24"/>
        </w:rPr>
        <w:t>May</w:t>
      </w:r>
      <w:r w:rsidR="00A40206">
        <w:rPr>
          <w:rFonts w:cs="Arial"/>
          <w:sz w:val="24"/>
          <w:szCs w:val="24"/>
        </w:rPr>
        <w:t xml:space="preserve"> </w:t>
      </w:r>
      <w:r>
        <w:rPr>
          <w:rFonts w:cs="Arial"/>
          <w:sz w:val="24"/>
          <w:szCs w:val="24"/>
        </w:rPr>
        <w:t>19</w:t>
      </w:r>
      <w:r w:rsidR="00A40206">
        <w:rPr>
          <w:rFonts w:cs="Arial"/>
          <w:sz w:val="24"/>
          <w:szCs w:val="24"/>
          <w:vertAlign w:val="superscript"/>
        </w:rPr>
        <w:t>th</w:t>
      </w:r>
      <w:r w:rsidR="00A40206">
        <w:rPr>
          <w:rFonts w:cs="Arial"/>
          <w:sz w:val="24"/>
          <w:szCs w:val="24"/>
        </w:rPr>
        <w:t xml:space="preserve"> ‒ </w:t>
      </w:r>
      <w:r w:rsidR="004C7F5D">
        <w:rPr>
          <w:rFonts w:cs="Arial"/>
          <w:sz w:val="24"/>
          <w:szCs w:val="24"/>
        </w:rPr>
        <w:t>2</w:t>
      </w:r>
      <w:r>
        <w:rPr>
          <w:rFonts w:cs="Arial"/>
          <w:sz w:val="24"/>
          <w:szCs w:val="24"/>
        </w:rPr>
        <w:t>7</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76AF72E"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6F69FB">
        <w:rPr>
          <w:rFonts w:ascii="Arial" w:hAnsi="Arial"/>
          <w:sz w:val="24"/>
          <w:lang w:val="en-US"/>
        </w:rPr>
        <w:t>8.1.2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01BFA1B3"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877B01">
        <w:rPr>
          <w:rFonts w:ascii="Arial" w:hAnsi="Arial"/>
          <w:sz w:val="24"/>
          <w:lang w:val="en-US"/>
        </w:rPr>
        <w:t>NR-U VLP for EU 6 GHz</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7468F3">
      <w:pPr>
        <w:pStyle w:val="Heading1"/>
        <w:tabs>
          <w:tab w:val="clear" w:pos="432"/>
          <w:tab w:val="num" w:pos="522"/>
        </w:tabs>
        <w:ind w:left="522" w:hanging="522"/>
        <w:rPr>
          <w:lang w:val="en-US"/>
        </w:rPr>
      </w:pPr>
      <w:r>
        <w:rPr>
          <w:lang w:val="en-US"/>
        </w:rPr>
        <w:t>Introduction</w:t>
      </w:r>
    </w:p>
    <w:p w14:paraId="0E13F3E9" w14:textId="446B344F" w:rsidR="000C3E6D" w:rsidRDefault="000C3E6D" w:rsidP="000C3E6D">
      <w:pPr>
        <w:rPr>
          <w:lang w:val="en-US"/>
        </w:rPr>
      </w:pPr>
      <w:r>
        <w:rPr>
          <w:lang w:val="en-US"/>
        </w:rPr>
        <w:t>ECC has published a decision [1] for rules governing the unlicensed usage of the frequency band 5945 – 6425 MHz available for mobile service, fixed service, and fixed-satellite service in Europe.  The techincal requirements as they relate to UE RF requirements were summarized in [2].  This contribution provides further discussion and initial A-MPR simulation results for VLP (very low power) category of device.</w:t>
      </w:r>
    </w:p>
    <w:p w14:paraId="10F6602E" w14:textId="7BEC79FB" w:rsidR="007E1E78" w:rsidRDefault="007E1E78" w:rsidP="0099327E">
      <w:pPr>
        <w:pStyle w:val="Heading1"/>
        <w:tabs>
          <w:tab w:val="clear" w:pos="432"/>
          <w:tab w:val="num" w:pos="522"/>
        </w:tabs>
        <w:ind w:left="522" w:hanging="522"/>
        <w:rPr>
          <w:lang w:val="en-US"/>
        </w:rPr>
      </w:pPr>
      <w:r>
        <w:rPr>
          <w:lang w:val="en-US"/>
        </w:rPr>
        <w:t>Discussion</w:t>
      </w:r>
    </w:p>
    <w:p w14:paraId="48418171" w14:textId="77777777" w:rsidR="00AC161C" w:rsidRDefault="00AC161C" w:rsidP="00AC161C">
      <w:pPr>
        <w:pStyle w:val="Heading2"/>
        <w:rPr>
          <w:lang w:val="en-US"/>
        </w:rPr>
      </w:pPr>
      <w:r>
        <w:rPr>
          <w:lang w:val="en-US"/>
        </w:rPr>
        <w:t>The case for VLP</w:t>
      </w:r>
    </w:p>
    <w:p w14:paraId="14F0A180" w14:textId="5A0C76A6" w:rsidR="00CB1952" w:rsidRDefault="00AC161C" w:rsidP="00AC161C">
      <w:pPr>
        <w:rPr>
          <w:lang w:val="en-US"/>
        </w:rPr>
      </w:pPr>
      <w:r>
        <w:rPr>
          <w:lang w:val="en-US"/>
        </w:rPr>
        <w:t xml:space="preserve">In its decision [1], </w:t>
      </w:r>
      <w:r w:rsidR="00413489">
        <w:rPr>
          <w:lang w:val="en-US"/>
        </w:rPr>
        <w:t>CEPT</w:t>
      </w:r>
      <w:r w:rsidR="00C92020">
        <w:rPr>
          <w:lang w:val="en-US"/>
        </w:rPr>
        <w:t xml:space="preserve"> defined technical rules for two </w:t>
      </w:r>
      <w:r w:rsidR="00784FE7">
        <w:rPr>
          <w:lang w:val="en-US"/>
        </w:rPr>
        <w:t>use cases</w:t>
      </w:r>
      <w:r w:rsidR="007468F3">
        <w:rPr>
          <w:lang w:val="en-US"/>
        </w:rPr>
        <w:t>; namely</w:t>
      </w:r>
    </w:p>
    <w:p w14:paraId="265DED29" w14:textId="255D3032" w:rsidR="007468F3" w:rsidRPr="007468F3" w:rsidRDefault="007468F3" w:rsidP="007468F3">
      <w:pPr>
        <w:pStyle w:val="ListParagraph"/>
        <w:numPr>
          <w:ilvl w:val="0"/>
          <w:numId w:val="27"/>
        </w:numPr>
        <w:ind w:left="720"/>
        <w:rPr>
          <w:lang w:val="en-US"/>
        </w:rPr>
      </w:pPr>
      <w:r w:rsidRPr="007468F3">
        <w:rPr>
          <w:lang w:val="en-US"/>
        </w:rPr>
        <w:t>Low power indoor (LPI) use, maximum mean 200 mW e.i.r.p., with no outdoor use allowed;</w:t>
      </w:r>
    </w:p>
    <w:p w14:paraId="7C5FFEDB" w14:textId="35A46C70" w:rsidR="007468F3" w:rsidRPr="007468F3" w:rsidRDefault="007468F3" w:rsidP="007468F3">
      <w:pPr>
        <w:pStyle w:val="ListParagraph"/>
        <w:numPr>
          <w:ilvl w:val="0"/>
          <w:numId w:val="27"/>
        </w:numPr>
        <w:ind w:left="720"/>
        <w:rPr>
          <w:lang w:val="en-US"/>
        </w:rPr>
      </w:pPr>
      <w:r w:rsidRPr="007468F3">
        <w:rPr>
          <w:lang w:val="en-US"/>
        </w:rPr>
        <w:t>Very low power (VLP) portable use, maximum mean 25 mW e.i.r.p., that may both operate indoor and outdoor.</w:t>
      </w:r>
    </w:p>
    <w:p w14:paraId="2B309872" w14:textId="7C1FF52A" w:rsidR="007468F3" w:rsidRDefault="007468F3" w:rsidP="007468F3">
      <w:pPr>
        <w:rPr>
          <w:lang w:val="en-US"/>
        </w:rPr>
      </w:pPr>
      <w:r>
        <w:rPr>
          <w:lang w:val="en-US"/>
        </w:rPr>
        <w:t xml:space="preserve">It is stated </w:t>
      </w:r>
      <w:r w:rsidR="00B92BCC">
        <w:rPr>
          <w:lang w:val="en-US"/>
        </w:rPr>
        <w:t xml:space="preserve">the </w:t>
      </w:r>
      <w:r w:rsidRPr="007468F3">
        <w:rPr>
          <w:lang w:val="en-US"/>
        </w:rPr>
        <w:t>e.i.r.p. requirements assumed generic WAS/RLAN systems</w:t>
      </w:r>
      <w:r w:rsidR="00B92BCC">
        <w:rPr>
          <w:lang w:val="en-US"/>
        </w:rPr>
        <w:t xml:space="preserve"> where it is further described that th</w:t>
      </w:r>
      <w:r w:rsidRPr="007468F3">
        <w:rPr>
          <w:lang w:val="en-US"/>
        </w:rPr>
        <w:t>ose systems can be described by two common configurations: centralised systems, where multiple devices are connecting to an access point (AP), and non-centralised systems, where multiple devices communicate directly in a small area on an ad-hoc basis.</w:t>
      </w:r>
    </w:p>
    <w:p w14:paraId="710D33A8" w14:textId="117BFA7E" w:rsidR="00F52855" w:rsidRDefault="00F52855" w:rsidP="007468F3">
      <w:pPr>
        <w:rPr>
          <w:lang w:val="en-US"/>
        </w:rPr>
      </w:pPr>
      <w:r>
        <w:rPr>
          <w:lang w:val="en-US"/>
        </w:rPr>
        <w:t>It is the expectation of CEPT that both use cases are enabled</w:t>
      </w:r>
      <w:r w:rsidR="00374FE7">
        <w:rPr>
          <w:lang w:val="en-US"/>
        </w:rPr>
        <w:t xml:space="preserve"> and in fact, an interim emission requirement was defined for VLP expressly for the purpose to alowing the VLP initial market to take up</w:t>
      </w:r>
      <w:r w:rsidR="00654128">
        <w:rPr>
          <w:lang w:val="en-US"/>
        </w:rPr>
        <w:t xml:space="preserve"> before it is revisited at the end of 2024</w:t>
      </w:r>
      <w:r w:rsidR="00374FE7">
        <w:rPr>
          <w:lang w:val="en-US"/>
        </w:rPr>
        <w:t xml:space="preserve">.  </w:t>
      </w:r>
      <w:r w:rsidR="00E72FA1">
        <w:rPr>
          <w:lang w:val="en-US"/>
        </w:rPr>
        <w:t>Therefore, it would be remiss of 3GPP to include LPI in its specification but not VLP</w:t>
      </w:r>
      <w:r w:rsidR="00FE21F8">
        <w:rPr>
          <w:lang w:val="en-US"/>
        </w:rPr>
        <w:t xml:space="preserve">.  The deployment model for VLP has been questioned </w:t>
      </w:r>
      <w:r w:rsidR="007F247A">
        <w:rPr>
          <w:lang w:val="en-US"/>
        </w:rPr>
        <w:t xml:space="preserve">(discussion documented in </w:t>
      </w:r>
      <w:r w:rsidR="00FE21F8">
        <w:rPr>
          <w:lang w:val="en-US"/>
        </w:rPr>
        <w:t>[</w:t>
      </w:r>
      <w:r w:rsidR="007F247A">
        <w:rPr>
          <w:lang w:val="en-US"/>
        </w:rPr>
        <w:t>3</w:t>
      </w:r>
      <w:r w:rsidR="00FE21F8">
        <w:rPr>
          <w:lang w:val="en-US"/>
        </w:rPr>
        <w:t>]</w:t>
      </w:r>
      <w:r w:rsidR="007F247A">
        <w:rPr>
          <w:lang w:val="en-US"/>
        </w:rPr>
        <w:t>)</w:t>
      </w:r>
      <w:r w:rsidR="00FE21F8">
        <w:rPr>
          <w:lang w:val="en-US"/>
        </w:rPr>
        <w:t xml:space="preserve"> with a </w:t>
      </w:r>
      <w:r w:rsidR="007F247A">
        <w:rPr>
          <w:lang w:val="en-US"/>
        </w:rPr>
        <w:t xml:space="preserve">claim that outdoor basestations are disallowed and a </w:t>
      </w:r>
      <w:r w:rsidR="00FE21F8">
        <w:rPr>
          <w:lang w:val="en-US"/>
        </w:rPr>
        <w:t xml:space="preserve">concern raised that </w:t>
      </w:r>
      <w:r w:rsidR="007F247A">
        <w:rPr>
          <w:lang w:val="en-US"/>
        </w:rPr>
        <w:t>VLP deployment</w:t>
      </w:r>
      <w:r w:rsidR="00FE21F8">
        <w:rPr>
          <w:lang w:val="en-US"/>
        </w:rPr>
        <w:t xml:space="preserve"> is not compatible with 3GPP NR-U technology.  Indeed, the ECC report does </w:t>
      </w:r>
      <w:r w:rsidR="00353E83">
        <w:rPr>
          <w:lang w:val="en-US"/>
        </w:rPr>
        <w:t>suggest</w:t>
      </w:r>
      <w:r w:rsidR="00FE21F8">
        <w:rPr>
          <w:lang w:val="en-US"/>
        </w:rPr>
        <w:t xml:space="preserve"> that the intended application for VLP is direct communication</w:t>
      </w:r>
      <w:r w:rsidR="00353E83">
        <w:rPr>
          <w:lang w:val="en-US"/>
        </w:rPr>
        <w:t xml:space="preserve"> which may not be well matched to NR-U; however, nowhere in the rules is there a prohibition of </w:t>
      </w:r>
      <w:r w:rsidR="007F247A">
        <w:rPr>
          <w:lang w:val="en-US"/>
        </w:rPr>
        <w:t xml:space="preserve">outdoor basestations or </w:t>
      </w:r>
      <w:r w:rsidR="002E4C27">
        <w:rPr>
          <w:lang w:val="en-US"/>
        </w:rPr>
        <w:t>other types of communication</w:t>
      </w:r>
      <w:r w:rsidR="007D09AF">
        <w:rPr>
          <w:lang w:val="en-US"/>
        </w:rPr>
        <w:t xml:space="preserve"> including centralized communication between access point and client (or gNB and UE).  The only restrictions are those related to EIRP, emissions, and the requirement that the device be portable</w:t>
      </w:r>
      <w:r w:rsidR="0025130E">
        <w:rPr>
          <w:lang w:val="en-US"/>
        </w:rPr>
        <w:t xml:space="preserve"> but not installed on a drone</w:t>
      </w:r>
      <w:r w:rsidR="007D09AF">
        <w:rPr>
          <w:lang w:val="en-US"/>
        </w:rPr>
        <w:t>.  Therefore, a gNB or AP installed on a moving platform</w:t>
      </w:r>
      <w:r w:rsidR="00CB4665">
        <w:rPr>
          <w:lang w:val="en-US"/>
        </w:rPr>
        <w:t xml:space="preserve"> such as a car or truck might be such an example with care that the emission requirements are met.</w:t>
      </w:r>
      <w:r w:rsidR="00102AB4">
        <w:rPr>
          <w:lang w:val="en-US"/>
        </w:rPr>
        <w:t xml:space="preserve">  </w:t>
      </w:r>
    </w:p>
    <w:p w14:paraId="3AF78D58" w14:textId="3F64C560" w:rsidR="008E51B2" w:rsidRDefault="008E51B2" w:rsidP="008E51B2">
      <w:pPr>
        <w:pStyle w:val="Heading2"/>
        <w:rPr>
          <w:lang w:val="en-US"/>
        </w:rPr>
      </w:pPr>
      <w:r>
        <w:rPr>
          <w:lang w:val="en-US"/>
        </w:rPr>
        <w:t>Indoor and outdoor operation</w:t>
      </w:r>
    </w:p>
    <w:p w14:paraId="17F4CC5E" w14:textId="6E471406" w:rsidR="008E51B2" w:rsidRDefault="002358B5" w:rsidP="008E51B2">
      <w:pPr>
        <w:rPr>
          <w:lang w:val="en-US"/>
        </w:rPr>
      </w:pPr>
      <w:r>
        <w:rPr>
          <w:lang w:val="en-US"/>
        </w:rPr>
        <w:t>Another concern originally raised in [</w:t>
      </w:r>
      <w:r w:rsidR="003A4339">
        <w:rPr>
          <w:lang w:val="en-US"/>
        </w:rPr>
        <w:t>2</w:t>
      </w:r>
      <w:r>
        <w:rPr>
          <w:lang w:val="en-US"/>
        </w:rPr>
        <w:t xml:space="preserve">] and </w:t>
      </w:r>
      <w:r w:rsidR="003A4339">
        <w:rPr>
          <w:lang w:val="en-US"/>
        </w:rPr>
        <w:t>expanded</w:t>
      </w:r>
      <w:r w:rsidR="00BA1811">
        <w:rPr>
          <w:lang w:val="en-US"/>
        </w:rPr>
        <w:t xml:space="preserve"> </w:t>
      </w:r>
      <w:r w:rsidR="003A4339">
        <w:rPr>
          <w:lang w:val="en-US"/>
        </w:rPr>
        <w:t xml:space="preserve">upon </w:t>
      </w:r>
      <w:r w:rsidR="00BA1811">
        <w:rPr>
          <w:lang w:val="en-US"/>
        </w:rPr>
        <w:t>in [</w:t>
      </w:r>
      <w:r w:rsidR="00CD2054">
        <w:rPr>
          <w:lang w:val="en-US"/>
        </w:rPr>
        <w:t>4</w:t>
      </w:r>
      <w:r w:rsidR="00BA1811">
        <w:rPr>
          <w:lang w:val="en-US"/>
        </w:rPr>
        <w:t>] is the potential for a VLP device to improperly identify itself with an LPI network</w:t>
      </w:r>
      <w:r w:rsidR="00020662">
        <w:rPr>
          <w:lang w:val="en-US"/>
        </w:rPr>
        <w:t xml:space="preserve"> and transmit at a level exceeding the regulation</w:t>
      </w:r>
      <w:r w:rsidR="00AC01A2">
        <w:rPr>
          <w:lang w:val="en-US"/>
        </w:rPr>
        <w:t xml:space="preserve"> when outdoors</w:t>
      </w:r>
      <w:r w:rsidR="00020662">
        <w:rPr>
          <w:lang w:val="en-US"/>
        </w:rPr>
        <w:t>.  This may be possible</w:t>
      </w:r>
      <w:r w:rsidR="00844D48">
        <w:rPr>
          <w:lang w:val="en-US"/>
        </w:rPr>
        <w:t xml:space="preserve"> </w:t>
      </w:r>
      <w:r w:rsidR="00020662">
        <w:rPr>
          <w:lang w:val="en-US"/>
        </w:rPr>
        <w:t xml:space="preserve">in case the VLP device outdoors connects to an LPI gNB located indoors if the VLP is </w:t>
      </w:r>
      <w:r w:rsidR="0058777F">
        <w:rPr>
          <w:lang w:val="en-US"/>
        </w:rPr>
        <w:t>just outside of an open doorway or window for example.  As commented in [</w:t>
      </w:r>
      <w:r w:rsidR="00CD2054">
        <w:rPr>
          <w:lang w:val="en-US"/>
        </w:rPr>
        <w:t>2</w:t>
      </w:r>
      <w:r w:rsidR="0058777F">
        <w:rPr>
          <w:lang w:val="en-US"/>
        </w:rPr>
        <w:t>], there is no UE RF solution to this problem; as long as the VLP UE receives energy from the gNB</w:t>
      </w:r>
      <w:r w:rsidR="00391826">
        <w:rPr>
          <w:lang w:val="en-US"/>
        </w:rPr>
        <w:t xml:space="preserve">, it will connect and operate as if it were an LPI device unaware that it is phyiscally located outdoors.  The only UE RF solution is to permanently </w:t>
      </w:r>
      <w:r w:rsidR="005F4828">
        <w:rPr>
          <w:lang w:val="en-US"/>
        </w:rPr>
        <w:t>degrade all devices to behave only as VLP</w:t>
      </w:r>
      <w:r w:rsidR="00AB34AD">
        <w:rPr>
          <w:lang w:val="en-US"/>
        </w:rPr>
        <w:t xml:space="preserve">.  Note this would also apply to LPI devices since there is no assurance that LPI devices might not wander outdoors even if only intended for indoor usage.  However, degrading all devices to VLP was not the intention when </w:t>
      </w:r>
      <w:r w:rsidR="00C2686D">
        <w:rPr>
          <w:lang w:val="en-US"/>
        </w:rPr>
        <w:t xml:space="preserve">the spectrum was evaluated for WAS/RLAN suitability.  </w:t>
      </w:r>
      <w:r w:rsidR="00A833C2">
        <w:rPr>
          <w:lang w:val="en-US"/>
        </w:rPr>
        <w:t>The potential for LPI transmission outdoors was considered in the compatibility studies [</w:t>
      </w:r>
      <w:r w:rsidR="004943EA">
        <w:rPr>
          <w:lang w:val="en-US"/>
        </w:rPr>
        <w:t>5</w:t>
      </w:r>
      <w:r w:rsidR="00A833C2">
        <w:rPr>
          <w:lang w:val="en-US"/>
        </w:rPr>
        <w:t xml:space="preserve">] where it is written </w:t>
      </w:r>
      <w:r w:rsidR="00231FF4">
        <w:rPr>
          <w:lang w:val="en-US"/>
        </w:rPr>
        <w:t>“</w:t>
      </w:r>
      <w:r w:rsidR="00231FF4" w:rsidRPr="00231FF4">
        <w:rPr>
          <w:lang w:val="en-US"/>
        </w:rPr>
        <w:t xml:space="preserve">some additional techniques/restrictions may need to be applied in order to maintain the </w:t>
      </w:r>
      <w:r w:rsidR="00231FF4" w:rsidRPr="00231FF4">
        <w:rPr>
          <w:lang w:val="en-US"/>
        </w:rPr>
        <w:lastRenderedPageBreak/>
        <w:t>indoor WAS/RLAN usage or to mitigate the effects in cases of accidental WAS/RLAN outdoor use</w:t>
      </w:r>
      <w:r w:rsidR="00231FF4">
        <w:rPr>
          <w:lang w:val="en-US"/>
        </w:rPr>
        <w:t>.”  Examples were provided</w:t>
      </w:r>
      <w:r w:rsidR="00C64A66">
        <w:rPr>
          <w:lang w:val="en-US"/>
        </w:rPr>
        <w:t xml:space="preserve"> including </w:t>
      </w:r>
      <w:r w:rsidR="00D23354">
        <w:rPr>
          <w:lang w:val="en-US"/>
        </w:rPr>
        <w:t xml:space="preserve">databases for </w:t>
      </w:r>
      <w:r w:rsidR="00C64A66">
        <w:rPr>
          <w:lang w:val="en-US"/>
        </w:rPr>
        <w:t>coordination, geo-location</w:t>
      </w:r>
      <w:r w:rsidR="00D23354">
        <w:rPr>
          <w:lang w:val="en-US"/>
        </w:rPr>
        <w:t xml:space="preserve">, etc., but these were only made in the context of high power </w:t>
      </w:r>
      <w:r w:rsidR="00146684">
        <w:rPr>
          <w:lang w:val="en-US"/>
        </w:rPr>
        <w:t>deployments.  Low power indoor</w:t>
      </w:r>
      <w:r w:rsidR="00F20795">
        <w:rPr>
          <w:lang w:val="en-US"/>
        </w:rPr>
        <w:t xml:space="preserve"> and very low power portable devices were judged</w:t>
      </w:r>
      <w:r w:rsidR="00B10ABD">
        <w:rPr>
          <w:lang w:val="en-US"/>
        </w:rPr>
        <w:t xml:space="preserve"> to be compatible without</w:t>
      </w:r>
      <w:r w:rsidR="00287205">
        <w:rPr>
          <w:lang w:val="en-US"/>
        </w:rPr>
        <w:t xml:space="preserve"> a</w:t>
      </w:r>
      <w:r w:rsidR="001A1AB3">
        <w:rPr>
          <w:lang w:val="en-US"/>
        </w:rPr>
        <w:t>dditional technical and regulatory</w:t>
      </w:r>
      <w:r w:rsidR="00C5481B">
        <w:rPr>
          <w:lang w:val="en-US"/>
        </w:rPr>
        <w:t xml:space="preserve"> solutions.  Therefore, it is our proposal that this potential issue does not need to be addressed in the 3GPP specifications.</w:t>
      </w:r>
    </w:p>
    <w:p w14:paraId="0A71A6FC" w14:textId="3A98AD69" w:rsidR="00ED7EC8" w:rsidRDefault="00E15CC0" w:rsidP="00ED7EC8">
      <w:pPr>
        <w:pStyle w:val="Heading2"/>
        <w:rPr>
          <w:lang w:val="en-US"/>
        </w:rPr>
      </w:pPr>
      <w:r>
        <w:rPr>
          <w:lang w:val="en-US"/>
        </w:rPr>
        <w:t>A-MPR</w:t>
      </w:r>
    </w:p>
    <w:p w14:paraId="4D7D41CD" w14:textId="7E2639D9" w:rsidR="00991B95" w:rsidRDefault="00991B95" w:rsidP="00B955C3">
      <w:pPr>
        <w:rPr>
          <w:lang w:val="en-US"/>
        </w:rPr>
      </w:pPr>
      <w:r>
        <w:rPr>
          <w:lang w:val="en-US"/>
        </w:rPr>
        <w:t>A-MPR is needed</w:t>
      </w:r>
      <w:r w:rsidR="007053D1">
        <w:rPr>
          <w:lang w:val="en-US"/>
        </w:rPr>
        <w:t xml:space="preserve"> to enable the VLP UE to meet regulatory emission requirements.  In particular, there are requirements on maximum EIRP, maximum PSD, and additional spurious emissions</w:t>
      </w:r>
      <w:r w:rsidR="00C64D20">
        <w:rPr>
          <w:lang w:val="en-US"/>
        </w:rPr>
        <w:t xml:space="preserve"> that need to be accounted for.  It has already been agreed </w:t>
      </w:r>
      <w:r w:rsidR="00B8482D">
        <w:rPr>
          <w:lang w:val="en-US"/>
        </w:rPr>
        <w:t>that a new power class would not be defined for VLP at this time; instead, the power class 5 is used with additional transmit power limitations signaled by NS was the agreed approach.</w:t>
      </w:r>
    </w:p>
    <w:p w14:paraId="6C4F2226" w14:textId="7A800E0B" w:rsidR="00B955C3" w:rsidRDefault="000611F3" w:rsidP="000611F3">
      <w:pPr>
        <w:pStyle w:val="Heading3"/>
        <w:rPr>
          <w:lang w:val="en-US"/>
        </w:rPr>
      </w:pPr>
      <w:r>
        <w:rPr>
          <w:lang w:val="en-US"/>
        </w:rPr>
        <w:t>Maximum output power and PSD limitation</w:t>
      </w:r>
    </w:p>
    <w:p w14:paraId="1DA7AAE4" w14:textId="4F18A47F" w:rsidR="000611F3" w:rsidRDefault="008424B3" w:rsidP="000611F3">
      <w:pPr>
        <w:rPr>
          <w:lang w:val="en-US"/>
        </w:rPr>
      </w:pPr>
      <w:r>
        <w:rPr>
          <w:lang w:val="en-US"/>
        </w:rPr>
        <w:t xml:space="preserve">To limit the maximum output power and PSD, it might be </w:t>
      </w:r>
      <w:r w:rsidR="009B4881">
        <w:rPr>
          <w:lang w:val="en-US"/>
        </w:rPr>
        <w:t xml:space="preserve">conceived to define A-MPR associated with an NS indicated by the network.  In fact, this is the approach that was used for PSD limitations implemented so far for NR-U bands.  However, one shortcoming of this approach should be recognized.  It is well understood that A-MPR only defines an upper bound on the power backoff that a UE is allowed to take.  The UE is free to take less A-MPR than specified or perhaps none at all so long as it can fulfill the requirements that the A-MPR was intended to </w:t>
      </w:r>
      <w:r w:rsidR="007302F2">
        <w:rPr>
          <w:lang w:val="en-US"/>
        </w:rPr>
        <w:t xml:space="preserve">facilitate.  </w:t>
      </w:r>
      <w:r w:rsidR="009A2293">
        <w:rPr>
          <w:lang w:val="en-US"/>
        </w:rPr>
        <w:t>This is evident by the fact that A-MPR is specified as ≤ in the requirement and that it is only included in P</w:t>
      </w:r>
      <w:r w:rsidR="009A2293" w:rsidRPr="009A2293">
        <w:rPr>
          <w:vertAlign w:val="subscript"/>
          <w:lang w:val="en-US"/>
        </w:rPr>
        <w:t xml:space="preserve">CMAX_L </w:t>
      </w:r>
      <w:r w:rsidR="009A2293">
        <w:rPr>
          <w:lang w:val="en-US"/>
        </w:rPr>
        <w:t>but not P</w:t>
      </w:r>
      <w:r w:rsidR="009A2293" w:rsidRPr="009A2293">
        <w:rPr>
          <w:vertAlign w:val="subscript"/>
          <w:lang w:val="en-US"/>
        </w:rPr>
        <w:t>CMAX_H</w:t>
      </w:r>
      <w:r w:rsidR="009A2293">
        <w:rPr>
          <w:lang w:val="en-US"/>
        </w:rPr>
        <w:t>.  On the other hand, the fundamental requirement in this case (maximum output power and/or PSD)</w:t>
      </w:r>
      <w:r w:rsidR="00085CAB">
        <w:rPr>
          <w:lang w:val="en-US"/>
        </w:rPr>
        <w:t xml:space="preserve"> is </w:t>
      </w:r>
      <w:r w:rsidR="00D9408C">
        <w:rPr>
          <w:lang w:val="en-US"/>
        </w:rPr>
        <w:t xml:space="preserve">only met by power reduction; that is, there is no other way to meet the requirement by better linearity or filtering as there might be for spurious emission based A-MPR.  Therefore, it could be argued that A-MPR should be mandatory in this case which might imply that A-MPR is specified with both an upper and lower bound as </w:t>
      </w:r>
      <w:r w:rsidR="00D9408C" w:rsidRPr="00D9408C">
        <w:rPr>
          <w:i/>
          <w:iCs/>
          <w:lang w:val="en-US"/>
        </w:rPr>
        <w:t>x</w:t>
      </w:r>
      <w:r w:rsidR="00D9408C">
        <w:rPr>
          <w:lang w:val="en-US"/>
        </w:rPr>
        <w:t xml:space="preserve"> ≤ A-MPR ≤ </w:t>
      </w:r>
      <w:r w:rsidR="00D9408C" w:rsidRPr="00D9408C">
        <w:rPr>
          <w:i/>
          <w:iCs/>
          <w:lang w:val="en-US"/>
        </w:rPr>
        <w:t>y</w:t>
      </w:r>
      <w:r w:rsidR="00D9408C">
        <w:rPr>
          <w:lang w:val="en-US"/>
        </w:rPr>
        <w:t xml:space="preserve"> and P</w:t>
      </w:r>
      <w:r w:rsidR="00D9408C" w:rsidRPr="0042728D">
        <w:rPr>
          <w:vertAlign w:val="subscript"/>
          <w:lang w:val="en-US"/>
        </w:rPr>
        <w:t xml:space="preserve">CMAX_H </w:t>
      </w:r>
      <w:r w:rsidR="00D9408C">
        <w:rPr>
          <w:lang w:val="en-US"/>
        </w:rPr>
        <w:t xml:space="preserve">should </w:t>
      </w:r>
      <w:r w:rsidR="0042728D">
        <w:rPr>
          <w:lang w:val="en-US"/>
        </w:rPr>
        <w:t xml:space="preserve">be modified to include this A-MPR.  </w:t>
      </w:r>
      <w:r w:rsidR="00725FC0">
        <w:rPr>
          <w:lang w:val="en-US"/>
        </w:rPr>
        <w:t xml:space="preserve">However, doing so would appear to be a fundamental change to the usage of A-MPR that may have other </w:t>
      </w:r>
      <w:r w:rsidR="00FB33AD">
        <w:rPr>
          <w:lang w:val="en-US"/>
        </w:rPr>
        <w:t>implications.  Thus, we also consider other options as follows</w:t>
      </w:r>
    </w:p>
    <w:p w14:paraId="7F6B74EC" w14:textId="2BBE93D5" w:rsidR="00FB33AD" w:rsidRDefault="00FB33AD" w:rsidP="00FB33AD">
      <w:pPr>
        <w:pStyle w:val="ListParagraph"/>
        <w:numPr>
          <w:ilvl w:val="0"/>
          <w:numId w:val="28"/>
        </w:numPr>
        <w:rPr>
          <w:lang w:val="en-US"/>
        </w:rPr>
      </w:pPr>
      <w:r>
        <w:rPr>
          <w:lang w:val="en-US"/>
        </w:rPr>
        <w:t>A-MPR is defined with both an upper and lower bound and included in the P</w:t>
      </w:r>
      <w:r w:rsidRPr="00FB33AD">
        <w:rPr>
          <w:vertAlign w:val="subscript"/>
          <w:lang w:val="en-US"/>
        </w:rPr>
        <w:t xml:space="preserve">CMAX_H </w:t>
      </w:r>
      <w:r>
        <w:rPr>
          <w:lang w:val="en-US"/>
        </w:rPr>
        <w:t>limit,</w:t>
      </w:r>
    </w:p>
    <w:p w14:paraId="493A2699" w14:textId="1DCEE0D7" w:rsidR="00FB33AD" w:rsidRDefault="00FB33AD" w:rsidP="00FB33AD">
      <w:pPr>
        <w:pStyle w:val="ListParagraph"/>
        <w:numPr>
          <w:ilvl w:val="0"/>
          <w:numId w:val="28"/>
        </w:numPr>
        <w:rPr>
          <w:lang w:val="en-US"/>
        </w:rPr>
      </w:pPr>
      <w:r>
        <w:rPr>
          <w:lang w:val="en-US"/>
        </w:rPr>
        <w:t>Instead or in addition to A-MPR, P</w:t>
      </w:r>
      <w:r w:rsidR="00D84B78" w:rsidRPr="00D84B78">
        <w:rPr>
          <w:vertAlign w:val="subscript"/>
          <w:lang w:val="en-US"/>
        </w:rPr>
        <w:t>EMAX</w:t>
      </w:r>
      <w:r>
        <w:rPr>
          <w:lang w:val="en-US"/>
        </w:rPr>
        <w:t xml:space="preserve"> is used to restrict the maximum output power,</w:t>
      </w:r>
    </w:p>
    <w:p w14:paraId="4295F266" w14:textId="07648597" w:rsidR="00FB33AD" w:rsidRDefault="00E02229" w:rsidP="00FB33AD">
      <w:pPr>
        <w:pStyle w:val="ListParagraph"/>
        <w:numPr>
          <w:ilvl w:val="0"/>
          <w:numId w:val="28"/>
        </w:numPr>
        <w:rPr>
          <w:lang w:val="en-US"/>
        </w:rPr>
      </w:pPr>
      <w:r>
        <w:rPr>
          <w:lang w:val="en-US"/>
        </w:rPr>
        <w:t>No change is implemented in 3GPP specifications and it is instead recognized that 3GPP specifications do not supercede local regulations and should not be interpreted as “necessary and sufficient”</w:t>
      </w:r>
      <w:r w:rsidR="00684EF6">
        <w:rPr>
          <w:lang w:val="en-US"/>
        </w:rPr>
        <w:t xml:space="preserve"> with respect to such regulations.</w:t>
      </w:r>
    </w:p>
    <w:p w14:paraId="3665AD46" w14:textId="47A667BB" w:rsidR="00684EF6" w:rsidRPr="00684EF6" w:rsidRDefault="00684EF6" w:rsidP="00684EF6">
      <w:pPr>
        <w:rPr>
          <w:lang w:val="en-US"/>
        </w:rPr>
      </w:pPr>
      <w:r>
        <w:rPr>
          <w:lang w:val="en-US"/>
        </w:rPr>
        <w:t>Our recommendation is</w:t>
      </w:r>
      <w:r w:rsidR="001F15B4">
        <w:rPr>
          <w:lang w:val="en-US"/>
        </w:rPr>
        <w:t xml:space="preserve"> </w:t>
      </w:r>
      <w:r w:rsidR="00D84B78">
        <w:rPr>
          <w:lang w:val="en-US"/>
        </w:rPr>
        <w:t>both</w:t>
      </w:r>
      <w:r w:rsidR="001F15B4">
        <w:rPr>
          <w:lang w:val="en-US"/>
        </w:rPr>
        <w:t xml:space="preserve"> option 2 and option 3.  That is, the A-MPR should be defined but maintained as an upper limit only, the network should indicate </w:t>
      </w:r>
      <w:r w:rsidR="00D84B78">
        <w:rPr>
          <w:lang w:val="en-US"/>
        </w:rPr>
        <w:t>P</w:t>
      </w:r>
      <w:r w:rsidR="00D84B78" w:rsidRPr="00D84B78">
        <w:rPr>
          <w:vertAlign w:val="subscript"/>
          <w:lang w:val="en-US"/>
        </w:rPr>
        <w:t>EMAX</w:t>
      </w:r>
      <w:r w:rsidR="00D84B78">
        <w:rPr>
          <w:lang w:val="en-US"/>
        </w:rPr>
        <w:t xml:space="preserve"> </w:t>
      </w:r>
      <w:r w:rsidR="001F15B4">
        <w:rPr>
          <w:lang w:val="en-US"/>
        </w:rPr>
        <w:t>according to the regulation on maximum output power, and the UE manufacturer should recognize that while 3GPP make</w:t>
      </w:r>
      <w:r w:rsidR="00516203">
        <w:rPr>
          <w:lang w:val="en-US"/>
        </w:rPr>
        <w:t>s</w:t>
      </w:r>
      <w:r w:rsidR="001F15B4">
        <w:rPr>
          <w:lang w:val="en-US"/>
        </w:rPr>
        <w:t xml:space="preserve"> every effort to </w:t>
      </w:r>
      <w:r w:rsidR="0035576E">
        <w:rPr>
          <w:lang w:val="en-US"/>
        </w:rPr>
        <w:t xml:space="preserve">produce specifications </w:t>
      </w:r>
      <w:r w:rsidR="00516203">
        <w:rPr>
          <w:lang w:val="en-US"/>
        </w:rPr>
        <w:t xml:space="preserve">according to </w:t>
      </w:r>
      <w:r w:rsidR="001F15B4">
        <w:rPr>
          <w:lang w:val="en-US"/>
        </w:rPr>
        <w:t>regulations with NS signaled requirements</w:t>
      </w:r>
      <w:r w:rsidR="00F84DCD">
        <w:rPr>
          <w:lang w:val="en-US"/>
        </w:rPr>
        <w:t>, simply meeting 3GPP requirements is not a substitute for compliance to all relevant regulations.</w:t>
      </w:r>
    </w:p>
    <w:p w14:paraId="477330B4" w14:textId="503433C8" w:rsidR="00E57BEA" w:rsidRDefault="00E57BEA" w:rsidP="00E57BEA">
      <w:pPr>
        <w:pStyle w:val="Heading3"/>
        <w:rPr>
          <w:lang w:val="en-US"/>
        </w:rPr>
      </w:pPr>
      <w:r>
        <w:rPr>
          <w:lang w:val="en-US"/>
        </w:rPr>
        <w:t>PA calibration</w:t>
      </w:r>
    </w:p>
    <w:p w14:paraId="7DB35C44" w14:textId="432C9EE3" w:rsidR="00E57BEA" w:rsidRDefault="00E57BEA" w:rsidP="00E57BEA">
      <w:pPr>
        <w:rPr>
          <w:lang w:val="en-US"/>
        </w:rPr>
      </w:pPr>
      <w:r>
        <w:rPr>
          <w:lang w:val="en-US"/>
        </w:rPr>
        <w:t>In order to be able to meaningfully compare A-MPR simulation results from multiple companies, it is beneficial to align on a PA calibration waveform and associated parameters.  For PC5, the following was agreed</w:t>
      </w:r>
      <w:r w:rsidR="00946B58">
        <w:rPr>
          <w:lang w:val="en-US"/>
        </w:rPr>
        <w:t xml:space="preserve"> [</w:t>
      </w:r>
      <w:r w:rsidR="0081161D">
        <w:rPr>
          <w:lang w:val="en-US"/>
        </w:rPr>
        <w:t>6]</w:t>
      </w:r>
    </w:p>
    <w:p w14:paraId="39262192" w14:textId="77777777" w:rsidR="00A73A33" w:rsidRPr="00A73A33" w:rsidRDefault="00A73A33" w:rsidP="00A73A33">
      <w:pPr>
        <w:numPr>
          <w:ilvl w:val="0"/>
          <w:numId w:val="29"/>
        </w:numPr>
        <w:rPr>
          <w:lang w:val="en-US"/>
        </w:rPr>
      </w:pPr>
      <w:r w:rsidRPr="00A73A33">
        <w:rPr>
          <w:rFonts w:hint="eastAsia"/>
          <w:lang w:val="en-CA"/>
        </w:rPr>
        <w:t>Agreement: 1dB MPR for PC5 and DFT-s-OFDM QPSK 100RB3 20MHz waveform</w:t>
      </w:r>
    </w:p>
    <w:p w14:paraId="34711869" w14:textId="2C91959D" w:rsidR="00147D6A" w:rsidRPr="00CA586D" w:rsidRDefault="00592161" w:rsidP="00E57BEA">
      <w:pPr>
        <w:rPr>
          <w:lang w:val="en-US"/>
        </w:rPr>
      </w:pPr>
      <w:r>
        <w:rPr>
          <w:lang w:val="en-US"/>
        </w:rPr>
        <w:t xml:space="preserve">where the PC5 </w:t>
      </w:r>
      <w:r w:rsidR="0081161D">
        <w:rPr>
          <w:lang w:val="en-US"/>
        </w:rPr>
        <w:t xml:space="preserve">NR-U </w:t>
      </w:r>
      <w:r>
        <w:rPr>
          <w:lang w:val="en-US"/>
        </w:rPr>
        <w:t>ACLR is specified to be 27 dB</w:t>
      </w:r>
      <w:r w:rsidR="00F00ED9">
        <w:rPr>
          <w:lang w:val="en-US"/>
        </w:rPr>
        <w:t xml:space="preserve"> and NR-U SEM according to </w:t>
      </w:r>
      <w:r w:rsidR="00047427">
        <w:rPr>
          <w:lang w:val="en-US"/>
        </w:rPr>
        <w:t>sub-clause 6.5F.2.2 of TS 38.101-1.</w:t>
      </w:r>
      <w:r w:rsidR="00A50B4C">
        <w:rPr>
          <w:lang w:val="en-US"/>
        </w:rPr>
        <w:t xml:space="preserve">  </w:t>
      </w:r>
      <w:r w:rsidR="00A50B4C" w:rsidRPr="00CA586D">
        <w:rPr>
          <w:lang w:val="en-US"/>
        </w:rPr>
        <w:t xml:space="preserve">Since the same power class is used for VLP, it is assumed that the same calibration waveform, ACLR, and SEM apply.  However, the calibration output power should be established.  </w:t>
      </w:r>
      <w:r w:rsidR="00F5503E" w:rsidRPr="00CA586D">
        <w:rPr>
          <w:lang w:val="en-US"/>
        </w:rPr>
        <w:t xml:space="preserve">One possibility is to apply the same </w:t>
      </w:r>
      <w:r w:rsidR="007B296A" w:rsidRPr="00CA586D">
        <w:rPr>
          <w:lang w:val="en-US"/>
        </w:rPr>
        <w:t>1 dB MPR output power level for VLP.  However, since t</w:t>
      </w:r>
      <w:r w:rsidR="00A50B4C" w:rsidRPr="00CA586D">
        <w:rPr>
          <w:lang w:val="en-US"/>
        </w:rPr>
        <w:t>he maximum output power for PC5 is specified to be 20 dBm while the maximum allowed EIRP for VLP is 14 dBm</w:t>
      </w:r>
      <w:r w:rsidR="007B296A" w:rsidRPr="00CA586D">
        <w:rPr>
          <w:lang w:val="en-US"/>
        </w:rPr>
        <w:t xml:space="preserve">, the power backoff will be at least 6 dB for VLP.  </w:t>
      </w:r>
      <w:r w:rsidR="006744DB" w:rsidRPr="00CA586D">
        <w:rPr>
          <w:lang w:val="en-US"/>
        </w:rPr>
        <w:t>In fact, a 7 dB</w:t>
      </w:r>
      <w:r w:rsidR="00023242" w:rsidRPr="00CA586D">
        <w:rPr>
          <w:lang w:val="en-US"/>
        </w:rPr>
        <w:t xml:space="preserve"> MPR would correspond to scaling of 6 dB according to the 20 dBm PC2 maximum output power and 14 dBm maximum output power for VLP.  </w:t>
      </w:r>
      <w:r w:rsidR="003308B6" w:rsidRPr="00CA586D">
        <w:rPr>
          <w:lang w:val="en-US"/>
        </w:rPr>
        <w:t>However, s</w:t>
      </w:r>
      <w:r w:rsidR="007B296A" w:rsidRPr="00CA586D">
        <w:rPr>
          <w:lang w:val="en-US"/>
        </w:rPr>
        <w:t xml:space="preserve">ince the PA models used in 3GPP simulations are generally </w:t>
      </w:r>
      <w:r w:rsidR="00CA29BC" w:rsidRPr="00CA586D">
        <w:rPr>
          <w:lang w:val="en-US"/>
        </w:rPr>
        <w:t>constant</w:t>
      </w:r>
      <w:r w:rsidR="007B296A" w:rsidRPr="00CA586D">
        <w:rPr>
          <w:lang w:val="en-US"/>
        </w:rPr>
        <w:t xml:space="preserve"> bias</w:t>
      </w:r>
      <w:r w:rsidR="00147D6A" w:rsidRPr="00CA586D">
        <w:rPr>
          <w:lang w:val="en-US"/>
        </w:rPr>
        <w:t xml:space="preserve">, then </w:t>
      </w:r>
      <w:r w:rsidR="00F10993" w:rsidRPr="00CA586D">
        <w:rPr>
          <w:lang w:val="en-US"/>
        </w:rPr>
        <w:t xml:space="preserve">these would not properly reflect </w:t>
      </w:r>
      <w:r w:rsidR="00AC7405" w:rsidRPr="00CA586D">
        <w:rPr>
          <w:lang w:val="en-US"/>
        </w:rPr>
        <w:t xml:space="preserve">practical </w:t>
      </w:r>
      <w:r w:rsidR="00F10993" w:rsidRPr="00CA586D">
        <w:rPr>
          <w:lang w:val="en-US"/>
        </w:rPr>
        <w:t xml:space="preserve">PA performance where the bias is expected to be adjusted for output power levels </w:t>
      </w:r>
      <w:r w:rsidR="00AC7405" w:rsidRPr="00CA586D">
        <w:rPr>
          <w:lang w:val="en-US"/>
        </w:rPr>
        <w:t xml:space="preserve">6 dB lower than maximum output power.  Therefore, it is suggested that the calibration </w:t>
      </w:r>
      <w:r w:rsidR="005C4CA8" w:rsidRPr="00CA586D">
        <w:rPr>
          <w:lang w:val="en-US"/>
        </w:rPr>
        <w:t xml:space="preserve">output power </w:t>
      </w:r>
      <w:r w:rsidR="00AC7405" w:rsidRPr="00CA586D">
        <w:rPr>
          <w:lang w:val="en-US"/>
        </w:rPr>
        <w:t xml:space="preserve">be modified for VLP to </w:t>
      </w:r>
      <w:r w:rsidR="005C4CA8" w:rsidRPr="00CA586D">
        <w:rPr>
          <w:lang w:val="en-US"/>
        </w:rPr>
        <w:t>better reflect the practical linearity of the UE at 14 dBm.  The following is suggested</w:t>
      </w:r>
      <w:r w:rsidR="00CA586D">
        <w:rPr>
          <w:lang w:val="en-US"/>
        </w:rPr>
        <w:t xml:space="preserve"> as one possibility</w:t>
      </w:r>
    </w:p>
    <w:p w14:paraId="512A0ECD" w14:textId="6DFDF7FC" w:rsidR="00A73A33" w:rsidRPr="00CA586D" w:rsidRDefault="005C4CA8" w:rsidP="005C4CA8">
      <w:pPr>
        <w:numPr>
          <w:ilvl w:val="0"/>
          <w:numId w:val="29"/>
        </w:numPr>
        <w:rPr>
          <w:lang w:val="en-US"/>
        </w:rPr>
      </w:pPr>
      <w:r w:rsidRPr="00CA586D">
        <w:rPr>
          <w:lang w:val="en-CA"/>
        </w:rPr>
        <w:t>Proposal for VLP</w:t>
      </w:r>
      <w:r w:rsidR="00A73A33" w:rsidRPr="00CA586D">
        <w:rPr>
          <w:rFonts w:hint="eastAsia"/>
          <w:lang w:val="en-CA"/>
        </w:rPr>
        <w:t xml:space="preserve">: </w:t>
      </w:r>
      <w:r w:rsidR="008D6B28" w:rsidRPr="00CA586D">
        <w:rPr>
          <w:lang w:val="en-CA"/>
        </w:rPr>
        <w:t>7</w:t>
      </w:r>
      <w:r w:rsidR="00A73A33" w:rsidRPr="00CA586D">
        <w:rPr>
          <w:rFonts w:hint="eastAsia"/>
          <w:lang w:val="en-CA"/>
        </w:rPr>
        <w:t>dB MPR for PC5 and DFT-s-OFDM QPSK 100RB3 20MHz waveform</w:t>
      </w:r>
    </w:p>
    <w:p w14:paraId="44EE4E28" w14:textId="1D7D135C" w:rsidR="001C52C7" w:rsidRPr="00CA586D" w:rsidRDefault="005C4CA8" w:rsidP="00E57BEA">
      <w:pPr>
        <w:rPr>
          <w:lang w:val="en-US"/>
        </w:rPr>
      </w:pPr>
      <w:r w:rsidRPr="00CA586D">
        <w:rPr>
          <w:lang w:val="en-US"/>
        </w:rPr>
        <w:t>This would imply that at 1</w:t>
      </w:r>
      <w:r w:rsidR="001C52C7" w:rsidRPr="00CA586D">
        <w:rPr>
          <w:lang w:val="en-US"/>
        </w:rPr>
        <w:t>3</w:t>
      </w:r>
      <w:r w:rsidRPr="00CA586D">
        <w:rPr>
          <w:lang w:val="en-US"/>
        </w:rPr>
        <w:t xml:space="preserve"> dBm, the maximum power allowed for VLP, the ACLR and SEM are just met</w:t>
      </w:r>
      <w:r w:rsidR="001C52C7" w:rsidRPr="00CA586D">
        <w:rPr>
          <w:lang w:val="en-US"/>
        </w:rPr>
        <w:t>.</w:t>
      </w:r>
      <w:r w:rsidR="00CA586D">
        <w:rPr>
          <w:lang w:val="en-US"/>
        </w:rPr>
        <w:t xml:space="preserve">  Scaling in this manner, however, would result in </w:t>
      </w:r>
      <w:r w:rsidR="008B7324">
        <w:rPr>
          <w:lang w:val="en-US"/>
        </w:rPr>
        <w:t xml:space="preserve">linearity constraints at 14 dBm.  Ultimately, this means that available power is </w:t>
      </w:r>
      <w:r w:rsidR="008B7324">
        <w:rPr>
          <w:lang w:val="en-US"/>
        </w:rPr>
        <w:lastRenderedPageBreak/>
        <w:t>quite low</w:t>
      </w:r>
      <w:r w:rsidR="00EA4F58">
        <w:rPr>
          <w:lang w:val="en-US"/>
        </w:rPr>
        <w:t xml:space="preserve"> for linearity constrained waveforms as shown in the following simulation results.  Thus, it may be necessary to </w:t>
      </w:r>
      <w:r w:rsidR="00252BA2">
        <w:rPr>
          <w:lang w:val="en-US"/>
        </w:rPr>
        <w:t>further evaluation this assumption.</w:t>
      </w:r>
    </w:p>
    <w:p w14:paraId="3AC31E17" w14:textId="58B10B86" w:rsidR="003D41F9" w:rsidRDefault="003D41F9" w:rsidP="003D41F9">
      <w:pPr>
        <w:pStyle w:val="Heading3"/>
        <w:rPr>
          <w:lang w:val="en-US"/>
        </w:rPr>
      </w:pPr>
      <w:r>
        <w:rPr>
          <w:lang w:val="en-US"/>
        </w:rPr>
        <w:t>A-MPR simulation results</w:t>
      </w:r>
    </w:p>
    <w:p w14:paraId="58774BE8" w14:textId="0CA4A889" w:rsidR="00443B72" w:rsidRDefault="00252BA2" w:rsidP="000611F3">
      <w:pPr>
        <w:rPr>
          <w:lang w:val="en-US"/>
        </w:rPr>
      </w:pPr>
      <w:r>
        <w:rPr>
          <w:lang w:val="en-US"/>
        </w:rPr>
        <w:t xml:space="preserve">A limited set of </w:t>
      </w:r>
      <w:r w:rsidR="00DD0F8E">
        <w:rPr>
          <w:lang w:val="en-US"/>
        </w:rPr>
        <w:t xml:space="preserve">A-MPR simulation results for VLP </w:t>
      </w:r>
      <w:r>
        <w:rPr>
          <w:lang w:val="en-US"/>
        </w:rPr>
        <w:t xml:space="preserve">is available at the time of this writing.  The simulations for 20 MHz channels are shown with the PA calibration as described above.  </w:t>
      </w:r>
      <w:r w:rsidR="00443B72">
        <w:rPr>
          <w:lang w:val="en-US"/>
        </w:rPr>
        <w:t>The simulation scenarios are defined below in Table 1.</w:t>
      </w:r>
    </w:p>
    <w:p w14:paraId="73A7F6F8" w14:textId="77777777" w:rsidR="00443B72" w:rsidRDefault="00443B72" w:rsidP="00443B72">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443B72" w14:paraId="7554E9A0" w14:textId="77777777" w:rsidTr="00FC4EA0">
        <w:trPr>
          <w:jc w:val="center"/>
        </w:trPr>
        <w:tc>
          <w:tcPr>
            <w:tcW w:w="1075" w:type="dxa"/>
          </w:tcPr>
          <w:p w14:paraId="0DBA7352" w14:textId="77777777" w:rsidR="00443B72" w:rsidRDefault="00443B72" w:rsidP="00FC4EA0">
            <w:pPr>
              <w:spacing w:after="0"/>
              <w:rPr>
                <w:lang w:val="en-US"/>
              </w:rPr>
            </w:pPr>
            <w:r>
              <w:rPr>
                <w:lang w:val="en-US"/>
              </w:rPr>
              <w:t>Scenario</w:t>
            </w:r>
          </w:p>
        </w:tc>
        <w:tc>
          <w:tcPr>
            <w:tcW w:w="1169" w:type="dxa"/>
          </w:tcPr>
          <w:p w14:paraId="44E6C191" w14:textId="77777777" w:rsidR="00443B72" w:rsidRDefault="00443B72" w:rsidP="00FC4EA0">
            <w:pPr>
              <w:spacing w:after="0"/>
              <w:rPr>
                <w:lang w:val="en-US"/>
              </w:rPr>
            </w:pPr>
            <w:r>
              <w:rPr>
                <w:lang w:val="en-US"/>
              </w:rPr>
              <w:t>Modulation</w:t>
            </w:r>
          </w:p>
        </w:tc>
        <w:tc>
          <w:tcPr>
            <w:tcW w:w="1081" w:type="dxa"/>
          </w:tcPr>
          <w:p w14:paraId="639CBB07" w14:textId="77777777" w:rsidR="00443B72" w:rsidRDefault="00443B72" w:rsidP="00FC4EA0">
            <w:pPr>
              <w:spacing w:after="0"/>
              <w:rPr>
                <w:lang w:val="en-US"/>
              </w:rPr>
            </w:pPr>
            <w:r>
              <w:rPr>
                <w:lang w:val="en-US"/>
              </w:rPr>
              <w:t>DFT/CP</w:t>
            </w:r>
          </w:p>
        </w:tc>
        <w:tc>
          <w:tcPr>
            <w:tcW w:w="1440" w:type="dxa"/>
          </w:tcPr>
          <w:p w14:paraId="0EBFF634" w14:textId="77777777" w:rsidR="00443B72" w:rsidRDefault="00443B72" w:rsidP="00FC4EA0">
            <w:pPr>
              <w:spacing w:after="0"/>
              <w:rPr>
                <w:lang w:val="en-US"/>
              </w:rPr>
            </w:pPr>
            <w:r>
              <w:rPr>
                <w:lang w:val="en-US"/>
              </w:rPr>
              <w:t>Allocation</w:t>
            </w:r>
          </w:p>
        </w:tc>
      </w:tr>
      <w:tr w:rsidR="00443B72" w14:paraId="06A592AD" w14:textId="77777777" w:rsidTr="00FC4EA0">
        <w:trPr>
          <w:jc w:val="center"/>
        </w:trPr>
        <w:tc>
          <w:tcPr>
            <w:tcW w:w="1075" w:type="dxa"/>
          </w:tcPr>
          <w:p w14:paraId="55939CEE" w14:textId="77777777" w:rsidR="00443B72" w:rsidRDefault="00443B72" w:rsidP="00FC4EA0">
            <w:pPr>
              <w:spacing w:after="0"/>
              <w:rPr>
                <w:lang w:val="en-US"/>
              </w:rPr>
            </w:pPr>
            <w:r>
              <w:rPr>
                <w:lang w:val="en-US"/>
              </w:rPr>
              <w:t>1</w:t>
            </w:r>
          </w:p>
        </w:tc>
        <w:tc>
          <w:tcPr>
            <w:tcW w:w="1169" w:type="dxa"/>
          </w:tcPr>
          <w:p w14:paraId="1AF82F67" w14:textId="77777777" w:rsidR="00443B72" w:rsidRDefault="00443B72" w:rsidP="00FC4EA0">
            <w:pPr>
              <w:spacing w:after="0"/>
              <w:rPr>
                <w:lang w:val="en-US"/>
              </w:rPr>
            </w:pPr>
            <w:r>
              <w:rPr>
                <w:lang w:val="en-US"/>
              </w:rPr>
              <w:t>QPSK</w:t>
            </w:r>
          </w:p>
        </w:tc>
        <w:tc>
          <w:tcPr>
            <w:tcW w:w="1081" w:type="dxa"/>
          </w:tcPr>
          <w:p w14:paraId="3E3F4D32" w14:textId="77777777" w:rsidR="00443B72" w:rsidRDefault="00443B72" w:rsidP="00FC4EA0">
            <w:pPr>
              <w:spacing w:after="0"/>
              <w:rPr>
                <w:lang w:val="en-US"/>
              </w:rPr>
            </w:pPr>
            <w:r>
              <w:rPr>
                <w:lang w:val="en-US"/>
              </w:rPr>
              <w:t>CP</w:t>
            </w:r>
          </w:p>
        </w:tc>
        <w:tc>
          <w:tcPr>
            <w:tcW w:w="1440" w:type="dxa"/>
          </w:tcPr>
          <w:p w14:paraId="1D815BA5" w14:textId="77777777" w:rsidR="00443B72" w:rsidRDefault="00443B72" w:rsidP="00FC4EA0">
            <w:pPr>
              <w:spacing w:after="0"/>
              <w:rPr>
                <w:lang w:val="en-US"/>
              </w:rPr>
            </w:pPr>
            <w:r>
              <w:rPr>
                <w:lang w:val="en-US"/>
              </w:rPr>
              <w:t>Interlace_0</w:t>
            </w:r>
          </w:p>
        </w:tc>
      </w:tr>
      <w:tr w:rsidR="00443B72" w14:paraId="464C5747" w14:textId="77777777" w:rsidTr="00FC4EA0">
        <w:trPr>
          <w:jc w:val="center"/>
        </w:trPr>
        <w:tc>
          <w:tcPr>
            <w:tcW w:w="1075" w:type="dxa"/>
          </w:tcPr>
          <w:p w14:paraId="18F8A023" w14:textId="77777777" w:rsidR="00443B72" w:rsidRDefault="00443B72" w:rsidP="00FC4EA0">
            <w:pPr>
              <w:spacing w:after="0"/>
              <w:rPr>
                <w:lang w:val="en-US"/>
              </w:rPr>
            </w:pPr>
            <w:r>
              <w:rPr>
                <w:lang w:val="en-US"/>
              </w:rPr>
              <w:t>2</w:t>
            </w:r>
          </w:p>
        </w:tc>
        <w:tc>
          <w:tcPr>
            <w:tcW w:w="1169" w:type="dxa"/>
          </w:tcPr>
          <w:p w14:paraId="1524156A" w14:textId="77777777" w:rsidR="00443B72" w:rsidRDefault="00443B72" w:rsidP="00FC4EA0">
            <w:pPr>
              <w:spacing w:after="0"/>
              <w:rPr>
                <w:lang w:val="en-US"/>
              </w:rPr>
            </w:pPr>
            <w:r>
              <w:rPr>
                <w:lang w:val="en-US"/>
              </w:rPr>
              <w:t>QPSK</w:t>
            </w:r>
          </w:p>
        </w:tc>
        <w:tc>
          <w:tcPr>
            <w:tcW w:w="1081" w:type="dxa"/>
          </w:tcPr>
          <w:p w14:paraId="24564DEA" w14:textId="77777777" w:rsidR="00443B72" w:rsidRDefault="00443B72" w:rsidP="00FC4EA0">
            <w:pPr>
              <w:spacing w:after="0"/>
              <w:rPr>
                <w:lang w:val="en-US"/>
              </w:rPr>
            </w:pPr>
            <w:r>
              <w:rPr>
                <w:lang w:val="en-US"/>
              </w:rPr>
              <w:t>DFT-S</w:t>
            </w:r>
          </w:p>
        </w:tc>
        <w:tc>
          <w:tcPr>
            <w:tcW w:w="1440" w:type="dxa"/>
          </w:tcPr>
          <w:p w14:paraId="1DF7CBA6" w14:textId="77777777" w:rsidR="00443B72" w:rsidRDefault="00443B72" w:rsidP="00FC4EA0">
            <w:pPr>
              <w:spacing w:after="0"/>
              <w:rPr>
                <w:lang w:val="en-US"/>
              </w:rPr>
            </w:pPr>
            <w:r>
              <w:rPr>
                <w:lang w:val="en-US"/>
              </w:rPr>
              <w:t>Interlace_0</w:t>
            </w:r>
          </w:p>
        </w:tc>
      </w:tr>
      <w:tr w:rsidR="00443B72" w14:paraId="70FD906F" w14:textId="77777777" w:rsidTr="00FC4EA0">
        <w:trPr>
          <w:jc w:val="center"/>
        </w:trPr>
        <w:tc>
          <w:tcPr>
            <w:tcW w:w="1075" w:type="dxa"/>
          </w:tcPr>
          <w:p w14:paraId="79BD0C91" w14:textId="77777777" w:rsidR="00443B72" w:rsidRDefault="00443B72" w:rsidP="00FC4EA0">
            <w:pPr>
              <w:spacing w:after="0"/>
              <w:rPr>
                <w:lang w:val="en-US"/>
              </w:rPr>
            </w:pPr>
            <w:r>
              <w:rPr>
                <w:lang w:val="en-US"/>
              </w:rPr>
              <w:t>3</w:t>
            </w:r>
          </w:p>
        </w:tc>
        <w:tc>
          <w:tcPr>
            <w:tcW w:w="1169" w:type="dxa"/>
          </w:tcPr>
          <w:p w14:paraId="64980558" w14:textId="77777777" w:rsidR="00443B72" w:rsidRDefault="00443B72" w:rsidP="00FC4EA0">
            <w:pPr>
              <w:spacing w:after="0"/>
              <w:rPr>
                <w:lang w:val="en-US"/>
              </w:rPr>
            </w:pPr>
            <w:r>
              <w:rPr>
                <w:lang w:val="en-US"/>
              </w:rPr>
              <w:t>QPSK</w:t>
            </w:r>
          </w:p>
        </w:tc>
        <w:tc>
          <w:tcPr>
            <w:tcW w:w="1081" w:type="dxa"/>
          </w:tcPr>
          <w:p w14:paraId="3711E5C0" w14:textId="77777777" w:rsidR="00443B72" w:rsidRDefault="00443B72" w:rsidP="00FC4EA0">
            <w:pPr>
              <w:spacing w:after="0"/>
              <w:rPr>
                <w:lang w:val="en-US"/>
              </w:rPr>
            </w:pPr>
            <w:r>
              <w:rPr>
                <w:lang w:val="en-US"/>
              </w:rPr>
              <w:t>CP</w:t>
            </w:r>
          </w:p>
        </w:tc>
        <w:tc>
          <w:tcPr>
            <w:tcW w:w="1440" w:type="dxa"/>
          </w:tcPr>
          <w:p w14:paraId="44A7B5FD" w14:textId="77777777" w:rsidR="00443B72" w:rsidRDefault="00443B72" w:rsidP="00FC4EA0">
            <w:pPr>
              <w:spacing w:after="0"/>
              <w:rPr>
                <w:lang w:val="en-US"/>
              </w:rPr>
            </w:pPr>
            <w:r>
              <w:rPr>
                <w:lang w:val="en-US"/>
              </w:rPr>
              <w:t>Full</w:t>
            </w:r>
          </w:p>
        </w:tc>
      </w:tr>
      <w:tr w:rsidR="00443B72" w14:paraId="44F64091" w14:textId="77777777" w:rsidTr="00FC4EA0">
        <w:trPr>
          <w:jc w:val="center"/>
        </w:trPr>
        <w:tc>
          <w:tcPr>
            <w:tcW w:w="1075" w:type="dxa"/>
          </w:tcPr>
          <w:p w14:paraId="4A9AF73F" w14:textId="77777777" w:rsidR="00443B72" w:rsidRDefault="00443B72" w:rsidP="00FC4EA0">
            <w:pPr>
              <w:spacing w:after="0"/>
              <w:rPr>
                <w:lang w:val="en-US"/>
              </w:rPr>
            </w:pPr>
            <w:r>
              <w:rPr>
                <w:lang w:val="en-US"/>
              </w:rPr>
              <w:t>4</w:t>
            </w:r>
          </w:p>
        </w:tc>
        <w:tc>
          <w:tcPr>
            <w:tcW w:w="1169" w:type="dxa"/>
          </w:tcPr>
          <w:p w14:paraId="360C0EB8" w14:textId="77777777" w:rsidR="00443B72" w:rsidRDefault="00443B72" w:rsidP="00FC4EA0">
            <w:pPr>
              <w:spacing w:after="0"/>
              <w:rPr>
                <w:lang w:val="en-US"/>
              </w:rPr>
            </w:pPr>
            <w:r>
              <w:rPr>
                <w:lang w:val="en-US"/>
              </w:rPr>
              <w:t>QPSK</w:t>
            </w:r>
          </w:p>
        </w:tc>
        <w:tc>
          <w:tcPr>
            <w:tcW w:w="1081" w:type="dxa"/>
          </w:tcPr>
          <w:p w14:paraId="079D72BA" w14:textId="77777777" w:rsidR="00443B72" w:rsidRDefault="00443B72" w:rsidP="00FC4EA0">
            <w:pPr>
              <w:spacing w:after="0"/>
              <w:rPr>
                <w:lang w:val="en-US"/>
              </w:rPr>
            </w:pPr>
            <w:r>
              <w:rPr>
                <w:lang w:val="en-US"/>
              </w:rPr>
              <w:t>DFT-S</w:t>
            </w:r>
          </w:p>
        </w:tc>
        <w:tc>
          <w:tcPr>
            <w:tcW w:w="1440" w:type="dxa"/>
          </w:tcPr>
          <w:p w14:paraId="3E4700CB" w14:textId="77777777" w:rsidR="00443B72" w:rsidRDefault="00443B72" w:rsidP="00FC4EA0">
            <w:pPr>
              <w:spacing w:after="0"/>
              <w:rPr>
                <w:lang w:val="en-US"/>
              </w:rPr>
            </w:pPr>
            <w:r>
              <w:rPr>
                <w:lang w:val="en-US"/>
              </w:rPr>
              <w:t>Full</w:t>
            </w:r>
          </w:p>
        </w:tc>
      </w:tr>
      <w:tr w:rsidR="00443B72" w14:paraId="7FA50623" w14:textId="77777777" w:rsidTr="00FC4EA0">
        <w:trPr>
          <w:jc w:val="center"/>
        </w:trPr>
        <w:tc>
          <w:tcPr>
            <w:tcW w:w="1075" w:type="dxa"/>
          </w:tcPr>
          <w:p w14:paraId="3617C5D4" w14:textId="77777777" w:rsidR="00443B72" w:rsidRDefault="00443B72" w:rsidP="00FC4EA0">
            <w:pPr>
              <w:spacing w:after="0"/>
              <w:rPr>
                <w:lang w:val="en-US"/>
              </w:rPr>
            </w:pPr>
            <w:r>
              <w:rPr>
                <w:lang w:val="en-US"/>
              </w:rPr>
              <w:t>5</w:t>
            </w:r>
          </w:p>
        </w:tc>
        <w:tc>
          <w:tcPr>
            <w:tcW w:w="1169" w:type="dxa"/>
          </w:tcPr>
          <w:p w14:paraId="490D36F9" w14:textId="77777777" w:rsidR="00443B72" w:rsidRDefault="00443B72" w:rsidP="00FC4EA0">
            <w:pPr>
              <w:spacing w:after="0"/>
              <w:rPr>
                <w:lang w:val="en-US"/>
              </w:rPr>
            </w:pPr>
            <w:r>
              <w:rPr>
                <w:lang w:val="en-US"/>
              </w:rPr>
              <w:t>16QAM</w:t>
            </w:r>
          </w:p>
        </w:tc>
        <w:tc>
          <w:tcPr>
            <w:tcW w:w="1081" w:type="dxa"/>
          </w:tcPr>
          <w:p w14:paraId="1B02C9F2" w14:textId="77777777" w:rsidR="00443B72" w:rsidRDefault="00443B72" w:rsidP="00FC4EA0">
            <w:pPr>
              <w:spacing w:after="0"/>
              <w:rPr>
                <w:lang w:val="en-US"/>
              </w:rPr>
            </w:pPr>
            <w:r>
              <w:rPr>
                <w:lang w:val="en-US"/>
              </w:rPr>
              <w:t>CP</w:t>
            </w:r>
          </w:p>
        </w:tc>
        <w:tc>
          <w:tcPr>
            <w:tcW w:w="1440" w:type="dxa"/>
          </w:tcPr>
          <w:p w14:paraId="550A1A6F" w14:textId="77777777" w:rsidR="00443B72" w:rsidRDefault="00443B72" w:rsidP="00FC4EA0">
            <w:pPr>
              <w:spacing w:after="0"/>
              <w:rPr>
                <w:lang w:val="en-US"/>
              </w:rPr>
            </w:pPr>
            <w:r>
              <w:rPr>
                <w:lang w:val="en-US"/>
              </w:rPr>
              <w:t>Interlace_0</w:t>
            </w:r>
          </w:p>
        </w:tc>
      </w:tr>
      <w:tr w:rsidR="00443B72" w14:paraId="2731F63F" w14:textId="77777777" w:rsidTr="00FC4EA0">
        <w:trPr>
          <w:jc w:val="center"/>
        </w:trPr>
        <w:tc>
          <w:tcPr>
            <w:tcW w:w="1075" w:type="dxa"/>
          </w:tcPr>
          <w:p w14:paraId="78E9698B" w14:textId="77777777" w:rsidR="00443B72" w:rsidRDefault="00443B72" w:rsidP="00FC4EA0">
            <w:pPr>
              <w:spacing w:after="0"/>
              <w:rPr>
                <w:lang w:val="en-US"/>
              </w:rPr>
            </w:pPr>
            <w:r>
              <w:rPr>
                <w:lang w:val="en-US"/>
              </w:rPr>
              <w:t>6</w:t>
            </w:r>
          </w:p>
        </w:tc>
        <w:tc>
          <w:tcPr>
            <w:tcW w:w="1169" w:type="dxa"/>
          </w:tcPr>
          <w:p w14:paraId="2D82EB04" w14:textId="77777777" w:rsidR="00443B72" w:rsidRDefault="00443B72" w:rsidP="00FC4EA0">
            <w:pPr>
              <w:spacing w:after="0"/>
              <w:rPr>
                <w:lang w:val="en-US"/>
              </w:rPr>
            </w:pPr>
            <w:r>
              <w:rPr>
                <w:lang w:val="en-US"/>
              </w:rPr>
              <w:t>16QAM</w:t>
            </w:r>
          </w:p>
        </w:tc>
        <w:tc>
          <w:tcPr>
            <w:tcW w:w="1081" w:type="dxa"/>
          </w:tcPr>
          <w:p w14:paraId="127EB320" w14:textId="77777777" w:rsidR="00443B72" w:rsidRDefault="00443B72" w:rsidP="00FC4EA0">
            <w:pPr>
              <w:spacing w:after="0"/>
              <w:rPr>
                <w:lang w:val="en-US"/>
              </w:rPr>
            </w:pPr>
            <w:r>
              <w:rPr>
                <w:lang w:val="en-US"/>
              </w:rPr>
              <w:t>DFT-S</w:t>
            </w:r>
          </w:p>
        </w:tc>
        <w:tc>
          <w:tcPr>
            <w:tcW w:w="1440" w:type="dxa"/>
          </w:tcPr>
          <w:p w14:paraId="21AA8EB8" w14:textId="77777777" w:rsidR="00443B72" w:rsidRDefault="00443B72" w:rsidP="00FC4EA0">
            <w:pPr>
              <w:spacing w:after="0"/>
              <w:rPr>
                <w:lang w:val="en-US"/>
              </w:rPr>
            </w:pPr>
            <w:r>
              <w:rPr>
                <w:lang w:val="en-US"/>
              </w:rPr>
              <w:t>Interlace_0</w:t>
            </w:r>
          </w:p>
        </w:tc>
      </w:tr>
      <w:tr w:rsidR="00443B72" w14:paraId="3049525D" w14:textId="77777777" w:rsidTr="00FC4EA0">
        <w:trPr>
          <w:jc w:val="center"/>
        </w:trPr>
        <w:tc>
          <w:tcPr>
            <w:tcW w:w="1075" w:type="dxa"/>
          </w:tcPr>
          <w:p w14:paraId="42C09AB7" w14:textId="77777777" w:rsidR="00443B72" w:rsidRDefault="00443B72" w:rsidP="00FC4EA0">
            <w:pPr>
              <w:spacing w:after="0"/>
              <w:rPr>
                <w:lang w:val="en-US"/>
              </w:rPr>
            </w:pPr>
            <w:r>
              <w:rPr>
                <w:lang w:val="en-US"/>
              </w:rPr>
              <w:t>7</w:t>
            </w:r>
          </w:p>
        </w:tc>
        <w:tc>
          <w:tcPr>
            <w:tcW w:w="1169" w:type="dxa"/>
          </w:tcPr>
          <w:p w14:paraId="71FC316C" w14:textId="77777777" w:rsidR="00443B72" w:rsidRDefault="00443B72" w:rsidP="00FC4EA0">
            <w:pPr>
              <w:spacing w:after="0"/>
              <w:rPr>
                <w:lang w:val="en-US"/>
              </w:rPr>
            </w:pPr>
            <w:r>
              <w:rPr>
                <w:lang w:val="en-US"/>
              </w:rPr>
              <w:t>16QAM</w:t>
            </w:r>
          </w:p>
        </w:tc>
        <w:tc>
          <w:tcPr>
            <w:tcW w:w="1081" w:type="dxa"/>
          </w:tcPr>
          <w:p w14:paraId="7300FF5B" w14:textId="77777777" w:rsidR="00443B72" w:rsidRDefault="00443B72" w:rsidP="00FC4EA0">
            <w:pPr>
              <w:spacing w:after="0"/>
              <w:rPr>
                <w:lang w:val="en-US"/>
              </w:rPr>
            </w:pPr>
            <w:r>
              <w:rPr>
                <w:lang w:val="en-US"/>
              </w:rPr>
              <w:t>CP</w:t>
            </w:r>
          </w:p>
        </w:tc>
        <w:tc>
          <w:tcPr>
            <w:tcW w:w="1440" w:type="dxa"/>
          </w:tcPr>
          <w:p w14:paraId="08514178" w14:textId="77777777" w:rsidR="00443B72" w:rsidRDefault="00443B72" w:rsidP="00FC4EA0">
            <w:pPr>
              <w:spacing w:after="0"/>
              <w:rPr>
                <w:lang w:val="en-US"/>
              </w:rPr>
            </w:pPr>
            <w:r>
              <w:rPr>
                <w:lang w:val="en-US"/>
              </w:rPr>
              <w:t>Full</w:t>
            </w:r>
          </w:p>
        </w:tc>
      </w:tr>
      <w:tr w:rsidR="00443B72" w14:paraId="6CDE8DCF" w14:textId="77777777" w:rsidTr="00FC4EA0">
        <w:trPr>
          <w:jc w:val="center"/>
        </w:trPr>
        <w:tc>
          <w:tcPr>
            <w:tcW w:w="1075" w:type="dxa"/>
          </w:tcPr>
          <w:p w14:paraId="07E9955A" w14:textId="77777777" w:rsidR="00443B72" w:rsidRDefault="00443B72" w:rsidP="00FC4EA0">
            <w:pPr>
              <w:spacing w:after="0"/>
              <w:rPr>
                <w:lang w:val="en-US"/>
              </w:rPr>
            </w:pPr>
            <w:r>
              <w:rPr>
                <w:lang w:val="en-US"/>
              </w:rPr>
              <w:t>8</w:t>
            </w:r>
          </w:p>
        </w:tc>
        <w:tc>
          <w:tcPr>
            <w:tcW w:w="1169" w:type="dxa"/>
          </w:tcPr>
          <w:p w14:paraId="27134FD3" w14:textId="77777777" w:rsidR="00443B72" w:rsidRDefault="00443B72" w:rsidP="00FC4EA0">
            <w:pPr>
              <w:spacing w:after="0"/>
              <w:rPr>
                <w:lang w:val="en-US"/>
              </w:rPr>
            </w:pPr>
            <w:r>
              <w:rPr>
                <w:lang w:val="en-US"/>
              </w:rPr>
              <w:t>16QAM</w:t>
            </w:r>
          </w:p>
        </w:tc>
        <w:tc>
          <w:tcPr>
            <w:tcW w:w="1081" w:type="dxa"/>
          </w:tcPr>
          <w:p w14:paraId="2AEA18FC" w14:textId="77777777" w:rsidR="00443B72" w:rsidRDefault="00443B72" w:rsidP="00FC4EA0">
            <w:pPr>
              <w:spacing w:after="0"/>
              <w:rPr>
                <w:lang w:val="en-US"/>
              </w:rPr>
            </w:pPr>
            <w:r>
              <w:rPr>
                <w:lang w:val="en-US"/>
              </w:rPr>
              <w:t>DFT-S</w:t>
            </w:r>
          </w:p>
        </w:tc>
        <w:tc>
          <w:tcPr>
            <w:tcW w:w="1440" w:type="dxa"/>
          </w:tcPr>
          <w:p w14:paraId="71CD5263" w14:textId="77777777" w:rsidR="00443B72" w:rsidRDefault="00443B72" w:rsidP="00FC4EA0">
            <w:pPr>
              <w:spacing w:after="0"/>
              <w:rPr>
                <w:lang w:val="en-US"/>
              </w:rPr>
            </w:pPr>
            <w:r>
              <w:rPr>
                <w:lang w:val="en-US"/>
              </w:rPr>
              <w:t>Full</w:t>
            </w:r>
          </w:p>
        </w:tc>
      </w:tr>
      <w:tr w:rsidR="00443B72" w14:paraId="3405876B" w14:textId="77777777" w:rsidTr="00FC4EA0">
        <w:trPr>
          <w:jc w:val="center"/>
        </w:trPr>
        <w:tc>
          <w:tcPr>
            <w:tcW w:w="1075" w:type="dxa"/>
          </w:tcPr>
          <w:p w14:paraId="30F32321" w14:textId="77777777" w:rsidR="00443B72" w:rsidRDefault="00443B72" w:rsidP="00FC4EA0">
            <w:pPr>
              <w:spacing w:after="0"/>
              <w:rPr>
                <w:lang w:val="en-US"/>
              </w:rPr>
            </w:pPr>
            <w:r>
              <w:rPr>
                <w:lang w:val="en-US"/>
              </w:rPr>
              <w:t>9</w:t>
            </w:r>
          </w:p>
        </w:tc>
        <w:tc>
          <w:tcPr>
            <w:tcW w:w="1169" w:type="dxa"/>
          </w:tcPr>
          <w:p w14:paraId="7A97763C" w14:textId="77777777" w:rsidR="00443B72" w:rsidRDefault="00443B72" w:rsidP="00FC4EA0">
            <w:pPr>
              <w:spacing w:after="0"/>
              <w:rPr>
                <w:lang w:val="en-US"/>
              </w:rPr>
            </w:pPr>
            <w:r>
              <w:rPr>
                <w:lang w:val="en-US"/>
              </w:rPr>
              <w:t>64QAM</w:t>
            </w:r>
          </w:p>
        </w:tc>
        <w:tc>
          <w:tcPr>
            <w:tcW w:w="1081" w:type="dxa"/>
          </w:tcPr>
          <w:p w14:paraId="1F9FE66B" w14:textId="77777777" w:rsidR="00443B72" w:rsidRDefault="00443B72" w:rsidP="00FC4EA0">
            <w:pPr>
              <w:spacing w:after="0"/>
              <w:rPr>
                <w:lang w:val="en-US"/>
              </w:rPr>
            </w:pPr>
            <w:r>
              <w:rPr>
                <w:lang w:val="en-US"/>
              </w:rPr>
              <w:t>CP</w:t>
            </w:r>
          </w:p>
        </w:tc>
        <w:tc>
          <w:tcPr>
            <w:tcW w:w="1440" w:type="dxa"/>
          </w:tcPr>
          <w:p w14:paraId="54574BD8" w14:textId="77777777" w:rsidR="00443B72" w:rsidRDefault="00443B72" w:rsidP="00FC4EA0">
            <w:pPr>
              <w:spacing w:after="0"/>
              <w:rPr>
                <w:lang w:val="en-US"/>
              </w:rPr>
            </w:pPr>
            <w:r>
              <w:rPr>
                <w:lang w:val="en-US"/>
              </w:rPr>
              <w:t>Interlace_0</w:t>
            </w:r>
          </w:p>
        </w:tc>
      </w:tr>
      <w:tr w:rsidR="00443B72" w14:paraId="7E9D9E2C" w14:textId="77777777" w:rsidTr="00FC4EA0">
        <w:trPr>
          <w:jc w:val="center"/>
        </w:trPr>
        <w:tc>
          <w:tcPr>
            <w:tcW w:w="1075" w:type="dxa"/>
          </w:tcPr>
          <w:p w14:paraId="5328E791" w14:textId="77777777" w:rsidR="00443B72" w:rsidRDefault="00443B72" w:rsidP="00FC4EA0">
            <w:pPr>
              <w:spacing w:after="0"/>
              <w:rPr>
                <w:lang w:val="en-US"/>
              </w:rPr>
            </w:pPr>
            <w:r>
              <w:rPr>
                <w:lang w:val="en-US"/>
              </w:rPr>
              <w:t>10</w:t>
            </w:r>
          </w:p>
        </w:tc>
        <w:tc>
          <w:tcPr>
            <w:tcW w:w="1169" w:type="dxa"/>
          </w:tcPr>
          <w:p w14:paraId="63487B64" w14:textId="77777777" w:rsidR="00443B72" w:rsidRDefault="00443B72" w:rsidP="00FC4EA0">
            <w:pPr>
              <w:spacing w:after="0"/>
              <w:rPr>
                <w:lang w:val="en-US"/>
              </w:rPr>
            </w:pPr>
            <w:r>
              <w:rPr>
                <w:lang w:val="en-US"/>
              </w:rPr>
              <w:t>64QAM</w:t>
            </w:r>
          </w:p>
        </w:tc>
        <w:tc>
          <w:tcPr>
            <w:tcW w:w="1081" w:type="dxa"/>
          </w:tcPr>
          <w:p w14:paraId="6EB2A3BC" w14:textId="77777777" w:rsidR="00443B72" w:rsidRDefault="00443B72" w:rsidP="00FC4EA0">
            <w:pPr>
              <w:spacing w:after="0"/>
              <w:rPr>
                <w:lang w:val="en-US"/>
              </w:rPr>
            </w:pPr>
            <w:r>
              <w:rPr>
                <w:lang w:val="en-US"/>
              </w:rPr>
              <w:t>DFT-S</w:t>
            </w:r>
          </w:p>
        </w:tc>
        <w:tc>
          <w:tcPr>
            <w:tcW w:w="1440" w:type="dxa"/>
          </w:tcPr>
          <w:p w14:paraId="56405F87" w14:textId="77777777" w:rsidR="00443B72" w:rsidRDefault="00443B72" w:rsidP="00FC4EA0">
            <w:pPr>
              <w:spacing w:after="0"/>
              <w:rPr>
                <w:lang w:val="en-US"/>
              </w:rPr>
            </w:pPr>
            <w:r>
              <w:rPr>
                <w:lang w:val="en-US"/>
              </w:rPr>
              <w:t>Interlace_0</w:t>
            </w:r>
          </w:p>
        </w:tc>
      </w:tr>
      <w:tr w:rsidR="00443B72" w14:paraId="24D487AC" w14:textId="77777777" w:rsidTr="00FC4EA0">
        <w:trPr>
          <w:jc w:val="center"/>
        </w:trPr>
        <w:tc>
          <w:tcPr>
            <w:tcW w:w="1075" w:type="dxa"/>
          </w:tcPr>
          <w:p w14:paraId="7FC9FFE8" w14:textId="77777777" w:rsidR="00443B72" w:rsidRDefault="00443B72" w:rsidP="00FC4EA0">
            <w:pPr>
              <w:spacing w:after="0"/>
              <w:rPr>
                <w:lang w:val="en-US"/>
              </w:rPr>
            </w:pPr>
            <w:r>
              <w:rPr>
                <w:lang w:val="en-US"/>
              </w:rPr>
              <w:t>11</w:t>
            </w:r>
          </w:p>
        </w:tc>
        <w:tc>
          <w:tcPr>
            <w:tcW w:w="1169" w:type="dxa"/>
          </w:tcPr>
          <w:p w14:paraId="036B664A" w14:textId="77777777" w:rsidR="00443B72" w:rsidRDefault="00443B72" w:rsidP="00FC4EA0">
            <w:pPr>
              <w:spacing w:after="0"/>
              <w:rPr>
                <w:lang w:val="en-US"/>
              </w:rPr>
            </w:pPr>
            <w:r>
              <w:rPr>
                <w:lang w:val="en-US"/>
              </w:rPr>
              <w:t>64QAM</w:t>
            </w:r>
          </w:p>
        </w:tc>
        <w:tc>
          <w:tcPr>
            <w:tcW w:w="1081" w:type="dxa"/>
          </w:tcPr>
          <w:p w14:paraId="4A3FD3DD" w14:textId="77777777" w:rsidR="00443B72" w:rsidRDefault="00443B72" w:rsidP="00FC4EA0">
            <w:pPr>
              <w:spacing w:after="0"/>
              <w:rPr>
                <w:lang w:val="en-US"/>
              </w:rPr>
            </w:pPr>
            <w:r>
              <w:rPr>
                <w:lang w:val="en-US"/>
              </w:rPr>
              <w:t>CP</w:t>
            </w:r>
          </w:p>
        </w:tc>
        <w:tc>
          <w:tcPr>
            <w:tcW w:w="1440" w:type="dxa"/>
          </w:tcPr>
          <w:p w14:paraId="0DAF9ADB" w14:textId="77777777" w:rsidR="00443B72" w:rsidRDefault="00443B72" w:rsidP="00FC4EA0">
            <w:pPr>
              <w:spacing w:after="0"/>
              <w:rPr>
                <w:lang w:val="en-US"/>
              </w:rPr>
            </w:pPr>
            <w:r>
              <w:rPr>
                <w:lang w:val="en-US"/>
              </w:rPr>
              <w:t>Full</w:t>
            </w:r>
          </w:p>
        </w:tc>
      </w:tr>
      <w:tr w:rsidR="00443B72" w14:paraId="7744C9A3" w14:textId="77777777" w:rsidTr="00FC4EA0">
        <w:trPr>
          <w:jc w:val="center"/>
        </w:trPr>
        <w:tc>
          <w:tcPr>
            <w:tcW w:w="1075" w:type="dxa"/>
          </w:tcPr>
          <w:p w14:paraId="0865893C" w14:textId="77777777" w:rsidR="00443B72" w:rsidRDefault="00443B72" w:rsidP="00FC4EA0">
            <w:pPr>
              <w:spacing w:after="0"/>
              <w:rPr>
                <w:lang w:val="en-US"/>
              </w:rPr>
            </w:pPr>
            <w:r>
              <w:rPr>
                <w:lang w:val="en-US"/>
              </w:rPr>
              <w:t>12</w:t>
            </w:r>
          </w:p>
        </w:tc>
        <w:tc>
          <w:tcPr>
            <w:tcW w:w="1169" w:type="dxa"/>
          </w:tcPr>
          <w:p w14:paraId="3A4E7BAB" w14:textId="77777777" w:rsidR="00443B72" w:rsidRDefault="00443B72" w:rsidP="00FC4EA0">
            <w:pPr>
              <w:spacing w:after="0"/>
              <w:rPr>
                <w:lang w:val="en-US"/>
              </w:rPr>
            </w:pPr>
            <w:r>
              <w:rPr>
                <w:lang w:val="en-US"/>
              </w:rPr>
              <w:t>64QAM</w:t>
            </w:r>
          </w:p>
        </w:tc>
        <w:tc>
          <w:tcPr>
            <w:tcW w:w="1081" w:type="dxa"/>
          </w:tcPr>
          <w:p w14:paraId="6FEB23CA" w14:textId="77777777" w:rsidR="00443B72" w:rsidRDefault="00443B72" w:rsidP="00FC4EA0">
            <w:pPr>
              <w:spacing w:after="0"/>
              <w:rPr>
                <w:lang w:val="en-US"/>
              </w:rPr>
            </w:pPr>
            <w:r>
              <w:rPr>
                <w:lang w:val="en-US"/>
              </w:rPr>
              <w:t>DFT-S</w:t>
            </w:r>
          </w:p>
        </w:tc>
        <w:tc>
          <w:tcPr>
            <w:tcW w:w="1440" w:type="dxa"/>
          </w:tcPr>
          <w:p w14:paraId="2AC8DFF7" w14:textId="77777777" w:rsidR="00443B72" w:rsidRDefault="00443B72" w:rsidP="00FC4EA0">
            <w:pPr>
              <w:spacing w:after="0"/>
              <w:rPr>
                <w:lang w:val="en-US"/>
              </w:rPr>
            </w:pPr>
            <w:r>
              <w:rPr>
                <w:lang w:val="en-US"/>
              </w:rPr>
              <w:t>Full</w:t>
            </w:r>
          </w:p>
        </w:tc>
      </w:tr>
      <w:tr w:rsidR="00443B72" w14:paraId="0810DA9E" w14:textId="77777777" w:rsidTr="00FC4EA0">
        <w:trPr>
          <w:jc w:val="center"/>
        </w:trPr>
        <w:tc>
          <w:tcPr>
            <w:tcW w:w="1075" w:type="dxa"/>
          </w:tcPr>
          <w:p w14:paraId="24F87A49" w14:textId="77777777" w:rsidR="00443B72" w:rsidRDefault="00443B72" w:rsidP="00FC4EA0">
            <w:pPr>
              <w:spacing w:after="0"/>
              <w:rPr>
                <w:lang w:val="en-US"/>
              </w:rPr>
            </w:pPr>
            <w:r>
              <w:rPr>
                <w:lang w:val="en-US"/>
              </w:rPr>
              <w:t>13</w:t>
            </w:r>
          </w:p>
        </w:tc>
        <w:tc>
          <w:tcPr>
            <w:tcW w:w="1169" w:type="dxa"/>
          </w:tcPr>
          <w:p w14:paraId="6B7816F6" w14:textId="77777777" w:rsidR="00443B72" w:rsidRDefault="00443B72" w:rsidP="00FC4EA0">
            <w:pPr>
              <w:spacing w:after="0"/>
              <w:rPr>
                <w:lang w:val="en-US"/>
              </w:rPr>
            </w:pPr>
            <w:r>
              <w:rPr>
                <w:lang w:val="en-US"/>
              </w:rPr>
              <w:t>256QAM</w:t>
            </w:r>
          </w:p>
        </w:tc>
        <w:tc>
          <w:tcPr>
            <w:tcW w:w="1081" w:type="dxa"/>
          </w:tcPr>
          <w:p w14:paraId="7915D067" w14:textId="77777777" w:rsidR="00443B72" w:rsidRDefault="00443B72" w:rsidP="00FC4EA0">
            <w:pPr>
              <w:spacing w:after="0"/>
              <w:rPr>
                <w:lang w:val="en-US"/>
              </w:rPr>
            </w:pPr>
            <w:r>
              <w:rPr>
                <w:lang w:val="en-US"/>
              </w:rPr>
              <w:t>CP</w:t>
            </w:r>
          </w:p>
        </w:tc>
        <w:tc>
          <w:tcPr>
            <w:tcW w:w="1440" w:type="dxa"/>
          </w:tcPr>
          <w:p w14:paraId="54E8F521" w14:textId="77777777" w:rsidR="00443B72" w:rsidRDefault="00443B72" w:rsidP="00FC4EA0">
            <w:pPr>
              <w:spacing w:after="0"/>
              <w:rPr>
                <w:lang w:val="en-US"/>
              </w:rPr>
            </w:pPr>
            <w:r>
              <w:rPr>
                <w:lang w:val="en-US"/>
              </w:rPr>
              <w:t>Interlace_0</w:t>
            </w:r>
          </w:p>
        </w:tc>
      </w:tr>
      <w:tr w:rsidR="00443B72" w14:paraId="40ED5C0E" w14:textId="77777777" w:rsidTr="00FC4EA0">
        <w:trPr>
          <w:jc w:val="center"/>
        </w:trPr>
        <w:tc>
          <w:tcPr>
            <w:tcW w:w="1075" w:type="dxa"/>
          </w:tcPr>
          <w:p w14:paraId="099F9AE5" w14:textId="77777777" w:rsidR="00443B72" w:rsidRDefault="00443B72" w:rsidP="00FC4EA0">
            <w:pPr>
              <w:spacing w:after="0"/>
              <w:rPr>
                <w:lang w:val="en-US"/>
              </w:rPr>
            </w:pPr>
            <w:r>
              <w:rPr>
                <w:lang w:val="en-US"/>
              </w:rPr>
              <w:t>14</w:t>
            </w:r>
          </w:p>
        </w:tc>
        <w:tc>
          <w:tcPr>
            <w:tcW w:w="1169" w:type="dxa"/>
          </w:tcPr>
          <w:p w14:paraId="4B05FF35" w14:textId="77777777" w:rsidR="00443B72" w:rsidRDefault="00443B72" w:rsidP="00FC4EA0">
            <w:pPr>
              <w:spacing w:after="0"/>
              <w:rPr>
                <w:lang w:val="en-US"/>
              </w:rPr>
            </w:pPr>
            <w:r>
              <w:rPr>
                <w:lang w:val="en-US"/>
              </w:rPr>
              <w:t>256QAM</w:t>
            </w:r>
          </w:p>
        </w:tc>
        <w:tc>
          <w:tcPr>
            <w:tcW w:w="1081" w:type="dxa"/>
          </w:tcPr>
          <w:p w14:paraId="401C810D" w14:textId="77777777" w:rsidR="00443B72" w:rsidRDefault="00443B72" w:rsidP="00FC4EA0">
            <w:pPr>
              <w:spacing w:after="0"/>
              <w:rPr>
                <w:lang w:val="en-US"/>
              </w:rPr>
            </w:pPr>
            <w:r>
              <w:rPr>
                <w:lang w:val="en-US"/>
              </w:rPr>
              <w:t>DFT-S</w:t>
            </w:r>
          </w:p>
        </w:tc>
        <w:tc>
          <w:tcPr>
            <w:tcW w:w="1440" w:type="dxa"/>
          </w:tcPr>
          <w:p w14:paraId="208F9FAC" w14:textId="77777777" w:rsidR="00443B72" w:rsidRDefault="00443B72" w:rsidP="00FC4EA0">
            <w:pPr>
              <w:spacing w:after="0"/>
              <w:rPr>
                <w:lang w:val="en-US"/>
              </w:rPr>
            </w:pPr>
            <w:r>
              <w:rPr>
                <w:lang w:val="en-US"/>
              </w:rPr>
              <w:t>Interlace_0</w:t>
            </w:r>
          </w:p>
        </w:tc>
      </w:tr>
      <w:tr w:rsidR="00443B72" w14:paraId="74BC82EB" w14:textId="77777777" w:rsidTr="00FC4EA0">
        <w:trPr>
          <w:jc w:val="center"/>
        </w:trPr>
        <w:tc>
          <w:tcPr>
            <w:tcW w:w="1075" w:type="dxa"/>
          </w:tcPr>
          <w:p w14:paraId="6CF1655E" w14:textId="77777777" w:rsidR="00443B72" w:rsidRDefault="00443B72" w:rsidP="00FC4EA0">
            <w:pPr>
              <w:spacing w:after="0"/>
              <w:rPr>
                <w:lang w:val="en-US"/>
              </w:rPr>
            </w:pPr>
            <w:r>
              <w:rPr>
                <w:lang w:val="en-US"/>
              </w:rPr>
              <w:t>15</w:t>
            </w:r>
          </w:p>
        </w:tc>
        <w:tc>
          <w:tcPr>
            <w:tcW w:w="1169" w:type="dxa"/>
          </w:tcPr>
          <w:p w14:paraId="03CAB0A7" w14:textId="77777777" w:rsidR="00443B72" w:rsidRDefault="00443B72" w:rsidP="00FC4EA0">
            <w:pPr>
              <w:spacing w:after="0"/>
              <w:rPr>
                <w:lang w:val="en-US"/>
              </w:rPr>
            </w:pPr>
            <w:r>
              <w:rPr>
                <w:lang w:val="en-US"/>
              </w:rPr>
              <w:t>256QAM</w:t>
            </w:r>
          </w:p>
        </w:tc>
        <w:tc>
          <w:tcPr>
            <w:tcW w:w="1081" w:type="dxa"/>
          </w:tcPr>
          <w:p w14:paraId="11E7A08E" w14:textId="77777777" w:rsidR="00443B72" w:rsidRDefault="00443B72" w:rsidP="00FC4EA0">
            <w:pPr>
              <w:spacing w:after="0"/>
              <w:rPr>
                <w:lang w:val="en-US"/>
              </w:rPr>
            </w:pPr>
            <w:r>
              <w:rPr>
                <w:lang w:val="en-US"/>
              </w:rPr>
              <w:t>CP</w:t>
            </w:r>
          </w:p>
        </w:tc>
        <w:tc>
          <w:tcPr>
            <w:tcW w:w="1440" w:type="dxa"/>
          </w:tcPr>
          <w:p w14:paraId="7E072FAA" w14:textId="77777777" w:rsidR="00443B72" w:rsidRDefault="00443B72" w:rsidP="00FC4EA0">
            <w:pPr>
              <w:spacing w:after="0"/>
              <w:rPr>
                <w:lang w:val="en-US"/>
              </w:rPr>
            </w:pPr>
            <w:r>
              <w:rPr>
                <w:lang w:val="en-US"/>
              </w:rPr>
              <w:t>Full</w:t>
            </w:r>
          </w:p>
        </w:tc>
      </w:tr>
      <w:tr w:rsidR="00443B72" w14:paraId="3F52889E" w14:textId="77777777" w:rsidTr="00FC4EA0">
        <w:trPr>
          <w:jc w:val="center"/>
        </w:trPr>
        <w:tc>
          <w:tcPr>
            <w:tcW w:w="1075" w:type="dxa"/>
          </w:tcPr>
          <w:p w14:paraId="7EF75C71" w14:textId="77777777" w:rsidR="00443B72" w:rsidRDefault="00443B72" w:rsidP="00FC4EA0">
            <w:pPr>
              <w:spacing w:after="0"/>
              <w:rPr>
                <w:lang w:val="en-US"/>
              </w:rPr>
            </w:pPr>
            <w:r>
              <w:rPr>
                <w:lang w:val="en-US"/>
              </w:rPr>
              <w:t>16</w:t>
            </w:r>
          </w:p>
        </w:tc>
        <w:tc>
          <w:tcPr>
            <w:tcW w:w="1169" w:type="dxa"/>
          </w:tcPr>
          <w:p w14:paraId="72A24A9E" w14:textId="77777777" w:rsidR="00443B72" w:rsidRDefault="00443B72" w:rsidP="00FC4EA0">
            <w:pPr>
              <w:spacing w:after="0"/>
              <w:rPr>
                <w:lang w:val="en-US"/>
              </w:rPr>
            </w:pPr>
            <w:r>
              <w:rPr>
                <w:lang w:val="en-US"/>
              </w:rPr>
              <w:t>256QAM</w:t>
            </w:r>
          </w:p>
        </w:tc>
        <w:tc>
          <w:tcPr>
            <w:tcW w:w="1081" w:type="dxa"/>
          </w:tcPr>
          <w:p w14:paraId="57157B12" w14:textId="77777777" w:rsidR="00443B72" w:rsidRDefault="00443B72" w:rsidP="00FC4EA0">
            <w:pPr>
              <w:spacing w:after="0"/>
              <w:rPr>
                <w:lang w:val="en-US"/>
              </w:rPr>
            </w:pPr>
            <w:r>
              <w:rPr>
                <w:lang w:val="en-US"/>
              </w:rPr>
              <w:t>DFT-S</w:t>
            </w:r>
          </w:p>
        </w:tc>
        <w:tc>
          <w:tcPr>
            <w:tcW w:w="1440" w:type="dxa"/>
          </w:tcPr>
          <w:p w14:paraId="6E1F3C20" w14:textId="77777777" w:rsidR="00443B72" w:rsidRDefault="00443B72" w:rsidP="00FC4EA0">
            <w:pPr>
              <w:spacing w:after="0"/>
              <w:rPr>
                <w:lang w:val="en-US"/>
              </w:rPr>
            </w:pPr>
            <w:r>
              <w:rPr>
                <w:lang w:val="en-US"/>
              </w:rPr>
              <w:t>Full</w:t>
            </w:r>
          </w:p>
        </w:tc>
      </w:tr>
    </w:tbl>
    <w:p w14:paraId="5C4FEBF0" w14:textId="77777777" w:rsidR="00443B72" w:rsidRDefault="00443B72" w:rsidP="00443B72">
      <w:pPr>
        <w:rPr>
          <w:lang w:val="en-US"/>
        </w:rPr>
      </w:pPr>
    </w:p>
    <w:p w14:paraId="39F51252" w14:textId="3E148E52" w:rsidR="00940A8E" w:rsidRDefault="00252BA2" w:rsidP="000611F3">
      <w:pPr>
        <w:rPr>
          <w:lang w:val="en-US"/>
        </w:rPr>
      </w:pPr>
      <w:r>
        <w:rPr>
          <w:lang w:val="en-US"/>
        </w:rPr>
        <w:t xml:space="preserve">The </w:t>
      </w:r>
      <w:r w:rsidR="008E3A79">
        <w:rPr>
          <w:lang w:val="en-US"/>
        </w:rPr>
        <w:t xml:space="preserve">MPR requirements are simulated </w:t>
      </w:r>
      <w:r w:rsidR="003617BB">
        <w:rPr>
          <w:lang w:val="en-US"/>
        </w:rPr>
        <w:t xml:space="preserve">according to PC5 </w:t>
      </w:r>
      <w:r w:rsidR="008E3A79">
        <w:rPr>
          <w:lang w:val="en-US"/>
        </w:rPr>
        <w:t xml:space="preserve">(ACLR, NR-U SEM, spurious emissions, EVM, in-band emissions) as well as the </w:t>
      </w:r>
      <w:r w:rsidR="00940A8E">
        <w:rPr>
          <w:lang w:val="en-US"/>
        </w:rPr>
        <w:t>band specific requirements for VLP.  In particular, the band specific requirements are the 14 dBm maximum output power, 1 dBm/MHz PSD, and -45 dBm/MHz additional spurious emissions.  The results are shown below</w:t>
      </w:r>
    </w:p>
    <w:p w14:paraId="74EDE67C" w14:textId="77777777" w:rsidR="002B45F7" w:rsidRDefault="009023E2" w:rsidP="002B45F7">
      <w:pPr>
        <w:keepNext/>
      </w:pPr>
      <w:r>
        <w:rPr>
          <w:noProof/>
          <w:lang w:val="en-US"/>
        </w:rPr>
        <w:drawing>
          <wp:inline distT="0" distB="0" distL="0" distR="0" wp14:anchorId="5EE1200F" wp14:editId="537771D1">
            <wp:extent cx="6187989" cy="3021495"/>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16087" cy="3035215"/>
                    </a:xfrm>
                    <a:prstGeom prst="rect">
                      <a:avLst/>
                    </a:prstGeom>
                    <a:noFill/>
                  </pic:spPr>
                </pic:pic>
              </a:graphicData>
            </a:graphic>
          </wp:inline>
        </w:drawing>
      </w:r>
    </w:p>
    <w:p w14:paraId="65B0092C" w14:textId="25E451F3" w:rsidR="002B45F7" w:rsidRDefault="002B45F7" w:rsidP="008279B6">
      <w:pPr>
        <w:pStyle w:val="Caption"/>
        <w:jc w:val="center"/>
      </w:pPr>
      <w:r>
        <w:t xml:space="preserve">Figure </w:t>
      </w:r>
      <w:r>
        <w:fldChar w:fldCharType="begin"/>
      </w:r>
      <w:r>
        <w:instrText xml:space="preserve"> SEQ Figure \* ARABIC </w:instrText>
      </w:r>
      <w:r>
        <w:fldChar w:fldCharType="separate"/>
      </w:r>
      <w:r w:rsidR="008279B6">
        <w:rPr>
          <w:noProof/>
        </w:rPr>
        <w:t>1</w:t>
      </w:r>
      <w:r>
        <w:fldChar w:fldCharType="end"/>
      </w:r>
      <w:r>
        <w:t>.  Power backoff (blue markers) and total available power (yellow marker) for VLP in EU 6 GHz</w:t>
      </w:r>
    </w:p>
    <w:p w14:paraId="59054334" w14:textId="680A79C2" w:rsidR="008424B3" w:rsidRDefault="00252BA2" w:rsidP="000611F3">
      <w:pPr>
        <w:rPr>
          <w:lang w:val="en-US"/>
        </w:rPr>
      </w:pPr>
      <w:r>
        <w:rPr>
          <w:lang w:val="en-US"/>
        </w:rPr>
        <w:t xml:space="preserve"> </w:t>
      </w:r>
    </w:p>
    <w:p w14:paraId="5C628CA6" w14:textId="77777777" w:rsidR="008279B6" w:rsidRDefault="00C95DD2" w:rsidP="008279B6">
      <w:pPr>
        <w:keepNext/>
      </w:pPr>
      <w:r>
        <w:rPr>
          <w:noProof/>
          <w:lang w:val="en-US"/>
        </w:rPr>
        <w:lastRenderedPageBreak/>
        <w:drawing>
          <wp:inline distT="0" distB="0" distL="0" distR="0" wp14:anchorId="4B2D52AC" wp14:editId="352B5098">
            <wp:extent cx="6197130" cy="3025958"/>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48761" cy="3051169"/>
                    </a:xfrm>
                    <a:prstGeom prst="rect">
                      <a:avLst/>
                    </a:prstGeom>
                    <a:noFill/>
                  </pic:spPr>
                </pic:pic>
              </a:graphicData>
            </a:graphic>
          </wp:inline>
        </w:drawing>
      </w:r>
    </w:p>
    <w:p w14:paraId="3823502C" w14:textId="5FB071EC" w:rsidR="00613451" w:rsidRDefault="008279B6" w:rsidP="008279B6">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Power backoff and total available power with edge channel removed</w:t>
      </w:r>
    </w:p>
    <w:p w14:paraId="0F0F5968" w14:textId="3FB07DA3" w:rsidR="00B00CB6" w:rsidRPr="00B00CB6" w:rsidRDefault="00B00CB6" w:rsidP="00B00CB6">
      <w:r>
        <w:t xml:space="preserve">The total backoff is quite large, especially in the upper figure where the additional spurious emission requirement of -45 dBm/MHz limits the performance of channels on the edge of the band.  When those channels are removed from the scatter plot as shown in the lower figure, the </w:t>
      </w:r>
      <w:r w:rsidR="00676E1C">
        <w:t xml:space="preserve">power backoff is not as severe.  However, the power backoff is still </w:t>
      </w:r>
      <w:r w:rsidR="000E2214">
        <w:t xml:space="preserve">generally large.  It is expected that the power backoff is at least 6 dB since the maximum output power is limited to 14 dBm.  But </w:t>
      </w:r>
      <w:r w:rsidR="00E06D3E">
        <w:t>for most waveforms, the power backoff is larger than 6 dB and for some waveforms, considerably larger than 6 dB.  It was found that EVM was often limiting</w:t>
      </w:r>
      <w:r w:rsidR="00D6596D">
        <w:t xml:space="preserve"> with higher order modulations on the larger scenario numbers on the right side of the plot.  This is a consequence of the PA bias </w:t>
      </w:r>
      <w:r w:rsidR="00011174">
        <w:t>assumptions to reflect power efficient designs.</w:t>
      </w:r>
    </w:p>
    <w:p w14:paraId="3F8BEA58" w14:textId="31DA50C3" w:rsidR="009C37D0" w:rsidRDefault="00FA01C7" w:rsidP="009C37D0">
      <w:pPr>
        <w:pStyle w:val="Heading1"/>
        <w:tabs>
          <w:tab w:val="clear" w:pos="432"/>
          <w:tab w:val="num" w:pos="522"/>
        </w:tabs>
        <w:ind w:left="522" w:hanging="522"/>
        <w:rPr>
          <w:lang w:val="en-US"/>
        </w:rPr>
      </w:pPr>
      <w:r>
        <w:rPr>
          <w:lang w:val="en-US"/>
        </w:rPr>
        <w:t>Conclusion</w:t>
      </w:r>
    </w:p>
    <w:p w14:paraId="1F5920CF" w14:textId="1B2833D3" w:rsidR="009D4E19" w:rsidRPr="009D4E19" w:rsidRDefault="004A3206" w:rsidP="009D4E19">
      <w:pPr>
        <w:rPr>
          <w:lang w:val="en-US"/>
        </w:rPr>
      </w:pPr>
      <w:r>
        <w:rPr>
          <w:lang w:val="en-US"/>
        </w:rPr>
        <w:t>This contribution discusses various aspects related to the specification of VLP for NR-U in the 6 GHz band for Europe.  It is proposed that VLP specifications are developed in 3GPP for VLP.  The approach to use NS and A-MPR to control the maximum output power and maximum PSD is discussed</w:t>
      </w:r>
      <w:r w:rsidR="009C5C92">
        <w:rPr>
          <w:lang w:val="en-US"/>
        </w:rPr>
        <w:t xml:space="preserve">.  PA calibration for using PC5 PA models is proposed.  A-MPR simulations are in progress, </w:t>
      </w:r>
      <w:r w:rsidR="00921F11">
        <w:rPr>
          <w:lang w:val="en-US"/>
        </w:rPr>
        <w:t xml:space="preserve">with an initial set of results presented to illustrate the </w:t>
      </w:r>
      <w:r w:rsidR="00B13B79">
        <w:rPr>
          <w:lang w:val="en-US"/>
        </w:rPr>
        <w:t>trend and magnitude of the result</w:t>
      </w:r>
      <w:r w:rsidR="009C5C92">
        <w:rPr>
          <w:lang w:val="en-US"/>
        </w:rPr>
        <w:t>.</w:t>
      </w:r>
      <w:r w:rsidR="00B13B79">
        <w:rPr>
          <w:lang w:val="en-US"/>
        </w:rPr>
        <w:t xml:space="preserve">  While it is easily understood that that the power will be restricted by the VLP constraints on output power, </w:t>
      </w:r>
      <w:r w:rsidR="00DF0C47">
        <w:rPr>
          <w:lang w:val="en-US"/>
        </w:rPr>
        <w:t>PSD, and spurious emissions, for highly efficient PA designs optimized for the VLP output power levels, there are also significant linearity constraints</w:t>
      </w:r>
      <w:r w:rsidR="00BE1A9C">
        <w:rPr>
          <w:lang w:val="en-US"/>
        </w:rPr>
        <w:t xml:space="preserve"> limiting the available power for more challenging waveforms.</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623B2941" w14:textId="77777777" w:rsidR="00F0511D" w:rsidRDefault="00F0511D" w:rsidP="00F0511D">
      <w:pPr>
        <w:numPr>
          <w:ilvl w:val="0"/>
          <w:numId w:val="2"/>
        </w:numPr>
        <w:tabs>
          <w:tab w:val="left" w:pos="1080"/>
        </w:tabs>
        <w:rPr>
          <w:lang w:val="en-US" w:eastAsia="x-none"/>
        </w:rPr>
      </w:pPr>
      <w:bookmarkStart w:id="0" w:name="_Hlk859252"/>
      <w:r>
        <w:rPr>
          <w:lang w:val="en-US" w:eastAsia="x-none"/>
        </w:rPr>
        <w:t>ECC Decision (20)01, “</w:t>
      </w:r>
      <w:r w:rsidRPr="00EA27DA">
        <w:rPr>
          <w:lang w:val="en-US" w:eastAsia="x-none"/>
        </w:rPr>
        <w:t>On the harmonised use of the frequency band 5945-6425 MHz for Wireless Access Systems including Radio Local Area Networks (WAS/RLAN)</w:t>
      </w:r>
      <w:r>
        <w:rPr>
          <w:lang w:val="en-US" w:eastAsia="x-none"/>
        </w:rPr>
        <w:t>,” 20 November 2020.</w:t>
      </w:r>
    </w:p>
    <w:p w14:paraId="12AA9807" w14:textId="77777777" w:rsidR="00F0511D" w:rsidRDefault="00F0511D" w:rsidP="00F0511D">
      <w:pPr>
        <w:numPr>
          <w:ilvl w:val="0"/>
          <w:numId w:val="2"/>
        </w:numPr>
        <w:tabs>
          <w:tab w:val="left" w:pos="1080"/>
        </w:tabs>
        <w:rPr>
          <w:lang w:val="en-US" w:eastAsia="x-none"/>
        </w:rPr>
      </w:pPr>
      <w:r>
        <w:rPr>
          <w:lang w:val="en-US" w:eastAsia="x-none"/>
        </w:rPr>
        <w:t>R4-2102416, “UE requirements for EU NR-U 6 GHz band,” Qualcomm Incorporated</w:t>
      </w:r>
    </w:p>
    <w:p w14:paraId="123C1E4D" w14:textId="1191DF52" w:rsidR="00F0511D" w:rsidRDefault="007F247A" w:rsidP="001219FC">
      <w:pPr>
        <w:numPr>
          <w:ilvl w:val="0"/>
          <w:numId w:val="2"/>
        </w:numPr>
        <w:tabs>
          <w:tab w:val="left" w:pos="1080"/>
        </w:tabs>
        <w:rPr>
          <w:lang w:val="en-US" w:eastAsia="x-none"/>
        </w:rPr>
      </w:pPr>
      <w:r>
        <w:rPr>
          <w:lang w:val="en-US" w:eastAsia="x-none"/>
        </w:rPr>
        <w:t>R4-2105461, “</w:t>
      </w:r>
      <w:r w:rsidR="001E7226" w:rsidRPr="001E7226">
        <w:rPr>
          <w:lang w:val="en-US" w:eastAsia="x-none"/>
        </w:rPr>
        <w:t>Email discussion summary for [98-bis-e][124] NR_6GHz_unlic_EU</w:t>
      </w:r>
      <w:r w:rsidR="001E7226">
        <w:rPr>
          <w:lang w:val="en-US" w:eastAsia="x-none"/>
        </w:rPr>
        <w:t>,” Moderator (Nokia)</w:t>
      </w:r>
    </w:p>
    <w:p w14:paraId="2430FD7F" w14:textId="7DC0E281" w:rsidR="001E7226" w:rsidRDefault="00822D64" w:rsidP="001219FC">
      <w:pPr>
        <w:numPr>
          <w:ilvl w:val="0"/>
          <w:numId w:val="2"/>
        </w:numPr>
        <w:tabs>
          <w:tab w:val="left" w:pos="1080"/>
        </w:tabs>
        <w:rPr>
          <w:lang w:val="en-US" w:eastAsia="x-none"/>
        </w:rPr>
      </w:pPr>
      <w:r>
        <w:rPr>
          <w:lang w:val="en-US" w:eastAsia="x-none"/>
        </w:rPr>
        <w:t>R4-2104883, “</w:t>
      </w:r>
      <w:r w:rsidR="00CD2054" w:rsidRPr="00CD2054">
        <w:rPr>
          <w:lang w:val="en-US" w:eastAsia="x-none"/>
        </w:rPr>
        <w:t>On simultaneous low power and very low power operation</w:t>
      </w:r>
      <w:r w:rsidR="00CD2054">
        <w:rPr>
          <w:lang w:val="en-US" w:eastAsia="x-none"/>
        </w:rPr>
        <w:t>,” Apple Inc.</w:t>
      </w:r>
    </w:p>
    <w:p w14:paraId="6BBE6074" w14:textId="7FDF2606" w:rsidR="007005C3" w:rsidRDefault="001F4D38" w:rsidP="001219FC">
      <w:pPr>
        <w:numPr>
          <w:ilvl w:val="0"/>
          <w:numId w:val="2"/>
        </w:numPr>
        <w:tabs>
          <w:tab w:val="left" w:pos="1080"/>
        </w:tabs>
        <w:rPr>
          <w:lang w:val="en-US" w:eastAsia="x-none"/>
        </w:rPr>
      </w:pPr>
      <w:r>
        <w:rPr>
          <w:lang w:val="en-US" w:eastAsia="x-none"/>
        </w:rPr>
        <w:t xml:space="preserve">CEPT Report 73, “Report A: </w:t>
      </w:r>
      <w:r w:rsidR="004943EA" w:rsidRPr="004943EA">
        <w:rPr>
          <w:lang w:val="en-US" w:eastAsia="x-none"/>
        </w:rPr>
        <w:t>Assessment and study of compatibility and coexistence scenarios for WAS/RLANs in the band 5925-6425 MHz</w:t>
      </w:r>
      <w:r w:rsidR="004943EA">
        <w:rPr>
          <w:lang w:val="en-US" w:eastAsia="x-none"/>
        </w:rPr>
        <w:t>,” report approved on 6 March 2020</w:t>
      </w:r>
    </w:p>
    <w:p w14:paraId="2EC2A83F" w14:textId="78F50760" w:rsidR="00A41640" w:rsidRDefault="00A41640" w:rsidP="001219FC">
      <w:pPr>
        <w:numPr>
          <w:ilvl w:val="0"/>
          <w:numId w:val="2"/>
        </w:numPr>
        <w:tabs>
          <w:tab w:val="left" w:pos="1080"/>
        </w:tabs>
        <w:rPr>
          <w:lang w:val="en-US" w:eastAsia="x-none"/>
        </w:rPr>
      </w:pPr>
      <w:r>
        <w:rPr>
          <w:lang w:val="en-US" w:eastAsia="x-none"/>
        </w:rPr>
        <w:t>R4-2005221, “</w:t>
      </w:r>
      <w:r w:rsidR="0081161D" w:rsidRPr="0081161D">
        <w:rPr>
          <w:lang w:val="en-US" w:eastAsia="x-none"/>
        </w:rPr>
        <w:t>WF on NR-U UE Tx Requirement</w:t>
      </w:r>
      <w:r w:rsidR="0081161D">
        <w:rPr>
          <w:lang w:val="en-US" w:eastAsia="x-none"/>
        </w:rPr>
        <w:t xml:space="preserve">,” </w:t>
      </w:r>
      <w:r w:rsidR="0081161D" w:rsidRPr="0081161D">
        <w:rPr>
          <w:lang w:val="en-US" w:eastAsia="x-none"/>
        </w:rPr>
        <w:t>Skyworks Solutions Inc, Nokia, Ericsson</w:t>
      </w:r>
    </w:p>
    <w:bookmarkEnd w:id="0"/>
    <w:p w14:paraId="231BC52F" w14:textId="77777777" w:rsidR="00CD2054" w:rsidRDefault="00CD2054" w:rsidP="00CD2054">
      <w:pPr>
        <w:tabs>
          <w:tab w:val="left" w:pos="1080"/>
        </w:tabs>
        <w:rPr>
          <w:lang w:val="en-US" w:eastAsia="x-none"/>
        </w:rPr>
      </w:pPr>
    </w:p>
    <w:sectPr w:rsidR="00CD2054"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E07D8" w14:textId="77777777" w:rsidR="00777BB6" w:rsidRDefault="00777BB6">
      <w:r>
        <w:separator/>
      </w:r>
    </w:p>
  </w:endnote>
  <w:endnote w:type="continuationSeparator" w:id="0">
    <w:p w14:paraId="0F9F975C" w14:textId="77777777" w:rsidR="00777BB6" w:rsidRDefault="00777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2ADA13" w14:textId="77777777" w:rsidR="00777BB6" w:rsidRDefault="00777BB6">
      <w:r>
        <w:separator/>
      </w:r>
    </w:p>
  </w:footnote>
  <w:footnote w:type="continuationSeparator" w:id="0">
    <w:p w14:paraId="26ABB2FC" w14:textId="77777777" w:rsidR="00777BB6" w:rsidRDefault="00777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596B7E"/>
    <w:multiLevelType w:val="hybridMultilevel"/>
    <w:tmpl w:val="16FE54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BE17758"/>
    <w:multiLevelType w:val="hybridMultilevel"/>
    <w:tmpl w:val="897A74EC"/>
    <w:lvl w:ilvl="0" w:tplc="F4B43A14">
      <w:start w:val="1"/>
      <w:numFmt w:val="bullet"/>
      <w:lvlText w:val="•"/>
      <w:lvlJc w:val="left"/>
      <w:pPr>
        <w:tabs>
          <w:tab w:val="num" w:pos="720"/>
        </w:tabs>
        <w:ind w:left="720" w:hanging="360"/>
      </w:pPr>
      <w:rPr>
        <w:rFonts w:ascii="Arial" w:hAnsi="Arial" w:hint="default"/>
      </w:rPr>
    </w:lvl>
    <w:lvl w:ilvl="1" w:tplc="7D1C2666" w:tentative="1">
      <w:start w:val="1"/>
      <w:numFmt w:val="bullet"/>
      <w:lvlText w:val="•"/>
      <w:lvlJc w:val="left"/>
      <w:pPr>
        <w:tabs>
          <w:tab w:val="num" w:pos="1440"/>
        </w:tabs>
        <w:ind w:left="1440" w:hanging="360"/>
      </w:pPr>
      <w:rPr>
        <w:rFonts w:ascii="Arial" w:hAnsi="Arial" w:hint="default"/>
      </w:rPr>
    </w:lvl>
    <w:lvl w:ilvl="2" w:tplc="8C88A2DA" w:tentative="1">
      <w:start w:val="1"/>
      <w:numFmt w:val="bullet"/>
      <w:lvlText w:val="•"/>
      <w:lvlJc w:val="left"/>
      <w:pPr>
        <w:tabs>
          <w:tab w:val="num" w:pos="2160"/>
        </w:tabs>
        <w:ind w:left="2160" w:hanging="360"/>
      </w:pPr>
      <w:rPr>
        <w:rFonts w:ascii="Arial" w:hAnsi="Arial" w:hint="default"/>
      </w:rPr>
    </w:lvl>
    <w:lvl w:ilvl="3" w:tplc="1D047F86" w:tentative="1">
      <w:start w:val="1"/>
      <w:numFmt w:val="bullet"/>
      <w:lvlText w:val="•"/>
      <w:lvlJc w:val="left"/>
      <w:pPr>
        <w:tabs>
          <w:tab w:val="num" w:pos="2880"/>
        </w:tabs>
        <w:ind w:left="2880" w:hanging="360"/>
      </w:pPr>
      <w:rPr>
        <w:rFonts w:ascii="Arial" w:hAnsi="Arial" w:hint="default"/>
      </w:rPr>
    </w:lvl>
    <w:lvl w:ilvl="4" w:tplc="A64C5716" w:tentative="1">
      <w:start w:val="1"/>
      <w:numFmt w:val="bullet"/>
      <w:lvlText w:val="•"/>
      <w:lvlJc w:val="left"/>
      <w:pPr>
        <w:tabs>
          <w:tab w:val="num" w:pos="3600"/>
        </w:tabs>
        <w:ind w:left="3600" w:hanging="360"/>
      </w:pPr>
      <w:rPr>
        <w:rFonts w:ascii="Arial" w:hAnsi="Arial" w:hint="default"/>
      </w:rPr>
    </w:lvl>
    <w:lvl w:ilvl="5" w:tplc="573033C6" w:tentative="1">
      <w:start w:val="1"/>
      <w:numFmt w:val="bullet"/>
      <w:lvlText w:val="•"/>
      <w:lvlJc w:val="left"/>
      <w:pPr>
        <w:tabs>
          <w:tab w:val="num" w:pos="4320"/>
        </w:tabs>
        <w:ind w:left="4320" w:hanging="360"/>
      </w:pPr>
      <w:rPr>
        <w:rFonts w:ascii="Arial" w:hAnsi="Arial" w:hint="default"/>
      </w:rPr>
    </w:lvl>
    <w:lvl w:ilvl="6" w:tplc="7C869636" w:tentative="1">
      <w:start w:val="1"/>
      <w:numFmt w:val="bullet"/>
      <w:lvlText w:val="•"/>
      <w:lvlJc w:val="left"/>
      <w:pPr>
        <w:tabs>
          <w:tab w:val="num" w:pos="5040"/>
        </w:tabs>
        <w:ind w:left="5040" w:hanging="360"/>
      </w:pPr>
      <w:rPr>
        <w:rFonts w:ascii="Arial" w:hAnsi="Arial" w:hint="default"/>
      </w:rPr>
    </w:lvl>
    <w:lvl w:ilvl="7" w:tplc="0B366F82" w:tentative="1">
      <w:start w:val="1"/>
      <w:numFmt w:val="bullet"/>
      <w:lvlText w:val="•"/>
      <w:lvlJc w:val="left"/>
      <w:pPr>
        <w:tabs>
          <w:tab w:val="num" w:pos="5760"/>
        </w:tabs>
        <w:ind w:left="5760" w:hanging="360"/>
      </w:pPr>
      <w:rPr>
        <w:rFonts w:ascii="Arial" w:hAnsi="Arial" w:hint="default"/>
      </w:rPr>
    </w:lvl>
    <w:lvl w:ilvl="8" w:tplc="70FA91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6321419F"/>
    <w:multiLevelType w:val="hybridMultilevel"/>
    <w:tmpl w:val="7220A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0"/>
  </w:num>
  <w:num w:numId="3">
    <w:abstractNumId w:val="22"/>
  </w:num>
  <w:num w:numId="4">
    <w:abstractNumId w:val="25"/>
  </w:num>
  <w:num w:numId="5">
    <w:abstractNumId w:val="18"/>
  </w:num>
  <w:num w:numId="6">
    <w:abstractNumId w:val="6"/>
  </w:num>
  <w:num w:numId="7">
    <w:abstractNumId w:val="1"/>
  </w:num>
  <w:num w:numId="8">
    <w:abstractNumId w:val="21"/>
  </w:num>
  <w:num w:numId="9">
    <w:abstractNumId w:val="7"/>
  </w:num>
  <w:num w:numId="10">
    <w:abstractNumId w:val="16"/>
  </w:num>
  <w:num w:numId="11">
    <w:abstractNumId w:val="27"/>
  </w:num>
  <w:num w:numId="12">
    <w:abstractNumId w:val="5"/>
  </w:num>
  <w:num w:numId="13">
    <w:abstractNumId w:val="15"/>
  </w:num>
  <w:num w:numId="14">
    <w:abstractNumId w:val="3"/>
  </w:num>
  <w:num w:numId="15">
    <w:abstractNumId w:val="14"/>
  </w:num>
  <w:num w:numId="16">
    <w:abstractNumId w:val="26"/>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3"/>
  </w:num>
  <w:num w:numId="19">
    <w:abstractNumId w:val="1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 w:numId="22">
    <w:abstractNumId w:val="10"/>
  </w:num>
  <w:num w:numId="23">
    <w:abstractNumId w:val="17"/>
  </w:num>
  <w:num w:numId="24">
    <w:abstractNumId w:val="23"/>
  </w:num>
  <w:num w:numId="25">
    <w:abstractNumId w:val="24"/>
  </w:num>
  <w:num w:numId="26">
    <w:abstractNumId w:val="2"/>
  </w:num>
  <w:num w:numId="27">
    <w:abstractNumId w:val="8"/>
  </w:num>
  <w:num w:numId="28">
    <w:abstractNumId w:val="19"/>
  </w:num>
  <w:num w:numId="2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174"/>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24"/>
    <w:rsid w:val="00020464"/>
    <w:rsid w:val="00020662"/>
    <w:rsid w:val="00020690"/>
    <w:rsid w:val="0002074A"/>
    <w:rsid w:val="00020B64"/>
    <w:rsid w:val="00021335"/>
    <w:rsid w:val="0002180A"/>
    <w:rsid w:val="000218D1"/>
    <w:rsid w:val="000219E5"/>
    <w:rsid w:val="00022423"/>
    <w:rsid w:val="00023242"/>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427"/>
    <w:rsid w:val="0004795F"/>
    <w:rsid w:val="00047A40"/>
    <w:rsid w:val="00051030"/>
    <w:rsid w:val="00051601"/>
    <w:rsid w:val="0005186B"/>
    <w:rsid w:val="000526FF"/>
    <w:rsid w:val="0005277B"/>
    <w:rsid w:val="00053989"/>
    <w:rsid w:val="00053E42"/>
    <w:rsid w:val="00053EB2"/>
    <w:rsid w:val="000549BA"/>
    <w:rsid w:val="000550EF"/>
    <w:rsid w:val="000555F0"/>
    <w:rsid w:val="00055B21"/>
    <w:rsid w:val="00056C5E"/>
    <w:rsid w:val="00057B8F"/>
    <w:rsid w:val="000601B0"/>
    <w:rsid w:val="000605D7"/>
    <w:rsid w:val="00060DD0"/>
    <w:rsid w:val="000611F3"/>
    <w:rsid w:val="00062AE2"/>
    <w:rsid w:val="00062E5A"/>
    <w:rsid w:val="00062F52"/>
    <w:rsid w:val="00063B14"/>
    <w:rsid w:val="0006427B"/>
    <w:rsid w:val="000642D1"/>
    <w:rsid w:val="000643A3"/>
    <w:rsid w:val="0006440F"/>
    <w:rsid w:val="000648F2"/>
    <w:rsid w:val="00065C27"/>
    <w:rsid w:val="00066495"/>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5AFE"/>
    <w:rsid w:val="00075EC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CAB"/>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ADD"/>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6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214"/>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AB4"/>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3EA8"/>
    <w:rsid w:val="00124252"/>
    <w:rsid w:val="00124802"/>
    <w:rsid w:val="00124944"/>
    <w:rsid w:val="00124B29"/>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684"/>
    <w:rsid w:val="001469DA"/>
    <w:rsid w:val="00147307"/>
    <w:rsid w:val="0014774C"/>
    <w:rsid w:val="00147803"/>
    <w:rsid w:val="00147D6A"/>
    <w:rsid w:val="00150F51"/>
    <w:rsid w:val="001516D8"/>
    <w:rsid w:val="00151825"/>
    <w:rsid w:val="00151994"/>
    <w:rsid w:val="00151ABA"/>
    <w:rsid w:val="0015239C"/>
    <w:rsid w:val="001528ED"/>
    <w:rsid w:val="001530E6"/>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53"/>
    <w:rsid w:val="001A0786"/>
    <w:rsid w:val="001A1533"/>
    <w:rsid w:val="001A1AB0"/>
    <w:rsid w:val="001A1AB3"/>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2C7"/>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226"/>
    <w:rsid w:val="001E73A7"/>
    <w:rsid w:val="001E7909"/>
    <w:rsid w:val="001E7CF7"/>
    <w:rsid w:val="001F02FC"/>
    <w:rsid w:val="001F099B"/>
    <w:rsid w:val="001F15B4"/>
    <w:rsid w:val="001F16E6"/>
    <w:rsid w:val="001F1AFB"/>
    <w:rsid w:val="001F1E8A"/>
    <w:rsid w:val="001F2C22"/>
    <w:rsid w:val="001F3907"/>
    <w:rsid w:val="001F3AB5"/>
    <w:rsid w:val="001F4191"/>
    <w:rsid w:val="001F43EF"/>
    <w:rsid w:val="001F463C"/>
    <w:rsid w:val="001F4697"/>
    <w:rsid w:val="001F4B1C"/>
    <w:rsid w:val="001F4B45"/>
    <w:rsid w:val="001F4D38"/>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650F"/>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EB7"/>
    <w:rsid w:val="00230EC6"/>
    <w:rsid w:val="00230EC9"/>
    <w:rsid w:val="00230FED"/>
    <w:rsid w:val="00231333"/>
    <w:rsid w:val="00231913"/>
    <w:rsid w:val="00231FF4"/>
    <w:rsid w:val="0023377B"/>
    <w:rsid w:val="00233CFA"/>
    <w:rsid w:val="002348BC"/>
    <w:rsid w:val="00234C5F"/>
    <w:rsid w:val="00234F02"/>
    <w:rsid w:val="002358B5"/>
    <w:rsid w:val="00235939"/>
    <w:rsid w:val="00236663"/>
    <w:rsid w:val="00236AFB"/>
    <w:rsid w:val="00236C6E"/>
    <w:rsid w:val="00236EB4"/>
    <w:rsid w:val="00237E42"/>
    <w:rsid w:val="0024005F"/>
    <w:rsid w:val="00240974"/>
    <w:rsid w:val="00240D6A"/>
    <w:rsid w:val="002418D1"/>
    <w:rsid w:val="002420FA"/>
    <w:rsid w:val="0024341E"/>
    <w:rsid w:val="0024423D"/>
    <w:rsid w:val="0024432E"/>
    <w:rsid w:val="00244AD5"/>
    <w:rsid w:val="00244CE5"/>
    <w:rsid w:val="00244E0D"/>
    <w:rsid w:val="00244EC5"/>
    <w:rsid w:val="00245579"/>
    <w:rsid w:val="002455BE"/>
    <w:rsid w:val="002460C4"/>
    <w:rsid w:val="002461C3"/>
    <w:rsid w:val="002470BB"/>
    <w:rsid w:val="002478CB"/>
    <w:rsid w:val="00247BC2"/>
    <w:rsid w:val="002501CF"/>
    <w:rsid w:val="00250998"/>
    <w:rsid w:val="0025130E"/>
    <w:rsid w:val="00251463"/>
    <w:rsid w:val="00251908"/>
    <w:rsid w:val="00251AE9"/>
    <w:rsid w:val="00251B67"/>
    <w:rsid w:val="002527A1"/>
    <w:rsid w:val="00252BA2"/>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1B7"/>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87205"/>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5F7"/>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3B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6794"/>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C27"/>
    <w:rsid w:val="002E4D02"/>
    <w:rsid w:val="002E55A2"/>
    <w:rsid w:val="002E5C6F"/>
    <w:rsid w:val="002E6792"/>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7B9"/>
    <w:rsid w:val="0032797F"/>
    <w:rsid w:val="00327B03"/>
    <w:rsid w:val="00327EF9"/>
    <w:rsid w:val="00327FCD"/>
    <w:rsid w:val="00330243"/>
    <w:rsid w:val="0033066C"/>
    <w:rsid w:val="003308B6"/>
    <w:rsid w:val="00331B63"/>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AD"/>
    <w:rsid w:val="00350AEE"/>
    <w:rsid w:val="003512A1"/>
    <w:rsid w:val="00351328"/>
    <w:rsid w:val="003514E1"/>
    <w:rsid w:val="0035163A"/>
    <w:rsid w:val="003517BE"/>
    <w:rsid w:val="003534A5"/>
    <w:rsid w:val="00353D8F"/>
    <w:rsid w:val="00353E83"/>
    <w:rsid w:val="00354768"/>
    <w:rsid w:val="00355206"/>
    <w:rsid w:val="0035576E"/>
    <w:rsid w:val="003557D8"/>
    <w:rsid w:val="00357459"/>
    <w:rsid w:val="003609F7"/>
    <w:rsid w:val="00360B4B"/>
    <w:rsid w:val="003612CF"/>
    <w:rsid w:val="00361435"/>
    <w:rsid w:val="00361788"/>
    <w:rsid w:val="003617BB"/>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4FE7"/>
    <w:rsid w:val="003753EA"/>
    <w:rsid w:val="00375E5A"/>
    <w:rsid w:val="00376303"/>
    <w:rsid w:val="0037657E"/>
    <w:rsid w:val="0037674E"/>
    <w:rsid w:val="00376E48"/>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E5"/>
    <w:rsid w:val="003878AD"/>
    <w:rsid w:val="00387A87"/>
    <w:rsid w:val="00387BA4"/>
    <w:rsid w:val="00387CB5"/>
    <w:rsid w:val="00390A6F"/>
    <w:rsid w:val="00391826"/>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96D"/>
    <w:rsid w:val="003A1C0F"/>
    <w:rsid w:val="003A249A"/>
    <w:rsid w:val="003A3229"/>
    <w:rsid w:val="003A32A2"/>
    <w:rsid w:val="003A3E1F"/>
    <w:rsid w:val="003A4339"/>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C7B"/>
    <w:rsid w:val="003D1EFA"/>
    <w:rsid w:val="003D246C"/>
    <w:rsid w:val="003D2A12"/>
    <w:rsid w:val="003D3513"/>
    <w:rsid w:val="003D3737"/>
    <w:rsid w:val="003D3F93"/>
    <w:rsid w:val="003D41F9"/>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9A4"/>
    <w:rsid w:val="00407A40"/>
    <w:rsid w:val="00407FF9"/>
    <w:rsid w:val="004102A2"/>
    <w:rsid w:val="00410579"/>
    <w:rsid w:val="004105DB"/>
    <w:rsid w:val="00411DE9"/>
    <w:rsid w:val="00412138"/>
    <w:rsid w:val="00412BAF"/>
    <w:rsid w:val="0041346E"/>
    <w:rsid w:val="00413489"/>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28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B72"/>
    <w:rsid w:val="00443FD4"/>
    <w:rsid w:val="004445A4"/>
    <w:rsid w:val="00445605"/>
    <w:rsid w:val="00445800"/>
    <w:rsid w:val="0044602B"/>
    <w:rsid w:val="0044606C"/>
    <w:rsid w:val="00446622"/>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1B30"/>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C00"/>
    <w:rsid w:val="00492E39"/>
    <w:rsid w:val="004937DA"/>
    <w:rsid w:val="00493AAA"/>
    <w:rsid w:val="004943E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206"/>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3C74"/>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52B8"/>
    <w:rsid w:val="004C6A32"/>
    <w:rsid w:val="004C72C7"/>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83D"/>
    <w:rsid w:val="00505D2D"/>
    <w:rsid w:val="005068E4"/>
    <w:rsid w:val="00506CAE"/>
    <w:rsid w:val="00507279"/>
    <w:rsid w:val="00507514"/>
    <w:rsid w:val="00507B00"/>
    <w:rsid w:val="00507B9C"/>
    <w:rsid w:val="0051139E"/>
    <w:rsid w:val="00511476"/>
    <w:rsid w:val="00511EB5"/>
    <w:rsid w:val="00512B93"/>
    <w:rsid w:val="00512F02"/>
    <w:rsid w:val="005137EF"/>
    <w:rsid w:val="00514F6B"/>
    <w:rsid w:val="00515269"/>
    <w:rsid w:val="00515608"/>
    <w:rsid w:val="00515646"/>
    <w:rsid w:val="00516203"/>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6EBD"/>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6DF3"/>
    <w:rsid w:val="00586EDD"/>
    <w:rsid w:val="005873E4"/>
    <w:rsid w:val="0058777F"/>
    <w:rsid w:val="00587F45"/>
    <w:rsid w:val="00590180"/>
    <w:rsid w:val="00590253"/>
    <w:rsid w:val="00590442"/>
    <w:rsid w:val="00592161"/>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1017"/>
    <w:rsid w:val="005C1723"/>
    <w:rsid w:val="005C17BB"/>
    <w:rsid w:val="005C1907"/>
    <w:rsid w:val="005C222C"/>
    <w:rsid w:val="005C23A2"/>
    <w:rsid w:val="005C2561"/>
    <w:rsid w:val="005C296A"/>
    <w:rsid w:val="005C2BB3"/>
    <w:rsid w:val="005C30D3"/>
    <w:rsid w:val="005C382B"/>
    <w:rsid w:val="005C3FD8"/>
    <w:rsid w:val="005C3FF1"/>
    <w:rsid w:val="005C46CB"/>
    <w:rsid w:val="005C4CA8"/>
    <w:rsid w:val="005C5021"/>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828"/>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3451"/>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DBD"/>
    <w:rsid w:val="006523AD"/>
    <w:rsid w:val="006523C6"/>
    <w:rsid w:val="0065251A"/>
    <w:rsid w:val="00652940"/>
    <w:rsid w:val="00652BD8"/>
    <w:rsid w:val="00652D90"/>
    <w:rsid w:val="00654128"/>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4DB"/>
    <w:rsid w:val="0067485D"/>
    <w:rsid w:val="006752B6"/>
    <w:rsid w:val="006758D1"/>
    <w:rsid w:val="00675EC1"/>
    <w:rsid w:val="00675FE2"/>
    <w:rsid w:val="006761BE"/>
    <w:rsid w:val="0067642D"/>
    <w:rsid w:val="0067698A"/>
    <w:rsid w:val="00676C5E"/>
    <w:rsid w:val="00676DCA"/>
    <w:rsid w:val="00676E1C"/>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4EF6"/>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7A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A7B"/>
    <w:rsid w:val="006D2020"/>
    <w:rsid w:val="006D32D6"/>
    <w:rsid w:val="006D3D0F"/>
    <w:rsid w:val="006D4101"/>
    <w:rsid w:val="006D4A70"/>
    <w:rsid w:val="006D54CC"/>
    <w:rsid w:val="006D7134"/>
    <w:rsid w:val="006D765E"/>
    <w:rsid w:val="006D7813"/>
    <w:rsid w:val="006E1113"/>
    <w:rsid w:val="006E1B28"/>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6C5"/>
    <w:rsid w:val="006F4AA6"/>
    <w:rsid w:val="006F4DBC"/>
    <w:rsid w:val="006F4DF6"/>
    <w:rsid w:val="006F4F21"/>
    <w:rsid w:val="006F5D05"/>
    <w:rsid w:val="006F60F7"/>
    <w:rsid w:val="006F67E4"/>
    <w:rsid w:val="006F6978"/>
    <w:rsid w:val="006F69FB"/>
    <w:rsid w:val="006F6AC9"/>
    <w:rsid w:val="006F6B45"/>
    <w:rsid w:val="006F6E6E"/>
    <w:rsid w:val="006F7BA6"/>
    <w:rsid w:val="00700483"/>
    <w:rsid w:val="0070056D"/>
    <w:rsid w:val="007005C3"/>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3D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5FC0"/>
    <w:rsid w:val="0072664F"/>
    <w:rsid w:val="00726CE3"/>
    <w:rsid w:val="00726E61"/>
    <w:rsid w:val="00727071"/>
    <w:rsid w:val="00727242"/>
    <w:rsid w:val="007302F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8F3"/>
    <w:rsid w:val="0074697D"/>
    <w:rsid w:val="00746C63"/>
    <w:rsid w:val="00746F72"/>
    <w:rsid w:val="007500E4"/>
    <w:rsid w:val="00750434"/>
    <w:rsid w:val="00751CF0"/>
    <w:rsid w:val="00751D05"/>
    <w:rsid w:val="00752B1A"/>
    <w:rsid w:val="00753A6B"/>
    <w:rsid w:val="00753B19"/>
    <w:rsid w:val="00754D7D"/>
    <w:rsid w:val="007550B4"/>
    <w:rsid w:val="007550B8"/>
    <w:rsid w:val="00755C11"/>
    <w:rsid w:val="00755D21"/>
    <w:rsid w:val="00756013"/>
    <w:rsid w:val="00756027"/>
    <w:rsid w:val="00756EDA"/>
    <w:rsid w:val="00757096"/>
    <w:rsid w:val="0075711F"/>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2B"/>
    <w:rsid w:val="00770C66"/>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4EA"/>
    <w:rsid w:val="00776855"/>
    <w:rsid w:val="007771C3"/>
    <w:rsid w:val="00777BB6"/>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4FE7"/>
    <w:rsid w:val="007850F8"/>
    <w:rsid w:val="00785429"/>
    <w:rsid w:val="0078574E"/>
    <w:rsid w:val="00786A8F"/>
    <w:rsid w:val="00790FEC"/>
    <w:rsid w:val="007910CE"/>
    <w:rsid w:val="00791761"/>
    <w:rsid w:val="00791CC0"/>
    <w:rsid w:val="00791DAA"/>
    <w:rsid w:val="0079227B"/>
    <w:rsid w:val="00792480"/>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635"/>
    <w:rsid w:val="007B1E57"/>
    <w:rsid w:val="007B2724"/>
    <w:rsid w:val="007B27D2"/>
    <w:rsid w:val="007B296A"/>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09AF"/>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243"/>
    <w:rsid w:val="007F247A"/>
    <w:rsid w:val="007F275A"/>
    <w:rsid w:val="007F2B2B"/>
    <w:rsid w:val="007F2B6A"/>
    <w:rsid w:val="007F3094"/>
    <w:rsid w:val="007F321F"/>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61D"/>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2D64"/>
    <w:rsid w:val="008238B8"/>
    <w:rsid w:val="0082472F"/>
    <w:rsid w:val="00824D2A"/>
    <w:rsid w:val="008272EC"/>
    <w:rsid w:val="008279B6"/>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418A"/>
    <w:rsid w:val="00834639"/>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B3"/>
    <w:rsid w:val="0084318E"/>
    <w:rsid w:val="0084342E"/>
    <w:rsid w:val="008436A4"/>
    <w:rsid w:val="008436D5"/>
    <w:rsid w:val="0084379E"/>
    <w:rsid w:val="00843EF9"/>
    <w:rsid w:val="00844161"/>
    <w:rsid w:val="00844D48"/>
    <w:rsid w:val="00845A0A"/>
    <w:rsid w:val="00846038"/>
    <w:rsid w:val="008461DE"/>
    <w:rsid w:val="00846244"/>
    <w:rsid w:val="0084627F"/>
    <w:rsid w:val="0084692B"/>
    <w:rsid w:val="00846A26"/>
    <w:rsid w:val="008475CA"/>
    <w:rsid w:val="00847D73"/>
    <w:rsid w:val="008503DA"/>
    <w:rsid w:val="008505D7"/>
    <w:rsid w:val="008509C9"/>
    <w:rsid w:val="008523CC"/>
    <w:rsid w:val="00852E67"/>
    <w:rsid w:val="00853B27"/>
    <w:rsid w:val="0085400A"/>
    <w:rsid w:val="0085443D"/>
    <w:rsid w:val="00854ADF"/>
    <w:rsid w:val="00854E3F"/>
    <w:rsid w:val="0085554B"/>
    <w:rsid w:val="00855B90"/>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77B01"/>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324"/>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BDE"/>
    <w:rsid w:val="008D3F73"/>
    <w:rsid w:val="008D59F7"/>
    <w:rsid w:val="008D5A2D"/>
    <w:rsid w:val="008D5B0A"/>
    <w:rsid w:val="008D6B28"/>
    <w:rsid w:val="008D6BDB"/>
    <w:rsid w:val="008D7109"/>
    <w:rsid w:val="008D748B"/>
    <w:rsid w:val="008D77D6"/>
    <w:rsid w:val="008D7D34"/>
    <w:rsid w:val="008D7E55"/>
    <w:rsid w:val="008E0739"/>
    <w:rsid w:val="008E0B1E"/>
    <w:rsid w:val="008E1130"/>
    <w:rsid w:val="008E2080"/>
    <w:rsid w:val="008E23B5"/>
    <w:rsid w:val="008E2C15"/>
    <w:rsid w:val="008E2C29"/>
    <w:rsid w:val="008E33EB"/>
    <w:rsid w:val="008E3533"/>
    <w:rsid w:val="008E3A79"/>
    <w:rsid w:val="008E4365"/>
    <w:rsid w:val="008E44C5"/>
    <w:rsid w:val="008E4FB2"/>
    <w:rsid w:val="008E51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3E2"/>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1F11"/>
    <w:rsid w:val="0092239E"/>
    <w:rsid w:val="0092246C"/>
    <w:rsid w:val="009224E7"/>
    <w:rsid w:val="0092276F"/>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A8E"/>
    <w:rsid w:val="00940CCA"/>
    <w:rsid w:val="00940E8F"/>
    <w:rsid w:val="0094126D"/>
    <w:rsid w:val="00941429"/>
    <w:rsid w:val="009416AD"/>
    <w:rsid w:val="009417D0"/>
    <w:rsid w:val="009428CB"/>
    <w:rsid w:val="00943794"/>
    <w:rsid w:val="009437DC"/>
    <w:rsid w:val="00944300"/>
    <w:rsid w:val="0094443D"/>
    <w:rsid w:val="0094506E"/>
    <w:rsid w:val="0094522B"/>
    <w:rsid w:val="00945ECD"/>
    <w:rsid w:val="0094654A"/>
    <w:rsid w:val="00946558"/>
    <w:rsid w:val="00946572"/>
    <w:rsid w:val="00946B58"/>
    <w:rsid w:val="00946BBA"/>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A95"/>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1B95"/>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293"/>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881"/>
    <w:rsid w:val="009B4B74"/>
    <w:rsid w:val="009B5880"/>
    <w:rsid w:val="009B5ACD"/>
    <w:rsid w:val="009B5BF1"/>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C92"/>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4E19"/>
    <w:rsid w:val="009D518E"/>
    <w:rsid w:val="009D53AC"/>
    <w:rsid w:val="009D5745"/>
    <w:rsid w:val="009D5DA2"/>
    <w:rsid w:val="009D7624"/>
    <w:rsid w:val="009D780D"/>
    <w:rsid w:val="009D7E52"/>
    <w:rsid w:val="009D7F29"/>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8A"/>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D0"/>
    <w:rsid w:val="00A01008"/>
    <w:rsid w:val="00A0124B"/>
    <w:rsid w:val="00A020D5"/>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F93"/>
    <w:rsid w:val="00A36FC4"/>
    <w:rsid w:val="00A40206"/>
    <w:rsid w:val="00A40958"/>
    <w:rsid w:val="00A40A6D"/>
    <w:rsid w:val="00A41640"/>
    <w:rsid w:val="00A41D8A"/>
    <w:rsid w:val="00A429AA"/>
    <w:rsid w:val="00A42C0B"/>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0B4C"/>
    <w:rsid w:val="00A50CEE"/>
    <w:rsid w:val="00A51BFF"/>
    <w:rsid w:val="00A51D95"/>
    <w:rsid w:val="00A51E1F"/>
    <w:rsid w:val="00A520E1"/>
    <w:rsid w:val="00A5226F"/>
    <w:rsid w:val="00A52C37"/>
    <w:rsid w:val="00A52DD9"/>
    <w:rsid w:val="00A52ED7"/>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6CE"/>
    <w:rsid w:val="00A70A64"/>
    <w:rsid w:val="00A70A7B"/>
    <w:rsid w:val="00A71E21"/>
    <w:rsid w:val="00A722EA"/>
    <w:rsid w:val="00A728D6"/>
    <w:rsid w:val="00A7299B"/>
    <w:rsid w:val="00A7399B"/>
    <w:rsid w:val="00A73A33"/>
    <w:rsid w:val="00A73ADE"/>
    <w:rsid w:val="00A73CC6"/>
    <w:rsid w:val="00A745F2"/>
    <w:rsid w:val="00A74703"/>
    <w:rsid w:val="00A74ECA"/>
    <w:rsid w:val="00A74F01"/>
    <w:rsid w:val="00A7605F"/>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3C2"/>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4AD"/>
    <w:rsid w:val="00AB3909"/>
    <w:rsid w:val="00AB393C"/>
    <w:rsid w:val="00AB4143"/>
    <w:rsid w:val="00AB488E"/>
    <w:rsid w:val="00AB4A58"/>
    <w:rsid w:val="00AB4D6C"/>
    <w:rsid w:val="00AB51DD"/>
    <w:rsid w:val="00AB58A4"/>
    <w:rsid w:val="00AB5A32"/>
    <w:rsid w:val="00AB617A"/>
    <w:rsid w:val="00AB6943"/>
    <w:rsid w:val="00AB6DFE"/>
    <w:rsid w:val="00AB7883"/>
    <w:rsid w:val="00AC01A2"/>
    <w:rsid w:val="00AC161C"/>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05"/>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0CB6"/>
    <w:rsid w:val="00B01117"/>
    <w:rsid w:val="00B01816"/>
    <w:rsid w:val="00B01C49"/>
    <w:rsid w:val="00B01F88"/>
    <w:rsid w:val="00B02E4D"/>
    <w:rsid w:val="00B03160"/>
    <w:rsid w:val="00B035C5"/>
    <w:rsid w:val="00B044CF"/>
    <w:rsid w:val="00B044D9"/>
    <w:rsid w:val="00B048D4"/>
    <w:rsid w:val="00B04EC5"/>
    <w:rsid w:val="00B05290"/>
    <w:rsid w:val="00B05458"/>
    <w:rsid w:val="00B05B45"/>
    <w:rsid w:val="00B05D0D"/>
    <w:rsid w:val="00B0637D"/>
    <w:rsid w:val="00B064CA"/>
    <w:rsid w:val="00B06B40"/>
    <w:rsid w:val="00B07386"/>
    <w:rsid w:val="00B0757A"/>
    <w:rsid w:val="00B075C2"/>
    <w:rsid w:val="00B07D3B"/>
    <w:rsid w:val="00B10062"/>
    <w:rsid w:val="00B10832"/>
    <w:rsid w:val="00B10ABD"/>
    <w:rsid w:val="00B121C9"/>
    <w:rsid w:val="00B128D7"/>
    <w:rsid w:val="00B12B67"/>
    <w:rsid w:val="00B12D6A"/>
    <w:rsid w:val="00B13B79"/>
    <w:rsid w:val="00B13D1E"/>
    <w:rsid w:val="00B14745"/>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307"/>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CB7"/>
    <w:rsid w:val="00B802EF"/>
    <w:rsid w:val="00B806A3"/>
    <w:rsid w:val="00B807B0"/>
    <w:rsid w:val="00B814E8"/>
    <w:rsid w:val="00B81794"/>
    <w:rsid w:val="00B827D1"/>
    <w:rsid w:val="00B82F31"/>
    <w:rsid w:val="00B83AE9"/>
    <w:rsid w:val="00B84406"/>
    <w:rsid w:val="00B84464"/>
    <w:rsid w:val="00B8482D"/>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CC"/>
    <w:rsid w:val="00B92BD1"/>
    <w:rsid w:val="00B93286"/>
    <w:rsid w:val="00B934CD"/>
    <w:rsid w:val="00B935A4"/>
    <w:rsid w:val="00B93D6F"/>
    <w:rsid w:val="00B93E60"/>
    <w:rsid w:val="00B94097"/>
    <w:rsid w:val="00B947A2"/>
    <w:rsid w:val="00B94B09"/>
    <w:rsid w:val="00B94DD0"/>
    <w:rsid w:val="00B95415"/>
    <w:rsid w:val="00B955C3"/>
    <w:rsid w:val="00B9579A"/>
    <w:rsid w:val="00B958FF"/>
    <w:rsid w:val="00B9657C"/>
    <w:rsid w:val="00B96992"/>
    <w:rsid w:val="00B9788E"/>
    <w:rsid w:val="00B97B6E"/>
    <w:rsid w:val="00B97DB5"/>
    <w:rsid w:val="00BA0B91"/>
    <w:rsid w:val="00BA15F9"/>
    <w:rsid w:val="00BA1811"/>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87B"/>
    <w:rsid w:val="00BA7FAD"/>
    <w:rsid w:val="00BB03B5"/>
    <w:rsid w:val="00BB057B"/>
    <w:rsid w:val="00BB073C"/>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A9C"/>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686D"/>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81B"/>
    <w:rsid w:val="00C5497A"/>
    <w:rsid w:val="00C55E50"/>
    <w:rsid w:val="00C56370"/>
    <w:rsid w:val="00C57176"/>
    <w:rsid w:val="00C571F6"/>
    <w:rsid w:val="00C5751B"/>
    <w:rsid w:val="00C60DE1"/>
    <w:rsid w:val="00C6124F"/>
    <w:rsid w:val="00C615C8"/>
    <w:rsid w:val="00C61B32"/>
    <w:rsid w:val="00C6255C"/>
    <w:rsid w:val="00C63FEE"/>
    <w:rsid w:val="00C64668"/>
    <w:rsid w:val="00C64915"/>
    <w:rsid w:val="00C64A66"/>
    <w:rsid w:val="00C64D20"/>
    <w:rsid w:val="00C64D52"/>
    <w:rsid w:val="00C65088"/>
    <w:rsid w:val="00C65181"/>
    <w:rsid w:val="00C65556"/>
    <w:rsid w:val="00C6560E"/>
    <w:rsid w:val="00C65686"/>
    <w:rsid w:val="00C656FA"/>
    <w:rsid w:val="00C662C9"/>
    <w:rsid w:val="00C67146"/>
    <w:rsid w:val="00C6771F"/>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020"/>
    <w:rsid w:val="00C9278A"/>
    <w:rsid w:val="00C93479"/>
    <w:rsid w:val="00C93E4C"/>
    <w:rsid w:val="00C94DC8"/>
    <w:rsid w:val="00C94E77"/>
    <w:rsid w:val="00C95B50"/>
    <w:rsid w:val="00C95DD2"/>
    <w:rsid w:val="00C96481"/>
    <w:rsid w:val="00C97032"/>
    <w:rsid w:val="00CA082F"/>
    <w:rsid w:val="00CA09C2"/>
    <w:rsid w:val="00CA0AB3"/>
    <w:rsid w:val="00CA181E"/>
    <w:rsid w:val="00CA215A"/>
    <w:rsid w:val="00CA29BC"/>
    <w:rsid w:val="00CA29D5"/>
    <w:rsid w:val="00CA3369"/>
    <w:rsid w:val="00CA3F59"/>
    <w:rsid w:val="00CA406D"/>
    <w:rsid w:val="00CA4E0C"/>
    <w:rsid w:val="00CA505E"/>
    <w:rsid w:val="00CA519A"/>
    <w:rsid w:val="00CA5289"/>
    <w:rsid w:val="00CA5709"/>
    <w:rsid w:val="00CA586D"/>
    <w:rsid w:val="00CA6A11"/>
    <w:rsid w:val="00CA6E50"/>
    <w:rsid w:val="00CA7707"/>
    <w:rsid w:val="00CA7AC9"/>
    <w:rsid w:val="00CA7DB9"/>
    <w:rsid w:val="00CB0D96"/>
    <w:rsid w:val="00CB0F18"/>
    <w:rsid w:val="00CB1732"/>
    <w:rsid w:val="00CB1952"/>
    <w:rsid w:val="00CB1ABD"/>
    <w:rsid w:val="00CB1E40"/>
    <w:rsid w:val="00CB2910"/>
    <w:rsid w:val="00CB2AC8"/>
    <w:rsid w:val="00CB31FF"/>
    <w:rsid w:val="00CB32F7"/>
    <w:rsid w:val="00CB3579"/>
    <w:rsid w:val="00CB44D3"/>
    <w:rsid w:val="00CB4665"/>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054"/>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3354"/>
    <w:rsid w:val="00D248F7"/>
    <w:rsid w:val="00D252E9"/>
    <w:rsid w:val="00D2558D"/>
    <w:rsid w:val="00D26312"/>
    <w:rsid w:val="00D26419"/>
    <w:rsid w:val="00D26485"/>
    <w:rsid w:val="00D268F8"/>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3EE0"/>
    <w:rsid w:val="00D5416E"/>
    <w:rsid w:val="00D54194"/>
    <w:rsid w:val="00D54497"/>
    <w:rsid w:val="00D548D5"/>
    <w:rsid w:val="00D54BAD"/>
    <w:rsid w:val="00D54E77"/>
    <w:rsid w:val="00D5501D"/>
    <w:rsid w:val="00D550E6"/>
    <w:rsid w:val="00D55AD6"/>
    <w:rsid w:val="00D5648A"/>
    <w:rsid w:val="00D56625"/>
    <w:rsid w:val="00D5689B"/>
    <w:rsid w:val="00D56B30"/>
    <w:rsid w:val="00D60342"/>
    <w:rsid w:val="00D603DC"/>
    <w:rsid w:val="00D60E23"/>
    <w:rsid w:val="00D62203"/>
    <w:rsid w:val="00D62E5B"/>
    <w:rsid w:val="00D6320B"/>
    <w:rsid w:val="00D63479"/>
    <w:rsid w:val="00D635E9"/>
    <w:rsid w:val="00D63DCB"/>
    <w:rsid w:val="00D64006"/>
    <w:rsid w:val="00D642BF"/>
    <w:rsid w:val="00D64324"/>
    <w:rsid w:val="00D64601"/>
    <w:rsid w:val="00D65150"/>
    <w:rsid w:val="00D6534E"/>
    <w:rsid w:val="00D65603"/>
    <w:rsid w:val="00D658AE"/>
    <w:rsid w:val="00D658D6"/>
    <w:rsid w:val="00D6596D"/>
    <w:rsid w:val="00D664A4"/>
    <w:rsid w:val="00D66558"/>
    <w:rsid w:val="00D6664A"/>
    <w:rsid w:val="00D6666E"/>
    <w:rsid w:val="00D66D54"/>
    <w:rsid w:val="00D66EDA"/>
    <w:rsid w:val="00D67CF1"/>
    <w:rsid w:val="00D717A6"/>
    <w:rsid w:val="00D718C7"/>
    <w:rsid w:val="00D71FCA"/>
    <w:rsid w:val="00D7361F"/>
    <w:rsid w:val="00D73D1E"/>
    <w:rsid w:val="00D744C7"/>
    <w:rsid w:val="00D747FE"/>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4B78"/>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08C"/>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C8A"/>
    <w:rsid w:val="00DA1DEA"/>
    <w:rsid w:val="00DA20E9"/>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0F8E"/>
    <w:rsid w:val="00DD1079"/>
    <w:rsid w:val="00DD10C7"/>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C47"/>
    <w:rsid w:val="00DF0EF9"/>
    <w:rsid w:val="00DF0F9E"/>
    <w:rsid w:val="00DF106D"/>
    <w:rsid w:val="00DF118A"/>
    <w:rsid w:val="00DF1281"/>
    <w:rsid w:val="00DF1627"/>
    <w:rsid w:val="00DF199B"/>
    <w:rsid w:val="00DF1E2D"/>
    <w:rsid w:val="00DF1E3E"/>
    <w:rsid w:val="00DF201C"/>
    <w:rsid w:val="00DF23CA"/>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22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D3E"/>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CC0"/>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6B"/>
    <w:rsid w:val="00E26BEC"/>
    <w:rsid w:val="00E2797A"/>
    <w:rsid w:val="00E30460"/>
    <w:rsid w:val="00E31E1A"/>
    <w:rsid w:val="00E31F40"/>
    <w:rsid w:val="00E32A79"/>
    <w:rsid w:val="00E33CB9"/>
    <w:rsid w:val="00E343BD"/>
    <w:rsid w:val="00E35A26"/>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3C5E"/>
    <w:rsid w:val="00E5436C"/>
    <w:rsid w:val="00E5448C"/>
    <w:rsid w:val="00E545B7"/>
    <w:rsid w:val="00E5470D"/>
    <w:rsid w:val="00E54D84"/>
    <w:rsid w:val="00E55033"/>
    <w:rsid w:val="00E55073"/>
    <w:rsid w:val="00E564FD"/>
    <w:rsid w:val="00E57073"/>
    <w:rsid w:val="00E57238"/>
    <w:rsid w:val="00E57ADD"/>
    <w:rsid w:val="00E57BEA"/>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2FA1"/>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F58"/>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07F"/>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D7EC8"/>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243"/>
    <w:rsid w:val="00EF5F75"/>
    <w:rsid w:val="00EF61F8"/>
    <w:rsid w:val="00EF638A"/>
    <w:rsid w:val="00EF6714"/>
    <w:rsid w:val="00EF6B9A"/>
    <w:rsid w:val="00EF738A"/>
    <w:rsid w:val="00EF74F9"/>
    <w:rsid w:val="00EF7C60"/>
    <w:rsid w:val="00F002E7"/>
    <w:rsid w:val="00F00AED"/>
    <w:rsid w:val="00F00C6A"/>
    <w:rsid w:val="00F00CB7"/>
    <w:rsid w:val="00F00ED9"/>
    <w:rsid w:val="00F00F67"/>
    <w:rsid w:val="00F01AFB"/>
    <w:rsid w:val="00F023E8"/>
    <w:rsid w:val="00F02502"/>
    <w:rsid w:val="00F02647"/>
    <w:rsid w:val="00F03822"/>
    <w:rsid w:val="00F03B3A"/>
    <w:rsid w:val="00F03D2F"/>
    <w:rsid w:val="00F03E56"/>
    <w:rsid w:val="00F044B5"/>
    <w:rsid w:val="00F04846"/>
    <w:rsid w:val="00F04D2A"/>
    <w:rsid w:val="00F0511D"/>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0993"/>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20795"/>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3EE"/>
    <w:rsid w:val="00F45965"/>
    <w:rsid w:val="00F46FDC"/>
    <w:rsid w:val="00F47367"/>
    <w:rsid w:val="00F47BEA"/>
    <w:rsid w:val="00F47CAD"/>
    <w:rsid w:val="00F50F32"/>
    <w:rsid w:val="00F5110D"/>
    <w:rsid w:val="00F51233"/>
    <w:rsid w:val="00F5187D"/>
    <w:rsid w:val="00F520BD"/>
    <w:rsid w:val="00F52547"/>
    <w:rsid w:val="00F52855"/>
    <w:rsid w:val="00F52867"/>
    <w:rsid w:val="00F5292D"/>
    <w:rsid w:val="00F53A5A"/>
    <w:rsid w:val="00F53BC0"/>
    <w:rsid w:val="00F54746"/>
    <w:rsid w:val="00F5503E"/>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26CA"/>
    <w:rsid w:val="00F8374B"/>
    <w:rsid w:val="00F83DDB"/>
    <w:rsid w:val="00F84499"/>
    <w:rsid w:val="00F84965"/>
    <w:rsid w:val="00F84DCD"/>
    <w:rsid w:val="00F85299"/>
    <w:rsid w:val="00F85976"/>
    <w:rsid w:val="00F859E5"/>
    <w:rsid w:val="00F85BD6"/>
    <w:rsid w:val="00F85D53"/>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3AD"/>
    <w:rsid w:val="00FB3A04"/>
    <w:rsid w:val="00FB3A69"/>
    <w:rsid w:val="00FB4096"/>
    <w:rsid w:val="00FB4845"/>
    <w:rsid w:val="00FB4C76"/>
    <w:rsid w:val="00FB6560"/>
    <w:rsid w:val="00FB678B"/>
    <w:rsid w:val="00FB6CE4"/>
    <w:rsid w:val="00FB75B5"/>
    <w:rsid w:val="00FB7E90"/>
    <w:rsid w:val="00FC0685"/>
    <w:rsid w:val="00FC069F"/>
    <w:rsid w:val="00FC0AF1"/>
    <w:rsid w:val="00FC100C"/>
    <w:rsid w:val="00FC10D3"/>
    <w:rsid w:val="00FC13BC"/>
    <w:rsid w:val="00FC1614"/>
    <w:rsid w:val="00FC1696"/>
    <w:rsid w:val="00FC1848"/>
    <w:rsid w:val="00FC2417"/>
    <w:rsid w:val="00FC2762"/>
    <w:rsid w:val="00FC31A5"/>
    <w:rsid w:val="00FC502D"/>
    <w:rsid w:val="00FC50C6"/>
    <w:rsid w:val="00FC5AA5"/>
    <w:rsid w:val="00FC6066"/>
    <w:rsid w:val="00FC6354"/>
    <w:rsid w:val="00FC692F"/>
    <w:rsid w:val="00FC6995"/>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1F8"/>
    <w:rsid w:val="00FE26B0"/>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character" w:styleId="PlaceholderText">
    <w:name w:val="Placeholder Text"/>
    <w:basedOn w:val="DefaultParagraphFont"/>
    <w:uiPriority w:val="99"/>
    <w:semiHidden/>
    <w:rsid w:val="00D940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58486369">
      <w:bodyDiv w:val="1"/>
      <w:marLeft w:val="0"/>
      <w:marRight w:val="0"/>
      <w:marTop w:val="0"/>
      <w:marBottom w:val="0"/>
      <w:divBdr>
        <w:top w:val="none" w:sz="0" w:space="0" w:color="auto"/>
        <w:left w:val="none" w:sz="0" w:space="0" w:color="auto"/>
        <w:bottom w:val="none" w:sz="0" w:space="0" w:color="auto"/>
        <w:right w:val="none" w:sz="0" w:space="0" w:color="auto"/>
      </w:divBdr>
      <w:divsChild>
        <w:div w:id="950555905">
          <w:marLeft w:val="360"/>
          <w:marRight w:val="0"/>
          <w:marTop w:val="2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4</Pages>
  <Words>1840</Words>
  <Characters>10492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4</cp:revision>
  <cp:lastPrinted>2017-09-11T16:45:00Z</cp:lastPrinted>
  <dcterms:created xsi:type="dcterms:W3CDTF">2021-05-11T19:16:00Z</dcterms:created>
  <dcterms:modified xsi:type="dcterms:W3CDTF">2021-05-11T19:25:00Z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