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7A40EE" w:rsidRPr="007A40EE">
        <w:rPr>
          <w:rFonts w:ascii="Arial" w:hAnsi="Arial" w:cs="Arial"/>
          <w:b/>
          <w:sz w:val="24"/>
          <w:lang w:val="en-US" w:eastAsia="zh-CN"/>
        </w:rPr>
        <w:t>R4-2015759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3A33" w:rsidRPr="00353A33">
        <w:rPr>
          <w:rFonts w:ascii="Arial" w:eastAsia="宋体" w:hAnsi="Arial"/>
          <w:b/>
          <w:sz w:val="24"/>
          <w:lang w:val="en-US" w:eastAsia="zh-CN"/>
        </w:rPr>
        <w:t>Discussion on accuracy requirements for RSTD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53A33">
        <w:rPr>
          <w:rFonts w:ascii="Arial" w:eastAsia="宋体" w:hAnsi="Arial"/>
          <w:b/>
          <w:sz w:val="24"/>
          <w:lang w:val="en-US" w:eastAsia="zh-CN"/>
        </w:rPr>
        <w:t>7.7.3.2.1.1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353A33">
        <w:rPr>
          <w:rFonts w:eastAsia="宋体" w:hint="eastAsia"/>
          <w:lang w:eastAsia="zh-CN"/>
        </w:rPr>
        <w:t>RSTD</w:t>
      </w:r>
      <w:r w:rsidR="00353A33">
        <w:rPr>
          <w:rFonts w:eastAsia="宋体"/>
          <w:lang w:eastAsia="zh-CN"/>
        </w:rPr>
        <w:t xml:space="preserve"> measurements</w:t>
      </w:r>
      <w:r>
        <w:rPr>
          <w:rFonts w:eastAsia="宋体"/>
          <w:lang w:eastAsia="zh-CN"/>
        </w:rPr>
        <w:t xml:space="preserve"> h</w:t>
      </w:r>
      <w:r w:rsidR="00B849D0">
        <w:rPr>
          <w:rFonts w:eastAsia="宋体"/>
          <w:lang w:eastAsia="zh-CN"/>
        </w:rPr>
        <w:t>ave been concluded in RAN4#96-e.</w:t>
      </w:r>
      <w:r>
        <w:rPr>
          <w:rFonts w:eastAsia="宋体"/>
          <w:lang w:eastAsia="zh-CN"/>
        </w:rPr>
        <w:t xml:space="preserve"> </w:t>
      </w:r>
      <w:r w:rsidR="00353A33">
        <w:rPr>
          <w:rFonts w:eastAsia="宋体"/>
          <w:lang w:eastAsia="zh-CN"/>
        </w:rPr>
        <w:t>During the core requirement discussion, some discussions on the accuracy requirements also took place. The latest agreements are captured in [1]</w:t>
      </w:r>
      <w:r w:rsidR="00D510DE">
        <w:rPr>
          <w:rFonts w:eastAsia="宋体"/>
          <w:lang w:eastAsia="zh-CN"/>
        </w:rPr>
        <w:t xml:space="preserve"> which includes a number of open issues related to the side condition and accuracy for RSTD.</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sidR="00F558C7">
        <w:rPr>
          <w:rFonts w:eastAsia="宋体"/>
          <w:lang w:eastAsia="zh-CN"/>
        </w:rPr>
        <w:t xml:space="preserve">RSTD accuracy </w:t>
      </w:r>
      <w:r w:rsidR="00BF5F61">
        <w:rPr>
          <w:rFonts w:eastAsia="宋体"/>
          <w:lang w:eastAsia="zh-CN"/>
        </w:rPr>
        <w:t>requirements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F558C7" w:rsidTr="00F558C7">
        <w:tc>
          <w:tcPr>
            <w:tcW w:w="9621" w:type="dxa"/>
          </w:tcPr>
          <w:p w:rsidR="007D0320" w:rsidRPr="00F558C7" w:rsidRDefault="007D0320" w:rsidP="00B4674D">
            <w:pPr>
              <w:numPr>
                <w:ilvl w:val="1"/>
                <w:numId w:val="11"/>
              </w:numPr>
              <w:spacing w:before="120" w:after="120"/>
              <w:rPr>
                <w:rFonts w:eastAsiaTheme="minorEastAsia"/>
                <w:lang w:val="en-US" w:eastAsia="zh-CN"/>
              </w:rPr>
            </w:pPr>
            <w:r w:rsidRPr="00F558C7">
              <w:rPr>
                <w:rFonts w:eastAsiaTheme="minorEastAsia"/>
                <w:lang w:val="en-US" w:eastAsia="zh-CN"/>
              </w:rPr>
              <w:t>Side condition for FR2</w:t>
            </w:r>
          </w:p>
          <w:p w:rsidR="007D0320" w:rsidRPr="00F558C7" w:rsidRDefault="007D0320" w:rsidP="00B4674D">
            <w:pPr>
              <w:numPr>
                <w:ilvl w:val="2"/>
                <w:numId w:val="11"/>
              </w:numPr>
              <w:spacing w:before="120" w:after="120"/>
              <w:rPr>
                <w:rFonts w:eastAsiaTheme="minorEastAsia"/>
                <w:lang w:val="en-US" w:eastAsia="zh-CN"/>
              </w:rPr>
            </w:pPr>
            <w:r w:rsidRPr="00F558C7">
              <w:rPr>
                <w:rFonts w:eastAsiaTheme="minorEastAsia"/>
                <w:lang w:val="en-US" w:eastAsia="zh-CN"/>
              </w:rPr>
              <w:t>Option 1: -3dB for reference TRP and -10 dB for neighbor TRP</w:t>
            </w:r>
          </w:p>
          <w:p w:rsidR="00F558C7" w:rsidRPr="00F558C7" w:rsidRDefault="007D0320" w:rsidP="00B4674D">
            <w:pPr>
              <w:numPr>
                <w:ilvl w:val="2"/>
                <w:numId w:val="11"/>
              </w:numPr>
              <w:spacing w:before="120" w:after="120"/>
              <w:rPr>
                <w:rFonts w:eastAsiaTheme="minorEastAsia"/>
                <w:lang w:val="en-US" w:eastAsia="zh-CN"/>
              </w:rPr>
            </w:pPr>
            <w:r w:rsidRPr="00F558C7">
              <w:rPr>
                <w:rFonts w:eastAsiaTheme="minorEastAsia"/>
                <w:lang w:val="en-US" w:eastAsia="zh-CN"/>
              </w:rPr>
              <w:t>Option 2: -6dB for reference TRP and -13 dB for neighbor TRP</w:t>
            </w:r>
          </w:p>
        </w:tc>
      </w:tr>
    </w:tbl>
    <w:p w:rsidR="00F558C7" w:rsidRDefault="00F558C7" w:rsidP="00F558C7">
      <w:pPr>
        <w:spacing w:before="120" w:after="120"/>
        <w:rPr>
          <w:rFonts w:eastAsia="宋体"/>
          <w:lang w:val="en-US" w:eastAsia="zh-CN"/>
        </w:rPr>
      </w:pPr>
      <w:r>
        <w:rPr>
          <w:rFonts w:eastAsia="宋体"/>
          <w:lang w:val="en-US" w:eastAsia="zh-CN"/>
        </w:rPr>
        <w:t>Based on the system level and link level simulation results, we see option 1 as more relevant for FR2. The better side condition will lead to improved accuracy performance on link level; on the other hand, on system level the number of cells above -10dB Es/Iot is sufficiently high to make positioning fix.</w:t>
      </w:r>
    </w:p>
    <w:p w:rsidR="00F558C7" w:rsidRDefault="00F558C7" w:rsidP="00F558C7">
      <w:pPr>
        <w:spacing w:before="120" w:after="120"/>
        <w:rPr>
          <w:rFonts w:eastAsia="宋体"/>
          <w:b/>
          <w:lang w:val="en-US" w:eastAsia="zh-CN"/>
        </w:rPr>
      </w:pPr>
      <w:r>
        <w:rPr>
          <w:rFonts w:eastAsia="宋体"/>
          <w:b/>
          <w:lang w:val="en-US" w:eastAsia="zh-CN"/>
        </w:rPr>
        <w:t>Proposal 1: Side condition for RSTD accuracy requirements in FR2 is PRS Es/Iot of -3 dB for reference cell and -10 dB for neighbor cells.</w:t>
      </w:r>
    </w:p>
    <w:tbl>
      <w:tblPr>
        <w:tblStyle w:val="af4"/>
        <w:tblW w:w="0" w:type="auto"/>
        <w:tblLook w:val="04A0" w:firstRow="1" w:lastRow="0" w:firstColumn="1" w:lastColumn="0" w:noHBand="0" w:noVBand="1"/>
      </w:tblPr>
      <w:tblGrid>
        <w:gridCol w:w="9621"/>
      </w:tblGrid>
      <w:tr w:rsidR="00F558C7" w:rsidTr="00F558C7">
        <w:tc>
          <w:tcPr>
            <w:tcW w:w="9621" w:type="dxa"/>
          </w:tcPr>
          <w:p w:rsidR="007D0320" w:rsidRPr="00F558C7" w:rsidRDefault="007D0320" w:rsidP="00B4674D">
            <w:pPr>
              <w:numPr>
                <w:ilvl w:val="1"/>
                <w:numId w:val="12"/>
              </w:numPr>
              <w:spacing w:before="120" w:after="120"/>
              <w:rPr>
                <w:rFonts w:eastAsiaTheme="minorEastAsia"/>
                <w:lang w:val="en-US" w:eastAsia="zh-CN"/>
              </w:rPr>
            </w:pPr>
            <w:r w:rsidRPr="00F558C7">
              <w:rPr>
                <w:rFonts w:eastAsiaTheme="minorEastAsia"/>
                <w:lang w:val="en-US" w:eastAsia="zh-CN"/>
              </w:rPr>
              <w:t>Number of PRS samples or PRS repetitions for defining accuracy</w:t>
            </w:r>
          </w:p>
          <w:p w:rsidR="007D0320" w:rsidRPr="00F558C7" w:rsidRDefault="007D0320" w:rsidP="00B4674D">
            <w:pPr>
              <w:numPr>
                <w:ilvl w:val="2"/>
                <w:numId w:val="12"/>
              </w:numPr>
              <w:spacing w:before="120" w:after="120"/>
              <w:rPr>
                <w:rFonts w:eastAsiaTheme="minorEastAsia"/>
                <w:lang w:val="en-US" w:eastAsia="zh-CN"/>
              </w:rPr>
            </w:pPr>
            <w:r w:rsidRPr="00F558C7">
              <w:rPr>
                <w:rFonts w:eastAsiaTheme="minorEastAsia"/>
                <w:lang w:val="en-US" w:eastAsia="zh-CN"/>
              </w:rPr>
              <w:t xml:space="preserve">Option 1: Accuracy requirements are defined based on number of PRS samples, where each samples includes a number of PRS repetitions. Single PRS sample is assumed for accuracy requirements </w:t>
            </w:r>
          </w:p>
          <w:p w:rsidR="007D0320" w:rsidRPr="00F558C7" w:rsidRDefault="007D0320" w:rsidP="00B4674D">
            <w:pPr>
              <w:numPr>
                <w:ilvl w:val="2"/>
                <w:numId w:val="12"/>
              </w:numPr>
              <w:spacing w:before="120" w:after="120"/>
              <w:rPr>
                <w:rFonts w:eastAsiaTheme="minorEastAsia"/>
                <w:lang w:val="en-US" w:eastAsia="zh-CN"/>
              </w:rPr>
            </w:pPr>
            <w:r w:rsidRPr="00F558C7">
              <w:rPr>
                <w:rFonts w:eastAsiaTheme="minorEastAsia"/>
                <w:lang w:val="en-US" w:eastAsia="zh-CN"/>
              </w:rPr>
              <w:t>Option 2: Accuracy requirements are defined based on the number of PRS comb patterns in time</w:t>
            </w:r>
          </w:p>
          <w:p w:rsidR="00F558C7" w:rsidRPr="00F558C7" w:rsidRDefault="007D0320" w:rsidP="00B4674D">
            <w:pPr>
              <w:numPr>
                <w:ilvl w:val="2"/>
                <w:numId w:val="12"/>
              </w:numPr>
              <w:spacing w:before="120" w:after="120"/>
              <w:rPr>
                <w:rFonts w:eastAsiaTheme="minorEastAsia"/>
                <w:lang w:val="en-US" w:eastAsia="zh-CN"/>
              </w:rPr>
            </w:pPr>
            <w:r w:rsidRPr="00F558C7">
              <w:rPr>
                <w:rFonts w:eastAsiaTheme="minorEastAsia"/>
                <w:lang w:val="en-US" w:eastAsia="zh-CN"/>
              </w:rPr>
              <w:t>Other options are not precluded</w:t>
            </w:r>
          </w:p>
        </w:tc>
      </w:tr>
    </w:tbl>
    <w:p w:rsidR="00F558C7" w:rsidRDefault="00F558C7" w:rsidP="00522586">
      <w:pPr>
        <w:spacing w:before="120" w:after="120"/>
        <w:rPr>
          <w:rFonts w:eastAsiaTheme="minorEastAsia"/>
          <w:lang w:val="en-US" w:eastAsia="zh-CN"/>
        </w:rPr>
      </w:pPr>
      <w:r>
        <w:rPr>
          <w:rFonts w:eastAsiaTheme="minorEastAsia"/>
          <w:lang w:val="en-US" w:eastAsia="zh-CN"/>
        </w:rPr>
        <w:t>The issue has been discussed in the core requirements coupling with the definition of PRS occasion (which RAN4 decided not to use in the specification) and the number of samples</w:t>
      </w:r>
      <w:r w:rsidRPr="00F558C7">
        <w:rPr>
          <w:rFonts w:eastAsiaTheme="minorEastAsia"/>
          <w:lang w:val="en-US" w:eastAsia="zh-CN"/>
        </w:rPr>
        <w:t xml:space="preserve"> </w:t>
      </w:r>
      <w:r>
        <w:rPr>
          <w:rFonts w:eastAsiaTheme="minorEastAsia"/>
          <w:lang w:val="en-US" w:eastAsia="zh-CN"/>
        </w:rPr>
        <w:t xml:space="preserve">in measurement period. </w:t>
      </w:r>
    </w:p>
    <w:p w:rsidR="007D0320" w:rsidRDefault="00F558C7" w:rsidP="00F558C7">
      <w:pPr>
        <w:spacing w:before="120" w:after="120"/>
        <w:rPr>
          <w:rFonts w:eastAsia="宋体"/>
          <w:lang w:eastAsia="zh-CN"/>
        </w:rPr>
      </w:pPr>
      <w:r>
        <w:rPr>
          <w:rFonts w:eastAsia="宋体"/>
          <w:lang w:eastAsia="zh-CN"/>
        </w:rPr>
        <w:t xml:space="preserve">The PRS measurement is performed based on PRS period, i.e. UE takes samples </w:t>
      </w:r>
      <w:r w:rsidR="007D0320">
        <w:rPr>
          <w:rFonts w:eastAsia="宋体"/>
          <w:lang w:eastAsia="zh-CN"/>
        </w:rPr>
        <w:t>of a time duration corresponding to an instance of PRS, and after UE finishes the processing UE takes samples from the next instance of PRS</w:t>
      </w:r>
      <w:r>
        <w:rPr>
          <w:rFonts w:eastAsia="宋体"/>
          <w:lang w:eastAsia="zh-CN"/>
        </w:rPr>
        <w:t>.</w:t>
      </w:r>
      <w:r w:rsidR="007D0320">
        <w:rPr>
          <w:rFonts w:eastAsia="宋体"/>
          <w:lang w:eastAsia="zh-CN"/>
        </w:rPr>
        <w:t xml:space="preserve"> This is shown in Figure 1. </w:t>
      </w:r>
      <w:r>
        <w:rPr>
          <w:rFonts w:eastAsia="宋体"/>
          <w:lang w:eastAsia="zh-CN"/>
        </w:rPr>
        <w:t xml:space="preserve"> </w:t>
      </w:r>
    </w:p>
    <w:p w:rsidR="007D0320" w:rsidRDefault="007D0320" w:rsidP="007D0320">
      <w:pPr>
        <w:spacing w:before="120" w:after="120"/>
        <w:rPr>
          <w:rFonts w:eastAsia="宋体"/>
          <w:lang w:eastAsia="zh-CN"/>
        </w:rPr>
      </w:pPr>
      <w:r>
        <w:rPr>
          <w:rFonts w:eastAsia="宋体"/>
          <w:lang w:eastAsia="zh-CN"/>
        </w:rPr>
        <w:t>It is noted that for</w:t>
      </w:r>
      <w:r w:rsidR="00F558C7">
        <w:rPr>
          <w:rFonts w:eastAsia="宋体"/>
          <w:lang w:eastAsia="zh-CN"/>
        </w:rPr>
        <w:t xml:space="preserve"> a PRS </w:t>
      </w:r>
      <w:r>
        <w:rPr>
          <w:rFonts w:eastAsia="宋体"/>
          <w:lang w:eastAsia="zh-CN"/>
        </w:rPr>
        <w:t>instance</w:t>
      </w:r>
      <w:r w:rsidR="00F558C7">
        <w:rPr>
          <w:rFonts w:eastAsia="宋体"/>
          <w:lang w:eastAsia="zh-CN"/>
        </w:rPr>
        <w:t xml:space="preserve">, </w:t>
      </w:r>
      <w:r>
        <w:rPr>
          <w:rFonts w:eastAsia="宋体"/>
          <w:lang w:eastAsia="zh-CN"/>
        </w:rPr>
        <w:t xml:space="preserve">a PRS resource can be repeated in the following two ways, and UE will take all the repetitions (subject to its sampling capability N) to generate a TOA estimation per PRS </w:t>
      </w:r>
      <w:r w:rsidR="00FF3884">
        <w:rPr>
          <w:rFonts w:eastAsia="宋体"/>
          <w:lang w:eastAsia="zh-CN"/>
        </w:rPr>
        <w:t>sample</w:t>
      </w:r>
      <w:r>
        <w:rPr>
          <w:rFonts w:eastAsia="宋体"/>
          <w:lang w:eastAsia="zh-CN"/>
        </w:rPr>
        <w:t>.</w:t>
      </w:r>
    </w:p>
    <w:p w:rsidR="00F558C7" w:rsidRDefault="00F558C7" w:rsidP="00B4674D">
      <w:pPr>
        <w:numPr>
          <w:ilvl w:val="0"/>
          <w:numId w:val="13"/>
        </w:numPr>
        <w:spacing w:before="120" w:after="120"/>
        <w:rPr>
          <w:rFonts w:eastAsia="宋体"/>
          <w:lang w:eastAsia="zh-CN"/>
        </w:rPr>
      </w:pPr>
      <w:r>
        <w:rPr>
          <w:rFonts w:eastAsia="宋体"/>
          <w:lang w:eastAsia="zh-CN"/>
        </w:rPr>
        <w:t>on symbol level within a slot, e.g. in Figure 1 the resource is configured with comb size 2 and the symbol size per slot is 4 so the resource is repeated twice within a slot, and</w:t>
      </w:r>
    </w:p>
    <w:p w:rsidR="00F558C7" w:rsidRDefault="00F558C7" w:rsidP="00B4674D">
      <w:pPr>
        <w:numPr>
          <w:ilvl w:val="0"/>
          <w:numId w:val="13"/>
        </w:numPr>
        <w:spacing w:before="120" w:after="120"/>
        <w:rPr>
          <w:rFonts w:eastAsia="宋体"/>
          <w:lang w:eastAsia="zh-CN"/>
        </w:rPr>
      </w:pPr>
      <w:r>
        <w:rPr>
          <w:rFonts w:eastAsia="宋体"/>
          <w:lang w:eastAsia="zh-CN"/>
        </w:rPr>
        <w:t>on slot level within a PRS period, e.g. in Figure 1 the resource is repeated in four consecutive slots</w:t>
      </w:r>
    </w:p>
    <w:p w:rsidR="00F558C7" w:rsidRPr="00F558C7" w:rsidRDefault="000637AA" w:rsidP="00522586">
      <w:pPr>
        <w:spacing w:before="120" w:after="120"/>
        <w:rPr>
          <w:rFonts w:eastAsiaTheme="minorEastAsia"/>
          <w:lang w:eastAsia="zh-CN"/>
        </w:rPr>
      </w:pPr>
      <w:r>
        <w:rPr>
          <w:rFonts w:eastAsiaTheme="minorEastAsia"/>
          <w:lang w:val="en-US" w:eastAsia="zh-CN"/>
        </w:rPr>
        <w:lastRenderedPageBreak/>
        <w:t>Therefore</w:t>
      </w:r>
      <w:r w:rsidR="007D0320">
        <w:rPr>
          <w:rFonts w:eastAsiaTheme="minorEastAsia"/>
          <w:lang w:val="en-US" w:eastAsia="zh-CN"/>
        </w:rPr>
        <w:t>, the a</w:t>
      </w:r>
      <w:r w:rsidR="007D0320" w:rsidRPr="00F558C7">
        <w:rPr>
          <w:rFonts w:eastAsiaTheme="minorEastAsia"/>
          <w:lang w:val="en-US" w:eastAsia="zh-CN"/>
        </w:rPr>
        <w:t xml:space="preserve">ccuracy requirements </w:t>
      </w:r>
      <w:r w:rsidR="007D0320">
        <w:rPr>
          <w:rFonts w:eastAsiaTheme="minorEastAsia"/>
          <w:lang w:val="en-US" w:eastAsia="zh-CN"/>
        </w:rPr>
        <w:t>should be</w:t>
      </w:r>
      <w:r w:rsidR="007D0320" w:rsidRPr="00F558C7">
        <w:rPr>
          <w:rFonts w:eastAsiaTheme="minorEastAsia"/>
          <w:lang w:val="en-US" w:eastAsia="zh-CN"/>
        </w:rPr>
        <w:t xml:space="preserve"> defined based on number of PRS samples, where each samples includes a number of PRS repetitions</w:t>
      </w:r>
      <w:r w:rsidR="00F558C7">
        <w:rPr>
          <w:rFonts w:eastAsia="宋体"/>
          <w:lang w:eastAsia="zh-CN"/>
        </w:rPr>
        <w:t>.</w:t>
      </w:r>
      <w:r w:rsidR="007D0320">
        <w:rPr>
          <w:rFonts w:eastAsia="宋体"/>
          <w:lang w:eastAsia="zh-CN"/>
        </w:rPr>
        <w:t xml:space="preserve"> As to the number of samples in deriving the accuracy, our view is that it should be based on one sample</w:t>
      </w:r>
      <w:r>
        <w:rPr>
          <w:rFonts w:eastAsia="宋体"/>
          <w:lang w:eastAsia="zh-CN"/>
        </w:rPr>
        <w:t xml:space="preserve"> which is </w:t>
      </w:r>
      <w:r w:rsidR="007D0320">
        <w:rPr>
          <w:rFonts w:eastAsia="宋体"/>
          <w:lang w:eastAsia="zh-CN"/>
        </w:rPr>
        <w:t>same as in LTE</w:t>
      </w:r>
      <w:r>
        <w:rPr>
          <w:rFonts w:eastAsia="宋体"/>
          <w:lang w:eastAsia="zh-CN"/>
        </w:rPr>
        <w:t xml:space="preserve">. </w:t>
      </w:r>
    </w:p>
    <w:p w:rsidR="00F558C7" w:rsidRDefault="00F558C7" w:rsidP="00F558C7">
      <w:pPr>
        <w:spacing w:before="120" w:after="120"/>
        <w:rPr>
          <w:rFonts w:eastAsia="宋体"/>
          <w:lang w:eastAsia="zh-CN"/>
        </w:rPr>
      </w:pPr>
      <w:r>
        <w:rPr>
          <w:noProof/>
          <w:lang w:val="en-US" w:eastAsia="zh-CN"/>
        </w:rPr>
        <w:drawing>
          <wp:inline distT="0" distB="0" distL="0" distR="0">
            <wp:extent cx="5791200" cy="1882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0" cy="1882775"/>
                    </a:xfrm>
                    <a:prstGeom prst="rect">
                      <a:avLst/>
                    </a:prstGeom>
                    <a:noFill/>
                    <a:ln>
                      <a:noFill/>
                    </a:ln>
                  </pic:spPr>
                </pic:pic>
              </a:graphicData>
            </a:graphic>
          </wp:inline>
        </w:drawing>
      </w:r>
    </w:p>
    <w:p w:rsidR="00F558C7" w:rsidRDefault="00F558C7" w:rsidP="00F558C7">
      <w:pPr>
        <w:spacing w:before="120" w:after="120"/>
        <w:jc w:val="center"/>
        <w:rPr>
          <w:rFonts w:eastAsia="宋体"/>
          <w:b/>
          <w:lang w:eastAsia="zh-CN"/>
        </w:rPr>
      </w:pPr>
      <w:r>
        <w:rPr>
          <w:rFonts w:eastAsia="宋体"/>
          <w:b/>
          <w:lang w:eastAsia="zh-CN"/>
        </w:rPr>
        <w:t xml:space="preserve">Figure 1: Illustration of PRS </w:t>
      </w:r>
      <w:r w:rsidR="00C731A5">
        <w:rPr>
          <w:rFonts w:eastAsia="宋体"/>
          <w:b/>
          <w:lang w:eastAsia="zh-CN"/>
        </w:rPr>
        <w:t>measurement sample</w:t>
      </w:r>
    </w:p>
    <w:p w:rsidR="007D0320" w:rsidRPr="007D0320" w:rsidRDefault="000637AA" w:rsidP="007D0320">
      <w:pPr>
        <w:spacing w:before="120" w:after="120"/>
        <w:rPr>
          <w:rFonts w:eastAsia="宋体"/>
          <w:lang w:val="en-US" w:eastAsia="zh-CN"/>
        </w:rPr>
      </w:pPr>
      <w:r>
        <w:rPr>
          <w:rFonts w:eastAsia="宋体"/>
          <w:lang w:eastAsia="zh-CN"/>
        </w:rPr>
        <w:t xml:space="preserve">Based on </w:t>
      </w:r>
      <w:r>
        <w:rPr>
          <w:rFonts w:eastAsiaTheme="minorEastAsia"/>
          <w:lang w:val="en-US" w:eastAsia="zh-CN"/>
        </w:rPr>
        <w:t>above, we suggest to adopt option 1 for defining the RSTD accuracy.</w:t>
      </w:r>
      <w:r w:rsidRPr="007D0320">
        <w:rPr>
          <w:rFonts w:eastAsia="宋体"/>
          <w:lang w:eastAsia="zh-CN"/>
        </w:rPr>
        <w:t xml:space="preserve"> </w:t>
      </w:r>
      <w:r w:rsidR="007D0320" w:rsidRPr="007D0320">
        <w:rPr>
          <w:rFonts w:eastAsia="宋体"/>
          <w:lang w:eastAsia="zh-CN"/>
        </w:rPr>
        <w:t>Option 2 means UE generates TOA estimation based on coherent combining of samples across multiple PRS occasions/periods, which is quite different assumption from normal UE implementation.</w:t>
      </w:r>
    </w:p>
    <w:p w:rsidR="000637AA" w:rsidRPr="000637AA" w:rsidRDefault="000637AA" w:rsidP="000637AA">
      <w:pPr>
        <w:spacing w:before="120" w:after="120"/>
        <w:rPr>
          <w:rFonts w:eastAsiaTheme="minorEastAsia"/>
          <w:b/>
          <w:lang w:val="en-US" w:eastAsia="zh-CN"/>
        </w:rPr>
      </w:pPr>
      <w:r w:rsidRPr="000637AA">
        <w:rPr>
          <w:rFonts w:eastAsiaTheme="minorEastAsia" w:hint="eastAsia"/>
          <w:b/>
          <w:lang w:val="en-US" w:eastAsia="zh-CN"/>
        </w:rPr>
        <w:t>P</w:t>
      </w:r>
      <w:r w:rsidRPr="000637AA">
        <w:rPr>
          <w:rFonts w:eastAsiaTheme="minorEastAsia"/>
          <w:b/>
          <w:lang w:val="en-US" w:eastAsia="zh-CN"/>
        </w:rPr>
        <w:t xml:space="preserve">roposal 2: RSTD accuracy requirements are defined based on a single PRS sample, where a PRS sample includes a number of PRS repetitions. </w:t>
      </w:r>
    </w:p>
    <w:tbl>
      <w:tblPr>
        <w:tblStyle w:val="af4"/>
        <w:tblW w:w="0" w:type="auto"/>
        <w:tblLook w:val="04A0" w:firstRow="1" w:lastRow="0" w:firstColumn="1" w:lastColumn="0" w:noHBand="0" w:noVBand="1"/>
      </w:tblPr>
      <w:tblGrid>
        <w:gridCol w:w="9621"/>
      </w:tblGrid>
      <w:tr w:rsidR="000637AA" w:rsidTr="000637AA">
        <w:tc>
          <w:tcPr>
            <w:tcW w:w="9621" w:type="dxa"/>
          </w:tcPr>
          <w:p w:rsidR="00D61C49" w:rsidRPr="000637AA" w:rsidRDefault="00D61C49" w:rsidP="00B4674D">
            <w:pPr>
              <w:numPr>
                <w:ilvl w:val="1"/>
                <w:numId w:val="14"/>
              </w:numPr>
              <w:spacing w:before="120" w:after="120"/>
              <w:rPr>
                <w:rFonts w:eastAsiaTheme="minorEastAsia"/>
                <w:lang w:val="en-US" w:eastAsia="zh-CN"/>
              </w:rPr>
            </w:pPr>
            <w:r w:rsidRPr="000637AA">
              <w:rPr>
                <w:rFonts w:eastAsiaTheme="minorEastAsia"/>
                <w:lang w:val="en-US" w:eastAsia="zh-CN"/>
              </w:rPr>
              <w:t>Whether accuracy requirements are agnostic to comb size</w:t>
            </w:r>
          </w:p>
          <w:p w:rsidR="00D61C49" w:rsidRPr="000637AA" w:rsidRDefault="00D61C49" w:rsidP="00B4674D">
            <w:pPr>
              <w:numPr>
                <w:ilvl w:val="2"/>
                <w:numId w:val="14"/>
              </w:numPr>
              <w:spacing w:before="120" w:after="120"/>
              <w:rPr>
                <w:rFonts w:eastAsiaTheme="minorEastAsia"/>
                <w:lang w:val="en-US" w:eastAsia="zh-CN"/>
              </w:rPr>
            </w:pPr>
            <w:r w:rsidRPr="000637AA">
              <w:rPr>
                <w:rFonts w:eastAsiaTheme="minorEastAsia"/>
                <w:lang w:val="en-US" w:eastAsia="zh-CN"/>
              </w:rPr>
              <w:t>clarify what “comb size” refers to</w:t>
            </w:r>
          </w:p>
          <w:p w:rsidR="00D61C49" w:rsidRPr="000637AA" w:rsidRDefault="00D61C49" w:rsidP="00B4674D">
            <w:pPr>
              <w:numPr>
                <w:ilvl w:val="2"/>
                <w:numId w:val="14"/>
              </w:numPr>
              <w:spacing w:before="120" w:after="120"/>
              <w:rPr>
                <w:rFonts w:eastAsiaTheme="minorEastAsia"/>
                <w:lang w:val="en-US" w:eastAsia="zh-CN"/>
              </w:rPr>
            </w:pPr>
            <w:r w:rsidRPr="000637AA">
              <w:rPr>
                <w:rFonts w:eastAsiaTheme="minorEastAsia"/>
                <w:lang w:val="en-US" w:eastAsia="zh-CN"/>
              </w:rPr>
              <w:t>Option 1: no</w:t>
            </w:r>
          </w:p>
          <w:p w:rsidR="000637AA" w:rsidRPr="000637AA" w:rsidRDefault="00D61C49" w:rsidP="00B4674D">
            <w:pPr>
              <w:numPr>
                <w:ilvl w:val="2"/>
                <w:numId w:val="14"/>
              </w:numPr>
              <w:spacing w:before="120" w:after="120"/>
              <w:rPr>
                <w:rFonts w:eastAsiaTheme="minorEastAsia"/>
                <w:lang w:val="en-US" w:eastAsia="zh-CN"/>
              </w:rPr>
            </w:pPr>
            <w:r w:rsidRPr="000637AA">
              <w:rPr>
                <w:rFonts w:eastAsiaTheme="minorEastAsia"/>
                <w:lang w:val="en-US" w:eastAsia="zh-CN"/>
              </w:rPr>
              <w:t>Option 2: yes</w:t>
            </w:r>
          </w:p>
        </w:tc>
      </w:tr>
    </w:tbl>
    <w:p w:rsidR="000637AA" w:rsidRDefault="001F360D" w:rsidP="000637AA">
      <w:pPr>
        <w:spacing w:before="120" w:after="120"/>
        <w:rPr>
          <w:rFonts w:eastAsiaTheme="minorEastAsia"/>
          <w:lang w:eastAsia="zh-CN"/>
        </w:rPr>
      </w:pPr>
      <w:r>
        <w:rPr>
          <w:rFonts w:eastAsiaTheme="minorEastAsia"/>
          <w:lang w:eastAsia="zh-CN"/>
        </w:rPr>
        <w:t xml:space="preserve">In our understanding, </w:t>
      </w:r>
      <w:r w:rsidRPr="001F360D">
        <w:rPr>
          <w:rFonts w:eastAsiaTheme="minorEastAsia"/>
          <w:lang w:eastAsia="zh-CN"/>
        </w:rPr>
        <w:t xml:space="preserve">comb size refers to parameter </w:t>
      </w:r>
      <w:r w:rsidRPr="001F360D">
        <w:rPr>
          <w:rFonts w:eastAsiaTheme="minorEastAsia"/>
          <w:i/>
          <w:lang w:eastAsia="zh-CN"/>
        </w:rPr>
        <w:t>dl-PRS-CombSizeN-r16</w:t>
      </w:r>
      <w:r w:rsidRPr="001F360D">
        <w:rPr>
          <w:rFonts w:eastAsiaTheme="minorEastAsia"/>
          <w:lang w:eastAsia="zh-CN"/>
        </w:rPr>
        <w:t xml:space="preserve"> in PRS configuration.</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NR-DL-PRS-PositioningFrequencyLayer-</w:t>
      </w:r>
      <w:r w:rsidRPr="001F360D">
        <w:rPr>
          <w:rFonts w:ascii="Courier New" w:eastAsia="宋体" w:hAnsi="Courier New"/>
          <w:noProof/>
          <w:snapToGrid w:val="0"/>
          <w:sz w:val="16"/>
        </w:rPr>
        <w:t xml:space="preserve">r16 </w:t>
      </w:r>
      <w:r w:rsidRPr="001F360D">
        <w:rPr>
          <w:rFonts w:ascii="Courier New" w:eastAsia="宋体" w:hAnsi="Courier New"/>
          <w:noProof/>
          <w:sz w:val="16"/>
        </w:rPr>
        <w:t>::= SEQUENCE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dl-PRS-SubcarrierSpacing-r16</w:t>
      </w:r>
      <w:r w:rsidRPr="001F360D">
        <w:rPr>
          <w:rFonts w:ascii="Courier New" w:eastAsia="宋体" w:hAnsi="Courier New"/>
          <w:noProof/>
          <w:snapToGrid w:val="0"/>
          <w:sz w:val="16"/>
        </w:rPr>
        <w:tab/>
      </w:r>
      <w:r w:rsidRPr="001F360D">
        <w:rPr>
          <w:rFonts w:ascii="Courier New" w:eastAsia="宋体" w:hAnsi="Courier New"/>
          <w:noProof/>
          <w:sz w:val="16"/>
        </w:rPr>
        <w:t>ENUMERATED {kHz15, kHz30, kHz60, kHz120,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dl-PRS-ResourceBandwidth-r16</w:t>
      </w:r>
      <w:r w:rsidRPr="001F360D">
        <w:rPr>
          <w:rFonts w:ascii="Courier New" w:eastAsia="宋体" w:hAnsi="Courier New"/>
          <w:noProof/>
          <w:snapToGrid w:val="0"/>
          <w:sz w:val="16"/>
        </w:rPr>
        <w:tab/>
        <w:t>INTEGER (1..63),</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dl-PRS-StartPRB-r16</w:t>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t>INTEGER (0..2176),</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dl-PRS-PointA-r16</w:t>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t>ARFCN-ValueNR-r15,</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z w:val="16"/>
        </w:rPr>
        <w:tab/>
      </w:r>
      <w:r w:rsidRPr="001F360D">
        <w:rPr>
          <w:rFonts w:ascii="Courier New" w:eastAsia="宋体" w:hAnsi="Courier New"/>
          <w:noProof/>
          <w:sz w:val="16"/>
          <w:highlight w:val="yellow"/>
        </w:rPr>
        <w:t>dl-PRS-CombSizeN-r16</w:t>
      </w:r>
      <w:r w:rsidRPr="001F360D">
        <w:rPr>
          <w:rFonts w:ascii="Courier New" w:eastAsia="宋体" w:hAnsi="Courier New"/>
          <w:noProof/>
          <w:sz w:val="16"/>
          <w:highlight w:val="yellow"/>
        </w:rPr>
        <w:tab/>
      </w:r>
      <w:r w:rsidRPr="001F360D">
        <w:rPr>
          <w:rFonts w:ascii="Courier New" w:eastAsia="宋体" w:hAnsi="Courier New"/>
          <w:noProof/>
          <w:sz w:val="16"/>
          <w:highlight w:val="yellow"/>
        </w:rPr>
        <w:tab/>
      </w:r>
      <w:r w:rsidRPr="001F360D">
        <w:rPr>
          <w:rFonts w:ascii="Courier New" w:eastAsia="宋体" w:hAnsi="Courier New"/>
          <w:noProof/>
          <w:sz w:val="16"/>
          <w:highlight w:val="yellow"/>
        </w:rPr>
        <w:tab/>
        <w:t>ENUMERATED {n2, n4, n6, n12,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dl-PRS-CyclicPrefix-r16</w:t>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z w:val="16"/>
        </w:rPr>
        <w:t>ENUMERATED {normal, extended,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w:t>
      </w:r>
    </w:p>
    <w:p w:rsidR="001F360D" w:rsidRDefault="001F360D" w:rsidP="000637AA">
      <w:pPr>
        <w:spacing w:before="120" w:after="120"/>
        <w:rPr>
          <w:rFonts w:eastAsiaTheme="minorEastAsia"/>
          <w:lang w:eastAsia="zh-CN"/>
        </w:rPr>
      </w:pPr>
      <w:r>
        <w:rPr>
          <w:rFonts w:eastAsiaTheme="minorEastAsia"/>
          <w:lang w:eastAsia="zh-CN"/>
        </w:rPr>
        <w:t xml:space="preserve">It is noted that the comb size is related to the subcarrier separation of PRS REs in frequency domain, and it is a separate configuration from the PRS symbol number in a slot which is given by </w:t>
      </w:r>
      <w:r w:rsidRPr="001F360D">
        <w:rPr>
          <w:i/>
        </w:rPr>
        <w:t>dl-PRS-NumSymbols-r16</w:t>
      </w:r>
      <w:r>
        <w:rPr>
          <w:rFonts w:eastAsiaTheme="minorEastAsia"/>
          <w:lang w:eastAsia="zh-CN"/>
        </w:rPr>
        <w:t xml:space="preserve">.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napToGrid w:val="0"/>
          <w:sz w:val="16"/>
        </w:rPr>
        <w:t xml:space="preserve">NR-DL-PRS-ResourceSet-r16 </w:t>
      </w:r>
      <w:r w:rsidRPr="001F360D">
        <w:rPr>
          <w:rFonts w:ascii="Courier New" w:eastAsia="宋体" w:hAnsi="Courier New"/>
          <w:noProof/>
          <w:sz w:val="16"/>
        </w:rPr>
        <w:t>::= SEQUENCE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nr-DL-PRS-ResourceSetID-r16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NR-DL-PRS-ResourceSetID-r16,</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dl-PRS-Periodicity-and-ResourceSetSlotOffset-r16</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napToGrid w:val="0"/>
          <w:sz w:val="16"/>
        </w:rPr>
        <w:t>NR-DL-PRS-Periodicity-and-ResourceSetSlotOffset-r16</w:t>
      </w:r>
      <w:r w:rsidRPr="001F360D">
        <w:rPr>
          <w:rFonts w:ascii="Courier New" w:eastAsia="宋体" w:hAnsi="Courier New"/>
          <w:noProof/>
          <w:sz w:val="16"/>
        </w:rPr>
        <w:t>,</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dl-PRS-ResourceRepetitionFactor-r16</w:t>
      </w:r>
      <w:r w:rsidRPr="001F360D">
        <w:rPr>
          <w:rFonts w:ascii="Courier New" w:eastAsia="宋体" w:hAnsi="Courier New"/>
          <w:noProof/>
          <w:sz w:val="16"/>
        </w:rPr>
        <w:tab/>
        <w:t>ENUMERATED {n2, n4, n6, n8, n16, n32,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OPTIONAL,</w:t>
      </w:r>
      <w:r w:rsidRPr="001F360D">
        <w:rPr>
          <w:rFonts w:ascii="Courier New" w:eastAsia="宋体" w:hAnsi="Courier New"/>
          <w:noProof/>
          <w:sz w:val="16"/>
        </w:rPr>
        <w:tab/>
        <w:t>-- Need OP</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dl-PRS-ResourceTimeGap-r16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ENUMERATED {s1, s2, s4, s8, s16, s32,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 xml:space="preserve">OPTIONAL, </w:t>
      </w:r>
      <w:r w:rsidRPr="001F360D">
        <w:rPr>
          <w:rFonts w:ascii="Courier New" w:eastAsia="宋体" w:hAnsi="Courier New"/>
          <w:noProof/>
          <w:sz w:val="16"/>
        </w:rPr>
        <w:tab/>
        <w:t>-- Cond Rep</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r>
      <w:r w:rsidRPr="001F360D">
        <w:rPr>
          <w:rFonts w:ascii="Courier New" w:eastAsia="宋体" w:hAnsi="Courier New"/>
          <w:noProof/>
          <w:sz w:val="16"/>
          <w:highlight w:val="yellow"/>
        </w:rPr>
        <w:t>dl-PRS-NumSymbols-r16</w:t>
      </w:r>
      <w:r w:rsidRPr="001F360D">
        <w:rPr>
          <w:rFonts w:ascii="Courier New" w:eastAsia="宋体" w:hAnsi="Courier New"/>
          <w:noProof/>
          <w:sz w:val="16"/>
          <w:highlight w:val="yellow"/>
        </w:rPr>
        <w:tab/>
      </w:r>
      <w:r w:rsidRPr="001F360D">
        <w:rPr>
          <w:rFonts w:ascii="Courier New" w:eastAsia="宋体" w:hAnsi="Courier New"/>
          <w:noProof/>
          <w:sz w:val="16"/>
          <w:highlight w:val="yellow"/>
        </w:rPr>
        <w:tab/>
      </w:r>
      <w:r w:rsidRPr="001F360D">
        <w:rPr>
          <w:rFonts w:ascii="Courier New" w:eastAsia="宋体" w:hAnsi="Courier New"/>
          <w:noProof/>
          <w:sz w:val="16"/>
          <w:highlight w:val="yellow"/>
        </w:rPr>
        <w:tab/>
      </w:r>
      <w:r w:rsidRPr="001F360D">
        <w:rPr>
          <w:rFonts w:ascii="Courier New" w:eastAsia="宋体" w:hAnsi="Courier New"/>
          <w:noProof/>
          <w:sz w:val="16"/>
          <w:highlight w:val="yellow"/>
        </w:rPr>
        <w:tab/>
        <w:t>ENUMERATED {n2, n4, n6, n12, ...},</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dl-PRS-MutingOption1-r16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DL-PRS-MutingOption1-r16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OPTIONAL,</w:t>
      </w:r>
      <w:r w:rsidRPr="001F360D">
        <w:rPr>
          <w:rFonts w:ascii="Courier New" w:eastAsia="宋体" w:hAnsi="Courier New"/>
          <w:noProof/>
          <w:sz w:val="16"/>
        </w:rPr>
        <w:tab/>
        <w:t>-- Need OP</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z w:val="16"/>
        </w:rPr>
        <w:tab/>
        <w:t>dl-PRS-MutingOption2-r16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DL-PRS-MutingOption2-r16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t>OPTIONAL,</w:t>
      </w:r>
      <w:r w:rsidRPr="001F360D">
        <w:rPr>
          <w:rFonts w:ascii="Courier New" w:eastAsia="宋体" w:hAnsi="Courier New"/>
          <w:noProof/>
          <w:sz w:val="16"/>
        </w:rPr>
        <w:tab/>
        <w:t>-- Need OP</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z w:val="16"/>
        </w:rPr>
        <w:tab/>
        <w:t>dl-PRS-ResourcePower-r16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napToGrid w:val="0"/>
          <w:sz w:val="16"/>
        </w:rPr>
        <w:t>INTEGER (-60..50),</w:t>
      </w:r>
      <w:r w:rsidRPr="001F360D">
        <w:rPr>
          <w:rFonts w:ascii="Courier New" w:eastAsia="宋体" w:hAnsi="Courier New"/>
          <w:noProof/>
          <w:snapToGrid w:val="0"/>
          <w:sz w:val="16"/>
        </w:rPr>
        <w:tab/>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z w:val="16"/>
        </w:rPr>
        <w:tab/>
        <w:t>dl-PRS-ResourceList-r16</w:t>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z w:val="16"/>
        </w:rPr>
        <w:tab/>
      </w:r>
      <w:r w:rsidRPr="001F360D">
        <w:rPr>
          <w:rFonts w:ascii="Courier New" w:eastAsia="宋体" w:hAnsi="Courier New"/>
          <w:noProof/>
          <w:snapToGrid w:val="0"/>
          <w:sz w:val="16"/>
        </w:rPr>
        <w:t>SEQUENCE (SIZE (1..nrMaxResourcesPerSet-r16)) OF</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r>
      <w:r w:rsidRPr="001F360D">
        <w:rPr>
          <w:rFonts w:ascii="Courier New" w:eastAsia="宋体" w:hAnsi="Courier New"/>
          <w:noProof/>
          <w:snapToGrid w:val="0"/>
          <w:sz w:val="16"/>
        </w:rPr>
        <w:tab/>
        <w:t>NR-</w:t>
      </w:r>
      <w:r w:rsidRPr="001F360D">
        <w:rPr>
          <w:rFonts w:ascii="Courier New" w:eastAsia="宋体" w:hAnsi="Courier New"/>
          <w:noProof/>
          <w:sz w:val="16"/>
        </w:rPr>
        <w:t>DL-PRS-Resource-r16,</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1F360D">
        <w:rPr>
          <w:rFonts w:ascii="Courier New" w:eastAsia="宋体" w:hAnsi="Courier New"/>
          <w:noProof/>
          <w:snapToGrid w:val="0"/>
          <w:sz w:val="16"/>
        </w:rPr>
        <w:tab/>
        <w:t>...</w:t>
      </w:r>
    </w:p>
    <w:p w:rsidR="001F360D" w:rsidRPr="001F360D" w:rsidRDefault="001F360D" w:rsidP="001F36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1F360D">
        <w:rPr>
          <w:rFonts w:ascii="Courier New" w:eastAsia="宋体" w:hAnsi="Courier New"/>
          <w:noProof/>
          <w:snapToGrid w:val="0"/>
          <w:sz w:val="16"/>
        </w:rPr>
        <w:t>}</w:t>
      </w:r>
    </w:p>
    <w:p w:rsidR="00D61C49" w:rsidRDefault="001F360D" w:rsidP="00522586">
      <w:pPr>
        <w:spacing w:before="120" w:after="120"/>
        <w:rPr>
          <w:rFonts w:eastAsiaTheme="minorEastAsia"/>
          <w:lang w:eastAsia="zh-CN"/>
        </w:rPr>
      </w:pPr>
      <w:r>
        <w:rPr>
          <w:rFonts w:eastAsiaTheme="minorEastAsia"/>
          <w:lang w:eastAsia="zh-CN"/>
        </w:rPr>
        <w:t xml:space="preserve">Based on our simulation results in [2] and [3], the PRS symbol number has impact on the performance similar as number of slot repetitions, while the performance with different comb sizes </w:t>
      </w:r>
      <w:r w:rsidR="00D61C49">
        <w:rPr>
          <w:rFonts w:eastAsiaTheme="minorEastAsia"/>
          <w:lang w:eastAsia="zh-CN"/>
        </w:rPr>
        <w:t>are quite similar. Therefore, the accuracy requirements can be defined agnostic to comb size.</w:t>
      </w:r>
    </w:p>
    <w:p w:rsidR="00B849D0" w:rsidRPr="00D61C49" w:rsidRDefault="00D61C49" w:rsidP="00522586">
      <w:pPr>
        <w:spacing w:before="120" w:after="120"/>
        <w:rPr>
          <w:rFonts w:eastAsiaTheme="minorEastAsia"/>
          <w:b/>
          <w:lang w:eastAsia="zh-CN"/>
        </w:rPr>
      </w:pPr>
      <w:r w:rsidRPr="00D61C49">
        <w:rPr>
          <w:rFonts w:eastAsiaTheme="minorEastAsia"/>
          <w:b/>
          <w:lang w:eastAsia="zh-CN"/>
        </w:rPr>
        <w:lastRenderedPageBreak/>
        <w:t xml:space="preserve">Proposal 3: RSTD accuracy requirements are defined agnostic to comb size, which is given by parameter </w:t>
      </w:r>
      <w:r w:rsidRPr="00D61C49">
        <w:rPr>
          <w:rFonts w:eastAsiaTheme="minorEastAsia"/>
          <w:b/>
          <w:i/>
          <w:lang w:eastAsia="zh-CN"/>
        </w:rPr>
        <w:t>dl-PRS-CombSizeN-r16</w:t>
      </w:r>
      <w:r w:rsidRPr="00D61C49">
        <w:rPr>
          <w:rFonts w:eastAsiaTheme="minorEastAsia"/>
          <w:b/>
          <w:lang w:eastAsia="zh-CN"/>
        </w:rPr>
        <w:t xml:space="preserve"> in PRS configuration.</w:t>
      </w:r>
    </w:p>
    <w:tbl>
      <w:tblPr>
        <w:tblStyle w:val="af4"/>
        <w:tblW w:w="0" w:type="auto"/>
        <w:tblLook w:val="04A0" w:firstRow="1" w:lastRow="0" w:firstColumn="1" w:lastColumn="0" w:noHBand="0" w:noVBand="1"/>
      </w:tblPr>
      <w:tblGrid>
        <w:gridCol w:w="9621"/>
      </w:tblGrid>
      <w:tr w:rsidR="00D61C49" w:rsidTr="00D61C49">
        <w:tc>
          <w:tcPr>
            <w:tcW w:w="9621" w:type="dxa"/>
          </w:tcPr>
          <w:p w:rsidR="00D61C49" w:rsidRPr="00D61C49" w:rsidRDefault="00D61C49" w:rsidP="00B4674D">
            <w:pPr>
              <w:numPr>
                <w:ilvl w:val="1"/>
                <w:numId w:val="15"/>
              </w:numPr>
              <w:spacing w:before="120" w:after="120"/>
              <w:rPr>
                <w:rFonts w:eastAsiaTheme="minorEastAsia"/>
                <w:lang w:val="en-US" w:eastAsia="zh-CN"/>
              </w:rPr>
            </w:pPr>
            <w:r w:rsidRPr="00D61C49">
              <w:rPr>
                <w:rFonts w:eastAsiaTheme="minorEastAsia"/>
                <w:lang w:val="en-US" w:eastAsia="zh-CN"/>
              </w:rPr>
              <w:t>Antenna panel assumption</w:t>
            </w:r>
          </w:p>
          <w:p w:rsidR="00D61C49" w:rsidRPr="00D61C49" w:rsidRDefault="00D61C49" w:rsidP="00B4674D">
            <w:pPr>
              <w:numPr>
                <w:ilvl w:val="2"/>
                <w:numId w:val="15"/>
              </w:numPr>
              <w:spacing w:before="120" w:after="120"/>
              <w:rPr>
                <w:rFonts w:eastAsiaTheme="minorEastAsia"/>
                <w:lang w:val="en-US" w:eastAsia="zh-CN"/>
              </w:rPr>
            </w:pPr>
            <w:r w:rsidRPr="00D61C49">
              <w:rPr>
                <w:rFonts w:eastAsiaTheme="minorEastAsia"/>
                <w:lang w:val="en-US" w:eastAsia="zh-CN"/>
              </w:rPr>
              <w:t xml:space="preserve">Option 1: RAN4 specifies at least the RSTD accuracy requirements (+/-Y dB) under the assumption of using the same antenna panel for receiving both the reference and neighbor PRS resources. For different antenna panels within the same RSTD measurement, the RSTD accuracy can be specified as +/-Y+ </w:t>
            </w:r>
            <w:r w:rsidRPr="00D61C49">
              <w:rPr>
                <w:rFonts w:eastAsiaTheme="minorEastAsia"/>
                <w:lang w:val="el-GR" w:eastAsia="zh-CN"/>
              </w:rPr>
              <w:t>Δ</w:t>
            </w:r>
            <w:r w:rsidRPr="00D61C49">
              <w:rPr>
                <w:rFonts w:eastAsiaTheme="minorEastAsia"/>
                <w:lang w:val="en-US" w:eastAsia="zh-CN"/>
              </w:rPr>
              <w:t>Y</w:t>
            </w:r>
            <w:r w:rsidRPr="00D61C49">
              <w:rPr>
                <w:rFonts w:eastAsiaTheme="minorEastAsia"/>
                <w:lang w:val="el-GR" w:eastAsia="zh-CN"/>
              </w:rPr>
              <w:t xml:space="preserve"> </w:t>
            </w:r>
            <w:r w:rsidRPr="00D61C49">
              <w:rPr>
                <w:rFonts w:eastAsiaTheme="minorEastAsia"/>
                <w:lang w:val="en-US" w:eastAsia="zh-CN"/>
              </w:rPr>
              <w:t>dB, or there can be a note that the accuracy can be worse</w:t>
            </w:r>
          </w:p>
          <w:p w:rsidR="00D61C49" w:rsidRPr="00D61C49" w:rsidRDefault="00D61C49" w:rsidP="00B4674D">
            <w:pPr>
              <w:numPr>
                <w:ilvl w:val="2"/>
                <w:numId w:val="15"/>
              </w:numPr>
              <w:spacing w:before="120" w:after="120"/>
              <w:rPr>
                <w:rFonts w:eastAsiaTheme="minorEastAsia"/>
                <w:lang w:val="en-US" w:eastAsia="zh-CN"/>
              </w:rPr>
            </w:pPr>
            <w:r w:rsidRPr="00D61C49">
              <w:rPr>
                <w:rFonts w:eastAsiaTheme="minorEastAsia"/>
                <w:lang w:val="en-US" w:eastAsia="zh-CN"/>
              </w:rPr>
              <w:t>Option 2: RAN4 not to define separate accuracy requirements for RSTD measured with same panel and with different panels</w:t>
            </w:r>
          </w:p>
        </w:tc>
      </w:tr>
    </w:tbl>
    <w:p w:rsidR="00D61C49" w:rsidRDefault="00D61C49" w:rsidP="00D61C49">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On the antenna panel assumption, in our view, it relates to the calibration margin in the accuracy. RAN4 has discussed the reference point for the timing related measurement, and the common understanding is that the calibration of timing between antenna and baseband may impact the accuracy. In FR2, the calibration error may be different for different antenna panels, so we agree to take the antenna panel as a consideration factor in accuracy requirements. </w:t>
      </w:r>
    </w:p>
    <w:p w:rsidR="00D61C49" w:rsidRDefault="00D61C49" w:rsidP="00D61C49">
      <w:pPr>
        <w:overflowPunct w:val="0"/>
        <w:autoSpaceDE w:val="0"/>
        <w:autoSpaceDN w:val="0"/>
        <w:adjustRightInd w:val="0"/>
        <w:spacing w:before="120" w:after="120"/>
        <w:textAlignment w:val="baseline"/>
        <w:rPr>
          <w:rFonts w:eastAsia="宋体"/>
          <w:lang w:eastAsia="zh-CN"/>
        </w:rPr>
      </w:pPr>
      <w:r>
        <w:rPr>
          <w:rFonts w:eastAsia="宋体"/>
          <w:lang w:eastAsia="zh-CN"/>
        </w:rPr>
        <w:t>However, we do not see a clear point in defining separate accuracy requirements for RSTD measured with same panel and RSTD measured with different panels. In real world, how panels are deployed and which panel is used to take a measurement from a certain TRP are up to UE implementation, so it is not possible to define when UE should use same or different antenna panels for the reference and neighbour cell.</w:t>
      </w:r>
    </w:p>
    <w:p w:rsidR="00D61C49" w:rsidRDefault="00D61C49" w:rsidP="00D61C49">
      <w:pPr>
        <w:overflowPunct w:val="0"/>
        <w:autoSpaceDE w:val="0"/>
        <w:autoSpaceDN w:val="0"/>
        <w:adjustRightInd w:val="0"/>
        <w:spacing w:before="120" w:after="120"/>
        <w:textAlignment w:val="baseline"/>
        <w:rPr>
          <w:rFonts w:eastAsia="宋体"/>
          <w:b/>
          <w:lang w:eastAsia="zh-CN"/>
        </w:rPr>
      </w:pPr>
      <w:r>
        <w:rPr>
          <w:rFonts w:eastAsia="宋体"/>
          <w:b/>
          <w:lang w:eastAsia="zh-CN"/>
        </w:rPr>
        <w:t>Proposal 4: RAN4 not to define separate accuracy requirements for RSTD measured with same panel and with different panels.</w:t>
      </w:r>
    </w:p>
    <w:tbl>
      <w:tblPr>
        <w:tblStyle w:val="af4"/>
        <w:tblW w:w="0" w:type="auto"/>
        <w:tblLook w:val="04A0" w:firstRow="1" w:lastRow="0" w:firstColumn="1" w:lastColumn="0" w:noHBand="0" w:noVBand="1"/>
      </w:tblPr>
      <w:tblGrid>
        <w:gridCol w:w="9621"/>
      </w:tblGrid>
      <w:tr w:rsidR="00D61C49" w:rsidTr="00D61C49">
        <w:tc>
          <w:tcPr>
            <w:tcW w:w="9621" w:type="dxa"/>
          </w:tcPr>
          <w:p w:rsidR="00D61C49" w:rsidRPr="00D61C49" w:rsidRDefault="00D61C49" w:rsidP="00B4674D">
            <w:pPr>
              <w:numPr>
                <w:ilvl w:val="1"/>
                <w:numId w:val="16"/>
              </w:numPr>
              <w:spacing w:before="120" w:after="120"/>
              <w:rPr>
                <w:rFonts w:eastAsiaTheme="minorEastAsia"/>
                <w:lang w:val="en-US" w:eastAsia="zh-CN"/>
              </w:rPr>
            </w:pPr>
            <w:r w:rsidRPr="00D61C49">
              <w:rPr>
                <w:rFonts w:eastAsiaTheme="minorEastAsia"/>
                <w:lang w:val="en-US" w:eastAsia="zh-CN"/>
              </w:rPr>
              <w:t>Applicable PRS BW for defining accuracy</w:t>
            </w:r>
          </w:p>
          <w:p w:rsidR="00D61C49" w:rsidRPr="00D61C49" w:rsidRDefault="00D61C49" w:rsidP="00B4674D">
            <w:pPr>
              <w:numPr>
                <w:ilvl w:val="2"/>
                <w:numId w:val="16"/>
              </w:numPr>
              <w:spacing w:before="120" w:after="120"/>
              <w:rPr>
                <w:rFonts w:eastAsiaTheme="minorEastAsia"/>
                <w:lang w:val="en-US" w:eastAsia="zh-CN"/>
              </w:rPr>
            </w:pPr>
            <w:r w:rsidRPr="00D61C49">
              <w:rPr>
                <w:rFonts w:eastAsiaTheme="minorEastAsia"/>
                <w:lang w:val="en-US" w:eastAsia="zh-CN"/>
              </w:rPr>
              <w:t>Option 1 : If reference and neighbor PRS resources belong to different positioning frequency layers, the minimum PRS BW of the positioning frequency layers should be used for applicability of accuracy requirements.</w:t>
            </w:r>
          </w:p>
          <w:p w:rsidR="00D61C49" w:rsidRPr="00D61C49" w:rsidRDefault="00D61C49" w:rsidP="00B4674D">
            <w:pPr>
              <w:numPr>
                <w:ilvl w:val="2"/>
                <w:numId w:val="16"/>
              </w:numPr>
              <w:spacing w:before="120" w:after="120"/>
              <w:rPr>
                <w:rFonts w:eastAsiaTheme="minorEastAsia"/>
                <w:lang w:val="en-US" w:eastAsia="zh-CN"/>
              </w:rPr>
            </w:pPr>
            <w:r w:rsidRPr="00D61C49">
              <w:rPr>
                <w:rFonts w:eastAsiaTheme="minorEastAsia"/>
                <w:lang w:val="en-US" w:eastAsia="zh-CN"/>
              </w:rPr>
              <w:t>Option 2: FFS</w:t>
            </w:r>
          </w:p>
        </w:tc>
      </w:tr>
    </w:tbl>
    <w:p w:rsidR="001F360D" w:rsidRDefault="00D61C49" w:rsidP="00522586">
      <w:pPr>
        <w:spacing w:before="120" w:after="120"/>
        <w:rPr>
          <w:rFonts w:eastAsiaTheme="minorEastAsia"/>
          <w:lang w:eastAsia="zh-CN"/>
        </w:rPr>
      </w:pPr>
      <w:r>
        <w:rPr>
          <w:rFonts w:eastAsiaTheme="minorEastAsia"/>
          <w:lang w:eastAsia="zh-CN"/>
        </w:rPr>
        <w:t>In our view, the approach in option 1 is reasonable since RSTD is a comparison between TOAs of reference TRP and neighbouring TRP, so the performance is limited by the worse one between the two, which is the one with smaller BW. It is noted that same approach is used in LTE.</w:t>
      </w:r>
    </w:p>
    <w:p w:rsidR="00D61C49" w:rsidRPr="00D61C49" w:rsidRDefault="00D61C49" w:rsidP="00522586">
      <w:pPr>
        <w:spacing w:before="120" w:after="120"/>
        <w:rPr>
          <w:rFonts w:eastAsiaTheme="minorEastAsia"/>
          <w:b/>
          <w:lang w:eastAsia="zh-CN"/>
        </w:rPr>
      </w:pPr>
      <w:r w:rsidRPr="00D61C49">
        <w:rPr>
          <w:rFonts w:eastAsiaTheme="minorEastAsia"/>
          <w:b/>
          <w:lang w:eastAsia="zh-CN"/>
        </w:rPr>
        <w:t>Proposal 5:</w:t>
      </w:r>
      <w:r w:rsidRPr="00D61C49">
        <w:rPr>
          <w:rFonts w:eastAsiaTheme="minorEastAsia"/>
          <w:b/>
          <w:lang w:val="en-US" w:eastAsia="zh-CN"/>
        </w:rPr>
        <w:t xml:space="preserve"> If reference and neighbor PRS resources belong to different positioning frequency layers, the minimum PRS BW of the positioning frequency layers should be used for applicability of accuracy requirements</w:t>
      </w:r>
    </w:p>
    <w:tbl>
      <w:tblPr>
        <w:tblStyle w:val="af4"/>
        <w:tblW w:w="0" w:type="auto"/>
        <w:tblLook w:val="04A0" w:firstRow="1" w:lastRow="0" w:firstColumn="1" w:lastColumn="0" w:noHBand="0" w:noVBand="1"/>
      </w:tblPr>
      <w:tblGrid>
        <w:gridCol w:w="9621"/>
      </w:tblGrid>
      <w:tr w:rsidR="00D61C49" w:rsidTr="00D61C49">
        <w:tc>
          <w:tcPr>
            <w:tcW w:w="9621" w:type="dxa"/>
          </w:tcPr>
          <w:p w:rsidR="00D61C49" w:rsidRPr="00D61C49" w:rsidRDefault="00D61C49" w:rsidP="00B4674D">
            <w:pPr>
              <w:numPr>
                <w:ilvl w:val="1"/>
                <w:numId w:val="17"/>
              </w:numPr>
              <w:spacing w:before="120" w:after="120"/>
              <w:rPr>
                <w:rFonts w:eastAsiaTheme="minorEastAsia"/>
                <w:lang w:val="en-US" w:eastAsia="zh-CN"/>
              </w:rPr>
            </w:pPr>
            <w:r w:rsidRPr="00D61C49">
              <w:rPr>
                <w:rFonts w:eastAsiaTheme="minorEastAsia"/>
                <w:lang w:val="en-US" w:eastAsia="zh-CN"/>
              </w:rPr>
              <w:t>Assumption on TRS setting for defining accuracy and test</w:t>
            </w:r>
          </w:p>
          <w:p w:rsidR="00D61C49" w:rsidRPr="00D61C49" w:rsidRDefault="00D61C49" w:rsidP="00B4674D">
            <w:pPr>
              <w:numPr>
                <w:ilvl w:val="2"/>
                <w:numId w:val="17"/>
              </w:numPr>
              <w:spacing w:before="120" w:after="120"/>
              <w:rPr>
                <w:rFonts w:eastAsiaTheme="minorEastAsia"/>
                <w:lang w:val="en-US" w:eastAsia="zh-CN"/>
              </w:rPr>
            </w:pPr>
            <w:r w:rsidRPr="00D61C49">
              <w:rPr>
                <w:rFonts w:eastAsiaTheme="minorEastAsia"/>
                <w:lang w:val="en-US" w:eastAsia="zh-CN"/>
              </w:rPr>
              <w:t>Option 1: add proper TRS settings in both RSTD accuracy requirements and test cases so that UE can compensate the crystal clock frequency offset by measuring TRS.</w:t>
            </w:r>
          </w:p>
          <w:p w:rsidR="00D61C49" w:rsidRPr="00D61C49" w:rsidRDefault="00D61C49" w:rsidP="00B4674D">
            <w:pPr>
              <w:numPr>
                <w:ilvl w:val="2"/>
                <w:numId w:val="17"/>
              </w:numPr>
              <w:spacing w:before="120" w:after="120"/>
              <w:rPr>
                <w:rFonts w:eastAsiaTheme="minorEastAsia"/>
                <w:lang w:val="en-US" w:eastAsia="zh-CN"/>
              </w:rPr>
            </w:pPr>
            <w:r w:rsidRPr="00D61C49">
              <w:rPr>
                <w:rFonts w:eastAsiaTheme="minorEastAsia"/>
                <w:lang w:val="en-US" w:eastAsia="zh-CN"/>
              </w:rPr>
              <w:t>Option 2: FFS for Performance part</w:t>
            </w:r>
          </w:p>
        </w:tc>
      </w:tr>
    </w:tbl>
    <w:p w:rsidR="001F360D" w:rsidRDefault="00A427BF" w:rsidP="00522586">
      <w:pPr>
        <w:spacing w:before="120" w:after="120"/>
        <w:rPr>
          <w:rFonts w:eastAsiaTheme="minorEastAsia"/>
          <w:lang w:eastAsia="zh-CN"/>
        </w:rPr>
      </w:pPr>
      <w:r>
        <w:rPr>
          <w:rFonts w:eastAsiaTheme="minorEastAsia"/>
          <w:lang w:eastAsia="zh-CN"/>
        </w:rPr>
        <w:t xml:space="preserve">In our view, there is no need to capture TRS presence or particular TRS setting as the applicability condition for the accuracy requirements. It is true that UE keeps its oscillator and timing based on serving cell, but even in worst case there will be SSB with 160ms periodicity available in the serving cell which we think is sufficient to limit the timing error for PRS measurement at reasonable level in typical scenarios. </w:t>
      </w:r>
    </w:p>
    <w:p w:rsidR="001F360D" w:rsidRDefault="004922A2" w:rsidP="00522586">
      <w:pPr>
        <w:spacing w:before="120" w:after="120"/>
        <w:rPr>
          <w:rFonts w:eastAsiaTheme="minorEastAsia"/>
          <w:lang w:eastAsia="zh-CN"/>
        </w:rPr>
      </w:pPr>
      <w:r>
        <w:rPr>
          <w:rFonts w:eastAsiaTheme="minorEastAsia"/>
          <w:lang w:eastAsia="zh-CN"/>
        </w:rPr>
        <w:t>On the other hand, for</w:t>
      </w:r>
      <w:r w:rsidR="00A427BF">
        <w:rPr>
          <w:rFonts w:eastAsiaTheme="minorEastAsia"/>
          <w:lang w:eastAsia="zh-CN"/>
        </w:rPr>
        <w:t xml:space="preserve"> test cases TRS is configured in each </w:t>
      </w:r>
      <w:r>
        <w:rPr>
          <w:rFonts w:eastAsiaTheme="minorEastAsia"/>
          <w:lang w:eastAsia="zh-CN"/>
        </w:rPr>
        <w:t xml:space="preserve">of existing </w:t>
      </w:r>
      <w:r w:rsidR="00A427BF">
        <w:rPr>
          <w:rFonts w:eastAsiaTheme="minorEastAsia"/>
          <w:lang w:eastAsia="zh-CN"/>
        </w:rPr>
        <w:t>test case</w:t>
      </w:r>
      <w:r>
        <w:rPr>
          <w:rFonts w:eastAsiaTheme="minorEastAsia"/>
          <w:lang w:eastAsia="zh-CN"/>
        </w:rPr>
        <w:t>s</w:t>
      </w:r>
      <w:r w:rsidR="00A427BF">
        <w:rPr>
          <w:rFonts w:eastAsiaTheme="minorEastAsia"/>
          <w:lang w:eastAsia="zh-CN"/>
        </w:rPr>
        <w:t xml:space="preserve"> based on RAN1 specification, and we do not see </w:t>
      </w:r>
      <w:r>
        <w:rPr>
          <w:rFonts w:eastAsiaTheme="minorEastAsia"/>
          <w:lang w:eastAsia="zh-CN"/>
        </w:rPr>
        <w:t>any reason to change it for positioning test cases.</w:t>
      </w:r>
    </w:p>
    <w:p w:rsidR="004922A2" w:rsidRPr="004922A2" w:rsidRDefault="004922A2" w:rsidP="00522586">
      <w:pPr>
        <w:spacing w:before="120" w:after="120"/>
        <w:rPr>
          <w:rFonts w:eastAsiaTheme="minorEastAsia"/>
          <w:b/>
          <w:lang w:eastAsia="zh-CN"/>
        </w:rPr>
      </w:pPr>
      <w:r w:rsidRPr="004922A2">
        <w:rPr>
          <w:rFonts w:eastAsiaTheme="minorEastAsia"/>
          <w:b/>
          <w:lang w:eastAsia="zh-CN"/>
        </w:rPr>
        <w:lastRenderedPageBreak/>
        <w:t xml:space="preserve">Proposal 6: RAN4 not to capture TRS presence or particular TRS setting as the applicability condition for the accuracy requirements. TRS </w:t>
      </w:r>
      <w:r>
        <w:rPr>
          <w:rFonts w:eastAsiaTheme="minorEastAsia"/>
          <w:b/>
          <w:lang w:eastAsia="zh-CN"/>
        </w:rPr>
        <w:t>is to be</w:t>
      </w:r>
      <w:r w:rsidRPr="004922A2">
        <w:rPr>
          <w:rFonts w:eastAsiaTheme="minorEastAsia"/>
          <w:b/>
          <w:lang w:eastAsia="zh-CN"/>
        </w:rPr>
        <w:t xml:space="preserve"> configured in the positioning test cases as in existing test cases.</w:t>
      </w:r>
    </w:p>
    <w:tbl>
      <w:tblPr>
        <w:tblStyle w:val="af4"/>
        <w:tblW w:w="0" w:type="auto"/>
        <w:tblLook w:val="04A0" w:firstRow="1" w:lastRow="0" w:firstColumn="1" w:lastColumn="0" w:noHBand="0" w:noVBand="1"/>
      </w:tblPr>
      <w:tblGrid>
        <w:gridCol w:w="9621"/>
      </w:tblGrid>
      <w:tr w:rsidR="004922A2" w:rsidTr="004922A2">
        <w:tc>
          <w:tcPr>
            <w:tcW w:w="9621" w:type="dxa"/>
          </w:tcPr>
          <w:p w:rsidR="00A15BB9" w:rsidRPr="004922A2" w:rsidRDefault="00A15BB9" w:rsidP="00B4674D">
            <w:pPr>
              <w:numPr>
                <w:ilvl w:val="1"/>
                <w:numId w:val="18"/>
              </w:numPr>
              <w:spacing w:before="120" w:after="120"/>
              <w:rPr>
                <w:rFonts w:eastAsiaTheme="minorEastAsia"/>
                <w:lang w:val="en-US" w:eastAsia="zh-CN"/>
              </w:rPr>
            </w:pPr>
            <w:r w:rsidRPr="004922A2">
              <w:rPr>
                <w:rFonts w:eastAsiaTheme="minorEastAsia"/>
                <w:lang w:val="en-US" w:eastAsia="zh-CN"/>
              </w:rPr>
              <w:t>Applicable accuracy requirement in case of HO</w:t>
            </w:r>
          </w:p>
          <w:p w:rsidR="004922A2" w:rsidRDefault="00A15BB9" w:rsidP="00B4674D">
            <w:pPr>
              <w:numPr>
                <w:ilvl w:val="2"/>
                <w:numId w:val="18"/>
              </w:numPr>
              <w:spacing w:before="120" w:after="120"/>
              <w:rPr>
                <w:rFonts w:eastAsiaTheme="minorEastAsia"/>
                <w:lang w:val="en-US" w:eastAsia="zh-CN"/>
              </w:rPr>
            </w:pPr>
            <w:r w:rsidRPr="004922A2">
              <w:rPr>
                <w:rFonts w:eastAsiaTheme="minorEastAsia"/>
                <w:lang w:val="en-US" w:eastAsia="zh-CN"/>
              </w:rPr>
              <w:t>Option 1: Define applicable accuracy requirements for RSTD measurements under cell change, considering the cases of intra-frequency HO and inter-frequency HO, e.g. the most relaxed applies between the one before and the one after the HO.</w:t>
            </w:r>
          </w:p>
          <w:p w:rsidR="004922A2" w:rsidRPr="004922A2" w:rsidRDefault="004922A2" w:rsidP="00B4674D">
            <w:pPr>
              <w:numPr>
                <w:ilvl w:val="2"/>
                <w:numId w:val="18"/>
              </w:numPr>
              <w:spacing w:before="120" w:after="120"/>
              <w:rPr>
                <w:rFonts w:eastAsiaTheme="minorEastAsia"/>
                <w:lang w:val="en-US" w:eastAsia="zh-CN"/>
              </w:rPr>
            </w:pPr>
            <w:r w:rsidRPr="004922A2">
              <w:rPr>
                <w:rFonts w:eastAsiaTheme="minorEastAsia"/>
                <w:lang w:val="en-US" w:eastAsia="zh-CN"/>
              </w:rPr>
              <w:t>Option 2: Applicable accuracy requirements is not impacted by HO.</w:t>
            </w:r>
          </w:p>
        </w:tc>
      </w:tr>
    </w:tbl>
    <w:p w:rsidR="001F360D" w:rsidRDefault="004922A2" w:rsidP="00522586">
      <w:pPr>
        <w:spacing w:before="120" w:after="120"/>
        <w:rPr>
          <w:rFonts w:eastAsiaTheme="minorEastAsia"/>
          <w:lang w:eastAsia="zh-CN"/>
        </w:rPr>
      </w:pPr>
      <w:r w:rsidRPr="004922A2">
        <w:rPr>
          <w:rFonts w:eastAsiaTheme="minorEastAsia"/>
          <w:lang w:eastAsia="zh-CN"/>
        </w:rPr>
        <w:t>Measurement accuracy mainly depends on PRS BW and resource repetitions, but none of them is impacted by HO.</w:t>
      </w:r>
      <w:r>
        <w:rPr>
          <w:rFonts w:eastAsiaTheme="minorEastAsia"/>
          <w:lang w:eastAsia="zh-CN"/>
        </w:rPr>
        <w:t xml:space="preserve"> With HO, the serving frequency may be changed but the PRS frequency layer is not, so we do not see the point why applicable accuracy requirement is impacted by HO.</w:t>
      </w:r>
    </w:p>
    <w:p w:rsidR="004922A2" w:rsidRPr="004922A2" w:rsidRDefault="004922A2" w:rsidP="00522586">
      <w:pPr>
        <w:spacing w:before="120" w:after="120"/>
        <w:rPr>
          <w:rFonts w:eastAsiaTheme="minorEastAsia"/>
          <w:b/>
          <w:lang w:eastAsia="zh-CN"/>
        </w:rPr>
      </w:pPr>
      <w:r w:rsidRPr="004922A2">
        <w:rPr>
          <w:rFonts w:eastAsiaTheme="minorEastAsia"/>
          <w:b/>
          <w:lang w:eastAsia="zh-CN"/>
        </w:rPr>
        <w:t xml:space="preserve">Proposal 7: </w:t>
      </w:r>
      <w:r w:rsidRPr="004922A2">
        <w:rPr>
          <w:rFonts w:eastAsiaTheme="minorEastAsia"/>
          <w:b/>
          <w:lang w:val="en-US" w:eastAsia="zh-CN"/>
        </w:rPr>
        <w:t>Applicable accuracy requirements is not impacted by HO.</w:t>
      </w:r>
    </w:p>
    <w:tbl>
      <w:tblPr>
        <w:tblStyle w:val="af4"/>
        <w:tblW w:w="0" w:type="auto"/>
        <w:tblLook w:val="04A0" w:firstRow="1" w:lastRow="0" w:firstColumn="1" w:lastColumn="0" w:noHBand="0" w:noVBand="1"/>
      </w:tblPr>
      <w:tblGrid>
        <w:gridCol w:w="9621"/>
      </w:tblGrid>
      <w:tr w:rsidR="004922A2" w:rsidTr="004922A2">
        <w:tc>
          <w:tcPr>
            <w:tcW w:w="9621" w:type="dxa"/>
          </w:tcPr>
          <w:p w:rsidR="00A15BB9" w:rsidRPr="004922A2" w:rsidRDefault="00A15BB9" w:rsidP="00B4674D">
            <w:pPr>
              <w:numPr>
                <w:ilvl w:val="1"/>
                <w:numId w:val="19"/>
              </w:numPr>
              <w:spacing w:before="120" w:after="120"/>
              <w:rPr>
                <w:rFonts w:eastAsiaTheme="minorEastAsia"/>
                <w:lang w:val="en-US" w:eastAsia="zh-CN"/>
              </w:rPr>
            </w:pPr>
            <w:r w:rsidRPr="004922A2">
              <w:rPr>
                <w:rFonts w:eastAsiaTheme="minorEastAsia"/>
                <w:lang w:val="en-US" w:eastAsia="zh-CN"/>
              </w:rPr>
              <w:t>Applicable propagation channel for accuracy requirement</w:t>
            </w:r>
          </w:p>
          <w:p w:rsidR="00A15BB9" w:rsidRPr="004922A2" w:rsidRDefault="00A15BB9" w:rsidP="00B4674D">
            <w:pPr>
              <w:numPr>
                <w:ilvl w:val="2"/>
                <w:numId w:val="19"/>
              </w:numPr>
              <w:spacing w:before="120" w:after="120"/>
              <w:rPr>
                <w:rFonts w:eastAsiaTheme="minorEastAsia"/>
                <w:lang w:val="en-US" w:eastAsia="zh-CN"/>
              </w:rPr>
            </w:pPr>
            <w:r w:rsidRPr="004922A2">
              <w:rPr>
                <w:rFonts w:eastAsiaTheme="minorEastAsia"/>
                <w:lang w:val="en-US" w:eastAsia="zh-CN"/>
              </w:rPr>
              <w:t>Option 1: Exclude number from simulations for TDL-C channel model with 300 ns delay spread in FR1 from consideration for defining the RSTD and UE Rx-Tx timing difference accuracy requirements.</w:t>
            </w:r>
          </w:p>
          <w:p w:rsidR="004922A2" w:rsidRPr="004922A2" w:rsidRDefault="00A15BB9" w:rsidP="00B4674D">
            <w:pPr>
              <w:numPr>
                <w:ilvl w:val="2"/>
                <w:numId w:val="19"/>
              </w:numPr>
              <w:spacing w:before="120" w:after="120"/>
              <w:rPr>
                <w:rFonts w:eastAsiaTheme="minorEastAsia"/>
                <w:lang w:val="en-US" w:eastAsia="zh-CN"/>
              </w:rPr>
            </w:pPr>
            <w:r w:rsidRPr="004922A2">
              <w:rPr>
                <w:rFonts w:eastAsiaTheme="minorEastAsia"/>
                <w:lang w:val="en-US" w:eastAsia="zh-CN"/>
              </w:rPr>
              <w:t xml:space="preserve">Option 2: Take into account number from simulations for TDL-C channel model with 300 ns delay spread in FR1 from consideration for defining the RSTD and UE Rx-Tx timing </w:t>
            </w:r>
          </w:p>
        </w:tc>
      </w:tr>
    </w:tbl>
    <w:p w:rsidR="00A15BB9" w:rsidRDefault="00A15BB9" w:rsidP="00522586">
      <w:pPr>
        <w:spacing w:before="120" w:after="120"/>
        <w:rPr>
          <w:rFonts w:eastAsiaTheme="minorEastAsia"/>
          <w:lang w:eastAsia="zh-CN"/>
        </w:rPr>
      </w:pPr>
      <w:r>
        <w:rPr>
          <w:rFonts w:eastAsiaTheme="minorEastAsia"/>
          <w:lang w:eastAsia="zh-CN"/>
        </w:rPr>
        <w:t xml:space="preserve">From the link level simulations, it is a common observation from companies that RSTD accuracy is much worse with TDL-C channel companied to other channels. This is expected given the large delay of the strongest path. It means the RSTD based positioning cannot work well in such propagation environment. </w:t>
      </w:r>
    </w:p>
    <w:p w:rsidR="001F360D" w:rsidRDefault="00A15BB9" w:rsidP="00522586">
      <w:pPr>
        <w:spacing w:before="120" w:after="120"/>
        <w:rPr>
          <w:rFonts w:eastAsiaTheme="minorEastAsia"/>
          <w:lang w:val="en-US" w:eastAsia="zh-CN"/>
        </w:rPr>
      </w:pPr>
      <w:r>
        <w:rPr>
          <w:rFonts w:eastAsiaTheme="minorEastAsia"/>
          <w:lang w:eastAsia="zh-CN"/>
        </w:rPr>
        <w:t xml:space="preserve">If the performance with TDL-C is considered in the accuracy requirements, the accuracy would be poor which gives the improper indication to implementation of the performance in other scenarios e.g. LOS scenario where RSTD based positioning is typically deployed. Therefore, it is reasonable to exclude </w:t>
      </w:r>
      <w:r w:rsidRPr="004922A2">
        <w:rPr>
          <w:rFonts w:eastAsiaTheme="minorEastAsia"/>
          <w:lang w:val="en-US" w:eastAsia="zh-CN"/>
        </w:rPr>
        <w:t>number from simulations for TDL-C channel model with 300 ns delay spread in FR1 for defining the RSTD accuracy requirements</w:t>
      </w:r>
      <w:r>
        <w:rPr>
          <w:rFonts w:eastAsiaTheme="minorEastAsia"/>
          <w:lang w:val="en-US" w:eastAsia="zh-CN"/>
        </w:rPr>
        <w:t>.</w:t>
      </w:r>
    </w:p>
    <w:p w:rsidR="004403B8" w:rsidRDefault="00A15BB9" w:rsidP="00A15BB9">
      <w:pPr>
        <w:spacing w:before="120" w:after="120"/>
        <w:rPr>
          <w:rFonts w:eastAsiaTheme="minorEastAsia"/>
          <w:b/>
          <w:lang w:val="en-US" w:eastAsia="zh-CN"/>
        </w:rPr>
      </w:pPr>
      <w:r w:rsidRPr="00A15BB9">
        <w:rPr>
          <w:rFonts w:eastAsiaTheme="minorEastAsia" w:hint="eastAsia"/>
          <w:b/>
          <w:lang w:eastAsia="zh-CN"/>
        </w:rPr>
        <w:t>P</w:t>
      </w:r>
      <w:r w:rsidRPr="00A15BB9">
        <w:rPr>
          <w:rFonts w:eastAsiaTheme="minorEastAsia"/>
          <w:b/>
          <w:lang w:eastAsia="zh-CN"/>
        </w:rPr>
        <w:t xml:space="preserve">roposal 8: Exclude </w:t>
      </w:r>
      <w:r w:rsidRPr="00A15BB9">
        <w:rPr>
          <w:rFonts w:eastAsiaTheme="minorEastAsia"/>
          <w:b/>
          <w:lang w:val="en-US" w:eastAsia="zh-CN"/>
        </w:rPr>
        <w:t>number from simulations for TDL-C channel model with 300 ns delay spread in FR1 for defining the RSTD accuracy requirements.</w:t>
      </w:r>
    </w:p>
    <w:p w:rsidR="001B1CAF" w:rsidRDefault="001B1CAF" w:rsidP="001B1CAF">
      <w:pPr>
        <w:spacing w:before="120" w:after="120"/>
        <w:rPr>
          <w:rFonts w:eastAsiaTheme="minorEastAsia"/>
          <w:lang w:val="en-US" w:eastAsia="zh-CN"/>
        </w:rPr>
      </w:pPr>
      <w:r>
        <w:rPr>
          <w:rFonts w:eastAsiaTheme="minorEastAsia"/>
          <w:lang w:val="en-US" w:eastAsia="zh-CN"/>
        </w:rPr>
        <w:t xml:space="preserve">Besides above issues from RAN4#96-e, to complete the RSTD accuracy requirements, two additional issues need to be decided. </w:t>
      </w:r>
    </w:p>
    <w:p w:rsidR="001B1CAF" w:rsidRDefault="001B1CAF" w:rsidP="001B1CAF">
      <w:pPr>
        <w:spacing w:before="120" w:after="120"/>
        <w:rPr>
          <w:rFonts w:eastAsiaTheme="minorEastAsia"/>
          <w:lang w:val="en-US" w:eastAsia="zh-CN"/>
        </w:rPr>
      </w:pPr>
      <w:r>
        <w:rPr>
          <w:rFonts w:eastAsiaTheme="minorEastAsia"/>
          <w:lang w:val="en-US" w:eastAsia="zh-CN"/>
        </w:rPr>
        <w:t>One issue is which combinations of PRS BW and repetitions the requirements are defined for. As discussed in the past meetings, RAN4 cannot define accuracy requirements for each combination of PRS BW and repetitions; instead a limited set of combinations needs to be selected based on typical deployment scenario and link level performance, e.g. all the combinations should lead to reasonable performance, and the performance gap between the combinations should be large enough justifying separate requirements. In our view, the combinations that were used in the agreed simulation [</w:t>
      </w:r>
      <w:r w:rsidR="00BF5F61">
        <w:rPr>
          <w:rFonts w:eastAsiaTheme="minorEastAsia"/>
          <w:lang w:val="en-US" w:eastAsia="zh-CN"/>
        </w:rPr>
        <w:t>4</w:t>
      </w:r>
      <w:r>
        <w:rPr>
          <w:rFonts w:eastAsiaTheme="minorEastAsia"/>
          <w:lang w:val="en-US" w:eastAsia="zh-CN"/>
        </w:rPr>
        <w:t>] can be used as a starting point.</w:t>
      </w:r>
    </w:p>
    <w:p w:rsidR="001B1CAF" w:rsidRDefault="001B1CAF" w:rsidP="001B1CAF">
      <w:pPr>
        <w:spacing w:before="120" w:after="120"/>
        <w:rPr>
          <w:rFonts w:eastAsiaTheme="minorEastAsia"/>
          <w:b/>
          <w:lang w:val="en-US" w:eastAsia="zh-CN"/>
        </w:rPr>
      </w:pPr>
      <w:r w:rsidRPr="008D3CA8">
        <w:rPr>
          <w:rFonts w:eastAsiaTheme="minorEastAsia"/>
          <w:b/>
          <w:lang w:val="en-US" w:eastAsia="zh-CN"/>
        </w:rPr>
        <w:t xml:space="preserve">Proposal 9: RAN4 to decide the combinations of PRS BW and repetitions </w:t>
      </w:r>
      <w:r w:rsidR="008D3CA8" w:rsidRPr="008D3CA8">
        <w:rPr>
          <w:rFonts w:eastAsiaTheme="minorEastAsia"/>
          <w:b/>
          <w:lang w:val="en-US" w:eastAsia="zh-CN"/>
        </w:rPr>
        <w:t xml:space="preserve">for which </w:t>
      </w:r>
      <w:r w:rsidRPr="008D3CA8">
        <w:rPr>
          <w:rFonts w:eastAsiaTheme="minorEastAsia"/>
          <w:b/>
          <w:lang w:val="en-US" w:eastAsia="zh-CN"/>
        </w:rPr>
        <w:t>the requirements are defined</w:t>
      </w:r>
      <w:r w:rsidR="008D3CA8" w:rsidRPr="008D3CA8">
        <w:rPr>
          <w:rFonts w:eastAsiaTheme="minorEastAsia"/>
          <w:b/>
          <w:lang w:val="en-US" w:eastAsia="zh-CN"/>
        </w:rPr>
        <w:t>. The combinations that were used in the agreed simulation can be used as a starting point</w:t>
      </w:r>
      <w:r w:rsidR="008D3CA8">
        <w:rPr>
          <w:rFonts w:eastAsiaTheme="minorEastAsia"/>
          <w:b/>
          <w:lang w:val="en-US" w:eastAsia="zh-CN"/>
        </w:rPr>
        <w:t>.</w:t>
      </w:r>
    </w:p>
    <w:p w:rsidR="008D3CA8" w:rsidRDefault="008D3CA8" w:rsidP="001B1CAF">
      <w:pPr>
        <w:spacing w:before="120" w:after="120"/>
        <w:rPr>
          <w:rFonts w:eastAsiaTheme="minorEastAsia"/>
          <w:lang w:val="en-US" w:eastAsia="zh-CN"/>
        </w:rPr>
      </w:pPr>
      <w:r w:rsidRPr="008D3CA8">
        <w:rPr>
          <w:rFonts w:eastAsiaTheme="minorEastAsia"/>
          <w:lang w:val="en-US" w:eastAsia="zh-CN"/>
        </w:rPr>
        <w:t xml:space="preserve">Another issue </w:t>
      </w:r>
      <w:r>
        <w:rPr>
          <w:rFonts w:eastAsiaTheme="minorEastAsia"/>
          <w:lang w:val="en-US" w:eastAsia="zh-CN"/>
        </w:rPr>
        <w:t>is the group delay calibration margin. Similar as RF calibration margin in RSRP accuracy, this margin adds to the accuracy numbers and needs to be determined based on UE vendors’ inputs. It is noted that as the RSTD is the difference between two TOA measurements, the calibration error can be cancelled out if the reference and neighboring resources are on the same frequency layer in FR1. For FR2 as different antenna panels may be used for measuring reference and neighboring resources, the calibration error may still apply.</w:t>
      </w:r>
    </w:p>
    <w:p w:rsidR="008D3CA8" w:rsidRPr="008D3CA8" w:rsidRDefault="008D3CA8" w:rsidP="001B1CAF">
      <w:pPr>
        <w:spacing w:before="120" w:after="120"/>
        <w:rPr>
          <w:rFonts w:eastAsiaTheme="minorEastAsia"/>
          <w:b/>
          <w:lang w:val="en-US" w:eastAsia="zh-CN"/>
        </w:rPr>
      </w:pPr>
      <w:r w:rsidRPr="008D3CA8">
        <w:rPr>
          <w:rFonts w:eastAsiaTheme="minorEastAsia"/>
          <w:b/>
          <w:lang w:val="en-US" w:eastAsia="zh-CN"/>
        </w:rPr>
        <w:lastRenderedPageBreak/>
        <w:t>Proposal 10: RAN4 to decide on the group delay calibration margin</w:t>
      </w:r>
      <w:r w:rsidRPr="008D3CA8">
        <w:rPr>
          <w:rFonts w:eastAsiaTheme="minorEastAsia" w:hint="eastAsia"/>
          <w:b/>
          <w:lang w:val="en-US" w:eastAsia="zh-CN"/>
        </w:rPr>
        <w:t>.</w:t>
      </w:r>
      <w:r w:rsidRPr="008D3CA8">
        <w:rPr>
          <w:rFonts w:eastAsiaTheme="minorEastAsia"/>
          <w:b/>
          <w:lang w:val="en-US" w:eastAsia="zh-CN"/>
        </w:rPr>
        <w:t xml:space="preserve"> </w:t>
      </w:r>
    </w:p>
    <w:p w:rsidR="008D3CA8" w:rsidRPr="008D3CA8" w:rsidRDefault="008D3CA8" w:rsidP="00B4674D">
      <w:pPr>
        <w:pStyle w:val="af8"/>
        <w:numPr>
          <w:ilvl w:val="0"/>
          <w:numId w:val="13"/>
        </w:numPr>
        <w:spacing w:before="120" w:after="120"/>
        <w:rPr>
          <w:rFonts w:eastAsiaTheme="minorEastAsia"/>
          <w:b/>
          <w:lang w:eastAsia="zh-CN"/>
        </w:rPr>
      </w:pPr>
      <w:r w:rsidRPr="008D3CA8">
        <w:rPr>
          <w:rFonts w:eastAsiaTheme="minorEastAsia"/>
          <w:b/>
          <w:lang w:eastAsia="zh-CN"/>
        </w:rPr>
        <w:t>The margin equals to zero if the reference and neighboring resources are on the same frequency layer in FR1</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A15BB9">
        <w:rPr>
          <w:rFonts w:eastAsia="宋体"/>
          <w:lang w:eastAsia="zh-CN"/>
        </w:rPr>
        <w:t>RSTD accuracy requirements.</w:t>
      </w:r>
    </w:p>
    <w:p w:rsidR="00D979D8" w:rsidRPr="008D3CA8" w:rsidRDefault="00D979D8" w:rsidP="008D3CA8">
      <w:pPr>
        <w:spacing w:before="120" w:after="120"/>
        <w:rPr>
          <w:rFonts w:eastAsia="宋体"/>
          <w:b/>
          <w:lang w:eastAsia="zh-CN"/>
        </w:rPr>
      </w:pPr>
      <w:r w:rsidRPr="008D3CA8">
        <w:rPr>
          <w:rFonts w:eastAsia="宋体"/>
          <w:b/>
          <w:lang w:eastAsia="zh-CN"/>
        </w:rPr>
        <w:t>Proposal 1: Side condition for RSTD accuracy requirements in FR2 is PRS Es/Iot of -3 dB for reference cell and -10 dB for neighbor cells.</w:t>
      </w:r>
    </w:p>
    <w:p w:rsidR="00D979D8" w:rsidRPr="008D3CA8" w:rsidRDefault="00D979D8" w:rsidP="008D3CA8">
      <w:pPr>
        <w:spacing w:before="120" w:after="120"/>
        <w:rPr>
          <w:rFonts w:eastAsiaTheme="minorEastAsia"/>
          <w:b/>
          <w:lang w:eastAsia="zh-CN"/>
        </w:rPr>
      </w:pPr>
      <w:r w:rsidRPr="008D3CA8">
        <w:rPr>
          <w:rFonts w:eastAsiaTheme="minorEastAsia" w:hint="eastAsia"/>
          <w:b/>
          <w:lang w:eastAsia="zh-CN"/>
        </w:rPr>
        <w:t>P</w:t>
      </w:r>
      <w:r w:rsidRPr="008D3CA8">
        <w:rPr>
          <w:rFonts w:eastAsiaTheme="minorEastAsia"/>
          <w:b/>
          <w:lang w:eastAsia="zh-CN"/>
        </w:rPr>
        <w:t xml:space="preserve">roposal 2: RSTD accuracy requirements are defined based on a single PRS sample, where a PRS sample includes a number of PRS repetitions. </w:t>
      </w:r>
    </w:p>
    <w:p w:rsidR="00D979D8" w:rsidRPr="008D3CA8" w:rsidRDefault="00D979D8" w:rsidP="008D3CA8">
      <w:pPr>
        <w:spacing w:before="120" w:after="120"/>
        <w:rPr>
          <w:rFonts w:eastAsiaTheme="minorEastAsia"/>
          <w:b/>
          <w:lang w:eastAsia="zh-CN"/>
        </w:rPr>
      </w:pPr>
      <w:r w:rsidRPr="008D3CA8">
        <w:rPr>
          <w:rFonts w:eastAsiaTheme="minorEastAsia"/>
          <w:b/>
          <w:lang w:eastAsia="zh-CN"/>
        </w:rPr>
        <w:t xml:space="preserve">Proposal 3: RSTD accuracy requirements are defined agnostic to comb size, which is given by parameter </w:t>
      </w:r>
      <w:r w:rsidRPr="008D3CA8">
        <w:rPr>
          <w:rFonts w:eastAsiaTheme="minorEastAsia"/>
          <w:b/>
          <w:i/>
          <w:lang w:eastAsia="zh-CN"/>
        </w:rPr>
        <w:t>dl-PRS-CombSizeN-r16</w:t>
      </w:r>
      <w:r w:rsidRPr="008D3CA8">
        <w:rPr>
          <w:rFonts w:eastAsiaTheme="minorEastAsia"/>
          <w:b/>
          <w:lang w:eastAsia="zh-CN"/>
        </w:rPr>
        <w:t xml:space="preserve"> in PRS configuration.</w:t>
      </w:r>
    </w:p>
    <w:p w:rsidR="00D979D8" w:rsidRPr="008D3CA8" w:rsidRDefault="00D979D8" w:rsidP="008D3CA8">
      <w:pPr>
        <w:overflowPunct w:val="0"/>
        <w:autoSpaceDE w:val="0"/>
        <w:autoSpaceDN w:val="0"/>
        <w:adjustRightInd w:val="0"/>
        <w:spacing w:before="120" w:after="120"/>
        <w:textAlignment w:val="baseline"/>
        <w:rPr>
          <w:rFonts w:eastAsia="宋体"/>
          <w:b/>
          <w:lang w:eastAsia="zh-CN"/>
        </w:rPr>
      </w:pPr>
      <w:r w:rsidRPr="008D3CA8">
        <w:rPr>
          <w:rFonts w:eastAsia="宋体"/>
          <w:b/>
          <w:lang w:eastAsia="zh-CN"/>
        </w:rPr>
        <w:t>Proposal 4: RAN4 not to define separate accuracy requirements for RSTD measured with same panel and with different panels.</w:t>
      </w:r>
    </w:p>
    <w:p w:rsidR="00D979D8" w:rsidRPr="008D3CA8" w:rsidRDefault="00D979D8" w:rsidP="008D3CA8">
      <w:pPr>
        <w:spacing w:before="120" w:after="120"/>
        <w:rPr>
          <w:rFonts w:eastAsiaTheme="minorEastAsia"/>
          <w:b/>
          <w:lang w:eastAsia="zh-CN"/>
        </w:rPr>
      </w:pPr>
      <w:r w:rsidRPr="008D3CA8">
        <w:rPr>
          <w:rFonts w:eastAsiaTheme="minorEastAsia"/>
          <w:b/>
          <w:lang w:eastAsia="zh-CN"/>
        </w:rPr>
        <w:t>Proposal 5: If reference and neighbor PRS resources belong to different positioning frequency layers, the minimum PRS BW of the positioning frequency layers should be used for applicability of accuracy requirements</w:t>
      </w:r>
    </w:p>
    <w:p w:rsidR="00D979D8" w:rsidRPr="008D3CA8" w:rsidRDefault="00D979D8" w:rsidP="008D3CA8">
      <w:pPr>
        <w:spacing w:before="120" w:after="120"/>
        <w:rPr>
          <w:rFonts w:eastAsiaTheme="minorEastAsia"/>
          <w:b/>
          <w:lang w:eastAsia="zh-CN"/>
        </w:rPr>
      </w:pPr>
      <w:r w:rsidRPr="008D3CA8">
        <w:rPr>
          <w:rFonts w:eastAsiaTheme="minorEastAsia"/>
          <w:b/>
          <w:lang w:eastAsia="zh-CN"/>
        </w:rPr>
        <w:t>Proposal 6: RAN4 not to capture TRS presence or particular TRS setting as the applicability condition for the accuracy requirements. TRS is to be configured in the positioning test cases as in existing test cases.</w:t>
      </w:r>
    </w:p>
    <w:p w:rsidR="00D979D8" w:rsidRPr="008D3CA8" w:rsidRDefault="00D979D8" w:rsidP="008D3CA8">
      <w:pPr>
        <w:spacing w:before="120" w:after="120"/>
        <w:rPr>
          <w:rFonts w:eastAsiaTheme="minorEastAsia"/>
          <w:b/>
          <w:lang w:eastAsia="zh-CN"/>
        </w:rPr>
      </w:pPr>
      <w:r w:rsidRPr="008D3CA8">
        <w:rPr>
          <w:rFonts w:eastAsiaTheme="minorEastAsia"/>
          <w:b/>
          <w:lang w:eastAsia="zh-CN"/>
        </w:rPr>
        <w:t>Proposal 7: Applicable accuracy requirements is not impacted by HO.</w:t>
      </w:r>
    </w:p>
    <w:p w:rsidR="00047229" w:rsidRPr="008D3CA8" w:rsidRDefault="00D979D8" w:rsidP="008D3CA8">
      <w:pPr>
        <w:spacing w:before="120" w:after="120"/>
        <w:rPr>
          <w:rFonts w:eastAsiaTheme="minorEastAsia"/>
          <w:b/>
          <w:lang w:eastAsia="zh-CN"/>
        </w:rPr>
      </w:pPr>
      <w:r w:rsidRPr="008D3CA8">
        <w:rPr>
          <w:rFonts w:eastAsiaTheme="minorEastAsia" w:hint="eastAsia"/>
          <w:b/>
          <w:lang w:eastAsia="zh-CN"/>
        </w:rPr>
        <w:t>P</w:t>
      </w:r>
      <w:r w:rsidRPr="008D3CA8">
        <w:rPr>
          <w:rFonts w:eastAsiaTheme="minorEastAsia"/>
          <w:b/>
          <w:lang w:eastAsia="zh-CN"/>
        </w:rPr>
        <w:t>roposal 8: Exclude number from simulations for TDL-C channel model with 300 ns delay spread in FR1 for defining the RSTD accuracy requirements.</w:t>
      </w:r>
    </w:p>
    <w:p w:rsidR="008D3CA8" w:rsidRDefault="008D3CA8" w:rsidP="008D3CA8">
      <w:pPr>
        <w:spacing w:before="120" w:after="120"/>
        <w:rPr>
          <w:rFonts w:eastAsiaTheme="minorEastAsia"/>
          <w:b/>
          <w:lang w:val="en-US" w:eastAsia="zh-CN"/>
        </w:rPr>
      </w:pPr>
      <w:r w:rsidRPr="008D3CA8">
        <w:rPr>
          <w:rFonts w:eastAsiaTheme="minorEastAsia"/>
          <w:b/>
          <w:lang w:val="en-US" w:eastAsia="zh-CN"/>
        </w:rPr>
        <w:t>Proposal 9: RAN4 to decide the combinations of PRS BW and repetitions for which the requirements are defined. The combinations that were used in the agreed simulation can be used as a starting point</w:t>
      </w:r>
      <w:r>
        <w:rPr>
          <w:rFonts w:eastAsiaTheme="minorEastAsia"/>
          <w:b/>
          <w:lang w:val="en-US" w:eastAsia="zh-CN"/>
        </w:rPr>
        <w:t>.</w:t>
      </w:r>
    </w:p>
    <w:p w:rsidR="008D3CA8" w:rsidRPr="008D3CA8" w:rsidRDefault="008D3CA8" w:rsidP="008D3CA8">
      <w:pPr>
        <w:spacing w:before="120" w:after="120"/>
        <w:rPr>
          <w:rFonts w:eastAsiaTheme="minorEastAsia"/>
          <w:b/>
          <w:lang w:val="en-US" w:eastAsia="zh-CN"/>
        </w:rPr>
      </w:pPr>
      <w:r w:rsidRPr="008D3CA8">
        <w:rPr>
          <w:rFonts w:eastAsiaTheme="minorEastAsia"/>
          <w:b/>
          <w:lang w:val="en-US" w:eastAsia="zh-CN"/>
        </w:rPr>
        <w:t>Proposal 10: RAN4 to decide on the group delay calibration margin</w:t>
      </w:r>
      <w:r w:rsidR="00EA47E7">
        <w:rPr>
          <w:rFonts w:eastAsiaTheme="minorEastAsia"/>
          <w:b/>
          <w:lang w:val="en-US" w:eastAsia="zh-CN"/>
        </w:rPr>
        <w:t xml:space="preserve"> for RSTD accuracy</w:t>
      </w:r>
      <w:r w:rsidRPr="008D3CA8">
        <w:rPr>
          <w:rFonts w:eastAsiaTheme="minorEastAsia" w:hint="eastAsia"/>
          <w:b/>
          <w:lang w:val="en-US" w:eastAsia="zh-CN"/>
        </w:rPr>
        <w:t>.</w:t>
      </w:r>
      <w:r w:rsidRPr="008D3CA8">
        <w:rPr>
          <w:rFonts w:eastAsiaTheme="minorEastAsia"/>
          <w:b/>
          <w:lang w:val="en-US" w:eastAsia="zh-CN"/>
        </w:rPr>
        <w:t xml:space="preserve"> </w:t>
      </w:r>
    </w:p>
    <w:p w:rsidR="008D3CA8" w:rsidRPr="008D3CA8" w:rsidRDefault="008D3CA8" w:rsidP="00B4674D">
      <w:pPr>
        <w:pStyle w:val="af8"/>
        <w:numPr>
          <w:ilvl w:val="0"/>
          <w:numId w:val="10"/>
        </w:numPr>
        <w:spacing w:before="120" w:after="120"/>
        <w:rPr>
          <w:rFonts w:eastAsiaTheme="minorEastAsia"/>
          <w:b/>
          <w:lang w:eastAsia="zh-CN"/>
        </w:rPr>
      </w:pPr>
      <w:r w:rsidRPr="008D3CA8">
        <w:rPr>
          <w:rFonts w:eastAsiaTheme="minorEastAsia"/>
          <w:b/>
          <w:lang w:eastAsia="zh-CN"/>
        </w:rPr>
        <w:t>The margin equals to zero if the reference and neighboring resources are on the same frequency layer in FR1</w:t>
      </w:r>
    </w:p>
    <w:p w:rsidR="00C0754F" w:rsidRDefault="00C0754F" w:rsidP="00C0754F">
      <w:pPr>
        <w:pStyle w:val="1"/>
        <w:jc w:val="both"/>
        <w:rPr>
          <w:lang w:val="en-US"/>
        </w:rPr>
      </w:pPr>
      <w:r w:rsidRPr="00C0754F">
        <w:rPr>
          <w:lang w:val="en-US"/>
        </w:rPr>
        <w:t>Reference</w:t>
      </w:r>
    </w:p>
    <w:p w:rsidR="00F658AD" w:rsidRDefault="00353A33" w:rsidP="00353A33">
      <w:pPr>
        <w:numPr>
          <w:ilvl w:val="0"/>
          <w:numId w:val="5"/>
        </w:numPr>
        <w:spacing w:before="120" w:after="120"/>
        <w:rPr>
          <w:rFonts w:eastAsia="宋体"/>
          <w:lang w:eastAsia="zh-CN"/>
        </w:rPr>
      </w:pPr>
      <w:r>
        <w:rPr>
          <w:rFonts w:eastAsia="宋体" w:hint="eastAsia"/>
          <w:lang w:eastAsia="zh-CN"/>
        </w:rPr>
        <w:t>R</w:t>
      </w:r>
      <w:r>
        <w:rPr>
          <w:rFonts w:eastAsia="宋体"/>
          <w:lang w:eastAsia="zh-CN"/>
        </w:rPr>
        <w:t xml:space="preserve">4-2012283, </w:t>
      </w:r>
      <w:r w:rsidRPr="00353A33">
        <w:rPr>
          <w:rFonts w:eastAsia="宋体"/>
          <w:lang w:eastAsia="zh-CN"/>
        </w:rPr>
        <w:t>WF on requirements for RSTD and UE Rx-Tx time difference measurement</w:t>
      </w:r>
      <w:r>
        <w:rPr>
          <w:rFonts w:eastAsia="宋体"/>
          <w:lang w:eastAsia="zh-CN"/>
        </w:rPr>
        <w:t xml:space="preserve">, </w:t>
      </w:r>
      <w:r w:rsidRPr="00353A33">
        <w:rPr>
          <w:rFonts w:eastAsia="宋体"/>
          <w:lang w:eastAsia="zh-CN"/>
        </w:rPr>
        <w:t>Huawei, HiSilicon</w:t>
      </w:r>
    </w:p>
    <w:p w:rsidR="001F360D" w:rsidRDefault="001F360D" w:rsidP="001F360D">
      <w:pPr>
        <w:numPr>
          <w:ilvl w:val="0"/>
          <w:numId w:val="5"/>
        </w:numPr>
        <w:spacing w:before="120" w:after="120"/>
        <w:rPr>
          <w:rFonts w:eastAsia="宋体"/>
          <w:lang w:eastAsia="zh-CN"/>
        </w:rPr>
      </w:pPr>
      <w:r w:rsidRPr="001F360D">
        <w:rPr>
          <w:rFonts w:eastAsia="宋体"/>
          <w:lang w:eastAsia="zh-CN"/>
        </w:rPr>
        <w:t>R4-2011161</w:t>
      </w:r>
      <w:r>
        <w:rPr>
          <w:rFonts w:eastAsia="宋体"/>
          <w:lang w:eastAsia="zh-CN"/>
        </w:rPr>
        <w:t xml:space="preserve">, </w:t>
      </w:r>
      <w:r w:rsidRPr="001F360D">
        <w:rPr>
          <w:rFonts w:eastAsia="宋体"/>
          <w:lang w:eastAsia="zh-CN"/>
        </w:rPr>
        <w:t>Further simulation results for RSTD and PRS-RSRP</w:t>
      </w:r>
      <w:r>
        <w:rPr>
          <w:rFonts w:eastAsia="宋体"/>
          <w:lang w:eastAsia="zh-CN"/>
        </w:rPr>
        <w:t xml:space="preserve">, </w:t>
      </w:r>
      <w:r w:rsidRPr="00353A33">
        <w:rPr>
          <w:rFonts w:eastAsia="宋体"/>
          <w:lang w:eastAsia="zh-CN"/>
        </w:rPr>
        <w:t>Huawei, HiSilicon</w:t>
      </w:r>
    </w:p>
    <w:p w:rsidR="001F360D" w:rsidRDefault="001F360D" w:rsidP="004922A2">
      <w:pPr>
        <w:numPr>
          <w:ilvl w:val="0"/>
          <w:numId w:val="5"/>
        </w:numPr>
        <w:spacing w:before="120" w:after="120"/>
        <w:rPr>
          <w:rFonts w:eastAsia="宋体"/>
          <w:lang w:val="en-US" w:eastAsia="zh-CN"/>
        </w:rPr>
      </w:pPr>
      <w:r>
        <w:rPr>
          <w:rFonts w:eastAsia="宋体"/>
          <w:lang w:val="en-US" w:eastAsia="zh-CN"/>
        </w:rPr>
        <w:t xml:space="preserve">R4-2004361, Link level simulation results for RSTD measurement, Huawei, HiSilicon </w:t>
      </w:r>
    </w:p>
    <w:p w:rsidR="008D3CA8" w:rsidRPr="008D3CA8" w:rsidRDefault="008D3CA8" w:rsidP="008D3CA8">
      <w:pPr>
        <w:numPr>
          <w:ilvl w:val="0"/>
          <w:numId w:val="5"/>
        </w:numPr>
        <w:spacing w:before="120" w:after="120"/>
        <w:rPr>
          <w:rFonts w:eastAsia="宋体"/>
          <w:lang w:val="en-US" w:eastAsia="zh-CN"/>
        </w:rPr>
      </w:pPr>
      <w:r>
        <w:rPr>
          <w:rFonts w:eastAsia="宋体"/>
          <w:lang w:eastAsia="zh-CN"/>
        </w:rPr>
        <w:t>R4-2002287, Updated link level simulation assumption for RSTD and RSRP,</w:t>
      </w:r>
      <w:r>
        <w:t xml:space="preserve"> </w:t>
      </w:r>
      <w:r>
        <w:rPr>
          <w:rFonts w:eastAsia="宋体"/>
          <w:lang w:val="en-US" w:eastAsia="zh-CN"/>
        </w:rPr>
        <w:t>Huawei, HiSilicon</w:t>
      </w:r>
    </w:p>
    <w:sectPr w:rsidR="008D3CA8" w:rsidRPr="008D3CA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242" w:rsidRDefault="00615242">
      <w:pPr>
        <w:spacing w:before="120" w:after="120"/>
      </w:pPr>
      <w:r>
        <w:separator/>
      </w:r>
    </w:p>
  </w:endnote>
  <w:endnote w:type="continuationSeparator" w:id="0">
    <w:p w:rsidR="00615242" w:rsidRDefault="006152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BB9" w:rsidRDefault="00A15B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15BB9" w:rsidRDefault="00A15BB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BB9" w:rsidRDefault="00A15B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A40EE">
      <w:rPr>
        <w:rStyle w:val="af1"/>
      </w:rPr>
      <w:t>5</w:t>
    </w:r>
    <w:r>
      <w:rPr>
        <w:rStyle w:val="af1"/>
      </w:rPr>
      <w:fldChar w:fldCharType="end"/>
    </w:r>
  </w:p>
  <w:p w:rsidR="00A15BB9" w:rsidRDefault="00A15BB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242" w:rsidRDefault="00615242">
      <w:pPr>
        <w:spacing w:before="120" w:after="120"/>
      </w:pPr>
      <w:r>
        <w:separator/>
      </w:r>
    </w:p>
  </w:footnote>
  <w:footnote w:type="continuationSeparator" w:id="0">
    <w:p w:rsidR="00615242" w:rsidRDefault="0061524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048A9"/>
    <w:multiLevelType w:val="hybridMultilevel"/>
    <w:tmpl w:val="6CAC77EA"/>
    <w:lvl w:ilvl="0" w:tplc="E4DED2F0">
      <w:start w:val="1"/>
      <w:numFmt w:val="bullet"/>
      <w:lvlText w:val="–"/>
      <w:lvlJc w:val="left"/>
      <w:pPr>
        <w:tabs>
          <w:tab w:val="num" w:pos="720"/>
        </w:tabs>
        <w:ind w:left="720" w:hanging="360"/>
      </w:pPr>
      <w:rPr>
        <w:rFonts w:ascii="Arial" w:hAnsi="Arial" w:hint="default"/>
      </w:rPr>
    </w:lvl>
    <w:lvl w:ilvl="1" w:tplc="D3E822F2">
      <w:start w:val="1"/>
      <w:numFmt w:val="bullet"/>
      <w:lvlText w:val="–"/>
      <w:lvlJc w:val="left"/>
      <w:pPr>
        <w:tabs>
          <w:tab w:val="num" w:pos="1440"/>
        </w:tabs>
        <w:ind w:left="1440" w:hanging="360"/>
      </w:pPr>
      <w:rPr>
        <w:rFonts w:ascii="Arial" w:hAnsi="Arial" w:hint="default"/>
      </w:rPr>
    </w:lvl>
    <w:lvl w:ilvl="2" w:tplc="FC30876C">
      <w:numFmt w:val="bullet"/>
      <w:lvlText w:val="•"/>
      <w:lvlJc w:val="left"/>
      <w:pPr>
        <w:tabs>
          <w:tab w:val="num" w:pos="2160"/>
        </w:tabs>
        <w:ind w:left="2160" w:hanging="360"/>
      </w:pPr>
      <w:rPr>
        <w:rFonts w:ascii="Arial" w:hAnsi="Arial" w:hint="default"/>
      </w:rPr>
    </w:lvl>
    <w:lvl w:ilvl="3" w:tplc="E0F6ED5A" w:tentative="1">
      <w:start w:val="1"/>
      <w:numFmt w:val="bullet"/>
      <w:lvlText w:val="–"/>
      <w:lvlJc w:val="left"/>
      <w:pPr>
        <w:tabs>
          <w:tab w:val="num" w:pos="2880"/>
        </w:tabs>
        <w:ind w:left="2880" w:hanging="360"/>
      </w:pPr>
      <w:rPr>
        <w:rFonts w:ascii="Arial" w:hAnsi="Arial" w:hint="default"/>
      </w:rPr>
    </w:lvl>
    <w:lvl w:ilvl="4" w:tplc="5F48B67A" w:tentative="1">
      <w:start w:val="1"/>
      <w:numFmt w:val="bullet"/>
      <w:lvlText w:val="–"/>
      <w:lvlJc w:val="left"/>
      <w:pPr>
        <w:tabs>
          <w:tab w:val="num" w:pos="3600"/>
        </w:tabs>
        <w:ind w:left="3600" w:hanging="360"/>
      </w:pPr>
      <w:rPr>
        <w:rFonts w:ascii="Arial" w:hAnsi="Arial" w:hint="default"/>
      </w:rPr>
    </w:lvl>
    <w:lvl w:ilvl="5" w:tplc="18CEDB78" w:tentative="1">
      <w:start w:val="1"/>
      <w:numFmt w:val="bullet"/>
      <w:lvlText w:val="–"/>
      <w:lvlJc w:val="left"/>
      <w:pPr>
        <w:tabs>
          <w:tab w:val="num" w:pos="4320"/>
        </w:tabs>
        <w:ind w:left="4320" w:hanging="360"/>
      </w:pPr>
      <w:rPr>
        <w:rFonts w:ascii="Arial" w:hAnsi="Arial" w:hint="default"/>
      </w:rPr>
    </w:lvl>
    <w:lvl w:ilvl="6" w:tplc="2774F8EE" w:tentative="1">
      <w:start w:val="1"/>
      <w:numFmt w:val="bullet"/>
      <w:lvlText w:val="–"/>
      <w:lvlJc w:val="left"/>
      <w:pPr>
        <w:tabs>
          <w:tab w:val="num" w:pos="5040"/>
        </w:tabs>
        <w:ind w:left="5040" w:hanging="360"/>
      </w:pPr>
      <w:rPr>
        <w:rFonts w:ascii="Arial" w:hAnsi="Arial" w:hint="default"/>
      </w:rPr>
    </w:lvl>
    <w:lvl w:ilvl="7" w:tplc="7FDC9FFE" w:tentative="1">
      <w:start w:val="1"/>
      <w:numFmt w:val="bullet"/>
      <w:lvlText w:val="–"/>
      <w:lvlJc w:val="left"/>
      <w:pPr>
        <w:tabs>
          <w:tab w:val="num" w:pos="5760"/>
        </w:tabs>
        <w:ind w:left="5760" w:hanging="360"/>
      </w:pPr>
      <w:rPr>
        <w:rFonts w:ascii="Arial" w:hAnsi="Arial" w:hint="default"/>
      </w:rPr>
    </w:lvl>
    <w:lvl w:ilvl="8" w:tplc="638452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DB735B"/>
    <w:multiLevelType w:val="hybridMultilevel"/>
    <w:tmpl w:val="6D306B98"/>
    <w:lvl w:ilvl="0" w:tplc="2C9498E8">
      <w:start w:val="1"/>
      <w:numFmt w:val="bullet"/>
      <w:lvlText w:val="–"/>
      <w:lvlJc w:val="left"/>
      <w:pPr>
        <w:tabs>
          <w:tab w:val="num" w:pos="720"/>
        </w:tabs>
        <w:ind w:left="720" w:hanging="360"/>
      </w:pPr>
      <w:rPr>
        <w:rFonts w:ascii="Arial" w:hAnsi="Arial" w:hint="default"/>
      </w:rPr>
    </w:lvl>
    <w:lvl w:ilvl="1" w:tplc="834C9480">
      <w:start w:val="1"/>
      <w:numFmt w:val="bullet"/>
      <w:lvlText w:val="–"/>
      <w:lvlJc w:val="left"/>
      <w:pPr>
        <w:tabs>
          <w:tab w:val="num" w:pos="1440"/>
        </w:tabs>
        <w:ind w:left="1440" w:hanging="360"/>
      </w:pPr>
      <w:rPr>
        <w:rFonts w:ascii="Arial" w:hAnsi="Arial" w:hint="default"/>
      </w:rPr>
    </w:lvl>
    <w:lvl w:ilvl="2" w:tplc="6A8A9F1A">
      <w:numFmt w:val="bullet"/>
      <w:lvlText w:val="•"/>
      <w:lvlJc w:val="left"/>
      <w:pPr>
        <w:tabs>
          <w:tab w:val="num" w:pos="2160"/>
        </w:tabs>
        <w:ind w:left="2160" w:hanging="360"/>
      </w:pPr>
      <w:rPr>
        <w:rFonts w:ascii="Arial" w:hAnsi="Arial" w:hint="default"/>
      </w:rPr>
    </w:lvl>
    <w:lvl w:ilvl="3" w:tplc="42E6C162" w:tentative="1">
      <w:start w:val="1"/>
      <w:numFmt w:val="bullet"/>
      <w:lvlText w:val="–"/>
      <w:lvlJc w:val="left"/>
      <w:pPr>
        <w:tabs>
          <w:tab w:val="num" w:pos="2880"/>
        </w:tabs>
        <w:ind w:left="2880" w:hanging="360"/>
      </w:pPr>
      <w:rPr>
        <w:rFonts w:ascii="Arial" w:hAnsi="Arial" w:hint="default"/>
      </w:rPr>
    </w:lvl>
    <w:lvl w:ilvl="4" w:tplc="88E42082" w:tentative="1">
      <w:start w:val="1"/>
      <w:numFmt w:val="bullet"/>
      <w:lvlText w:val="–"/>
      <w:lvlJc w:val="left"/>
      <w:pPr>
        <w:tabs>
          <w:tab w:val="num" w:pos="3600"/>
        </w:tabs>
        <w:ind w:left="3600" w:hanging="360"/>
      </w:pPr>
      <w:rPr>
        <w:rFonts w:ascii="Arial" w:hAnsi="Arial" w:hint="default"/>
      </w:rPr>
    </w:lvl>
    <w:lvl w:ilvl="5" w:tplc="90660B7E" w:tentative="1">
      <w:start w:val="1"/>
      <w:numFmt w:val="bullet"/>
      <w:lvlText w:val="–"/>
      <w:lvlJc w:val="left"/>
      <w:pPr>
        <w:tabs>
          <w:tab w:val="num" w:pos="4320"/>
        </w:tabs>
        <w:ind w:left="4320" w:hanging="360"/>
      </w:pPr>
      <w:rPr>
        <w:rFonts w:ascii="Arial" w:hAnsi="Arial" w:hint="default"/>
      </w:rPr>
    </w:lvl>
    <w:lvl w:ilvl="6" w:tplc="5D7A8D72" w:tentative="1">
      <w:start w:val="1"/>
      <w:numFmt w:val="bullet"/>
      <w:lvlText w:val="–"/>
      <w:lvlJc w:val="left"/>
      <w:pPr>
        <w:tabs>
          <w:tab w:val="num" w:pos="5040"/>
        </w:tabs>
        <w:ind w:left="5040" w:hanging="360"/>
      </w:pPr>
      <w:rPr>
        <w:rFonts w:ascii="Arial" w:hAnsi="Arial" w:hint="default"/>
      </w:rPr>
    </w:lvl>
    <w:lvl w:ilvl="7" w:tplc="B2002C54" w:tentative="1">
      <w:start w:val="1"/>
      <w:numFmt w:val="bullet"/>
      <w:lvlText w:val="–"/>
      <w:lvlJc w:val="left"/>
      <w:pPr>
        <w:tabs>
          <w:tab w:val="num" w:pos="5760"/>
        </w:tabs>
        <w:ind w:left="5760" w:hanging="360"/>
      </w:pPr>
      <w:rPr>
        <w:rFonts w:ascii="Arial" w:hAnsi="Arial" w:hint="default"/>
      </w:rPr>
    </w:lvl>
    <w:lvl w:ilvl="8" w:tplc="DDF6E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643148"/>
    <w:multiLevelType w:val="hybridMultilevel"/>
    <w:tmpl w:val="A15A991C"/>
    <w:lvl w:ilvl="0" w:tplc="5BA8947C">
      <w:start w:val="1"/>
      <w:numFmt w:val="bullet"/>
      <w:lvlText w:val="–"/>
      <w:lvlJc w:val="left"/>
      <w:pPr>
        <w:tabs>
          <w:tab w:val="num" w:pos="720"/>
        </w:tabs>
        <w:ind w:left="720" w:hanging="360"/>
      </w:pPr>
      <w:rPr>
        <w:rFonts w:ascii="Arial" w:hAnsi="Arial" w:hint="default"/>
      </w:rPr>
    </w:lvl>
    <w:lvl w:ilvl="1" w:tplc="BC7458A2">
      <w:start w:val="1"/>
      <w:numFmt w:val="bullet"/>
      <w:lvlText w:val="–"/>
      <w:lvlJc w:val="left"/>
      <w:pPr>
        <w:tabs>
          <w:tab w:val="num" w:pos="1440"/>
        </w:tabs>
        <w:ind w:left="1440" w:hanging="360"/>
      </w:pPr>
      <w:rPr>
        <w:rFonts w:ascii="Arial" w:hAnsi="Arial" w:hint="default"/>
      </w:rPr>
    </w:lvl>
    <w:lvl w:ilvl="2" w:tplc="D0D4017A">
      <w:numFmt w:val="bullet"/>
      <w:lvlText w:val="•"/>
      <w:lvlJc w:val="left"/>
      <w:pPr>
        <w:tabs>
          <w:tab w:val="num" w:pos="2160"/>
        </w:tabs>
        <w:ind w:left="2160" w:hanging="360"/>
      </w:pPr>
      <w:rPr>
        <w:rFonts w:ascii="Arial" w:hAnsi="Arial" w:hint="default"/>
      </w:rPr>
    </w:lvl>
    <w:lvl w:ilvl="3" w:tplc="EE3E4238" w:tentative="1">
      <w:start w:val="1"/>
      <w:numFmt w:val="bullet"/>
      <w:lvlText w:val="–"/>
      <w:lvlJc w:val="left"/>
      <w:pPr>
        <w:tabs>
          <w:tab w:val="num" w:pos="2880"/>
        </w:tabs>
        <w:ind w:left="2880" w:hanging="360"/>
      </w:pPr>
      <w:rPr>
        <w:rFonts w:ascii="Arial" w:hAnsi="Arial" w:hint="default"/>
      </w:rPr>
    </w:lvl>
    <w:lvl w:ilvl="4" w:tplc="CD2EE284" w:tentative="1">
      <w:start w:val="1"/>
      <w:numFmt w:val="bullet"/>
      <w:lvlText w:val="–"/>
      <w:lvlJc w:val="left"/>
      <w:pPr>
        <w:tabs>
          <w:tab w:val="num" w:pos="3600"/>
        </w:tabs>
        <w:ind w:left="3600" w:hanging="360"/>
      </w:pPr>
      <w:rPr>
        <w:rFonts w:ascii="Arial" w:hAnsi="Arial" w:hint="default"/>
      </w:rPr>
    </w:lvl>
    <w:lvl w:ilvl="5" w:tplc="5E3238DE" w:tentative="1">
      <w:start w:val="1"/>
      <w:numFmt w:val="bullet"/>
      <w:lvlText w:val="–"/>
      <w:lvlJc w:val="left"/>
      <w:pPr>
        <w:tabs>
          <w:tab w:val="num" w:pos="4320"/>
        </w:tabs>
        <w:ind w:left="4320" w:hanging="360"/>
      </w:pPr>
      <w:rPr>
        <w:rFonts w:ascii="Arial" w:hAnsi="Arial" w:hint="default"/>
      </w:rPr>
    </w:lvl>
    <w:lvl w:ilvl="6" w:tplc="F908381A" w:tentative="1">
      <w:start w:val="1"/>
      <w:numFmt w:val="bullet"/>
      <w:lvlText w:val="–"/>
      <w:lvlJc w:val="left"/>
      <w:pPr>
        <w:tabs>
          <w:tab w:val="num" w:pos="5040"/>
        </w:tabs>
        <w:ind w:left="5040" w:hanging="360"/>
      </w:pPr>
      <w:rPr>
        <w:rFonts w:ascii="Arial" w:hAnsi="Arial" w:hint="default"/>
      </w:rPr>
    </w:lvl>
    <w:lvl w:ilvl="7" w:tplc="8D2C5C22" w:tentative="1">
      <w:start w:val="1"/>
      <w:numFmt w:val="bullet"/>
      <w:lvlText w:val="–"/>
      <w:lvlJc w:val="left"/>
      <w:pPr>
        <w:tabs>
          <w:tab w:val="num" w:pos="5760"/>
        </w:tabs>
        <w:ind w:left="5760" w:hanging="360"/>
      </w:pPr>
      <w:rPr>
        <w:rFonts w:ascii="Arial" w:hAnsi="Arial" w:hint="default"/>
      </w:rPr>
    </w:lvl>
    <w:lvl w:ilvl="8" w:tplc="155CDA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950EA7"/>
    <w:multiLevelType w:val="hybridMultilevel"/>
    <w:tmpl w:val="83582E78"/>
    <w:lvl w:ilvl="0" w:tplc="24567C62">
      <w:start w:val="1"/>
      <w:numFmt w:val="bullet"/>
      <w:lvlText w:val="–"/>
      <w:lvlJc w:val="left"/>
      <w:pPr>
        <w:tabs>
          <w:tab w:val="num" w:pos="720"/>
        </w:tabs>
        <w:ind w:left="720" w:hanging="360"/>
      </w:pPr>
      <w:rPr>
        <w:rFonts w:ascii="Arial" w:hAnsi="Arial" w:hint="default"/>
      </w:rPr>
    </w:lvl>
    <w:lvl w:ilvl="1" w:tplc="1AAEF868">
      <w:start w:val="1"/>
      <w:numFmt w:val="bullet"/>
      <w:lvlText w:val="–"/>
      <w:lvlJc w:val="left"/>
      <w:pPr>
        <w:tabs>
          <w:tab w:val="num" w:pos="1440"/>
        </w:tabs>
        <w:ind w:left="1440" w:hanging="360"/>
      </w:pPr>
      <w:rPr>
        <w:rFonts w:ascii="Arial" w:hAnsi="Arial" w:hint="default"/>
      </w:rPr>
    </w:lvl>
    <w:lvl w:ilvl="2" w:tplc="31FCDF62">
      <w:numFmt w:val="bullet"/>
      <w:lvlText w:val="•"/>
      <w:lvlJc w:val="left"/>
      <w:pPr>
        <w:tabs>
          <w:tab w:val="num" w:pos="2160"/>
        </w:tabs>
        <w:ind w:left="2160" w:hanging="360"/>
      </w:pPr>
      <w:rPr>
        <w:rFonts w:ascii="Arial" w:hAnsi="Arial" w:hint="default"/>
      </w:rPr>
    </w:lvl>
    <w:lvl w:ilvl="3" w:tplc="67C2ED60" w:tentative="1">
      <w:start w:val="1"/>
      <w:numFmt w:val="bullet"/>
      <w:lvlText w:val="–"/>
      <w:lvlJc w:val="left"/>
      <w:pPr>
        <w:tabs>
          <w:tab w:val="num" w:pos="2880"/>
        </w:tabs>
        <w:ind w:left="2880" w:hanging="360"/>
      </w:pPr>
      <w:rPr>
        <w:rFonts w:ascii="Arial" w:hAnsi="Arial" w:hint="default"/>
      </w:rPr>
    </w:lvl>
    <w:lvl w:ilvl="4" w:tplc="2AE8877E" w:tentative="1">
      <w:start w:val="1"/>
      <w:numFmt w:val="bullet"/>
      <w:lvlText w:val="–"/>
      <w:lvlJc w:val="left"/>
      <w:pPr>
        <w:tabs>
          <w:tab w:val="num" w:pos="3600"/>
        </w:tabs>
        <w:ind w:left="3600" w:hanging="360"/>
      </w:pPr>
      <w:rPr>
        <w:rFonts w:ascii="Arial" w:hAnsi="Arial" w:hint="default"/>
      </w:rPr>
    </w:lvl>
    <w:lvl w:ilvl="5" w:tplc="6568C1B4" w:tentative="1">
      <w:start w:val="1"/>
      <w:numFmt w:val="bullet"/>
      <w:lvlText w:val="–"/>
      <w:lvlJc w:val="left"/>
      <w:pPr>
        <w:tabs>
          <w:tab w:val="num" w:pos="4320"/>
        </w:tabs>
        <w:ind w:left="4320" w:hanging="360"/>
      </w:pPr>
      <w:rPr>
        <w:rFonts w:ascii="Arial" w:hAnsi="Arial" w:hint="default"/>
      </w:rPr>
    </w:lvl>
    <w:lvl w:ilvl="6" w:tplc="C84697CA" w:tentative="1">
      <w:start w:val="1"/>
      <w:numFmt w:val="bullet"/>
      <w:lvlText w:val="–"/>
      <w:lvlJc w:val="left"/>
      <w:pPr>
        <w:tabs>
          <w:tab w:val="num" w:pos="5040"/>
        </w:tabs>
        <w:ind w:left="5040" w:hanging="360"/>
      </w:pPr>
      <w:rPr>
        <w:rFonts w:ascii="Arial" w:hAnsi="Arial" w:hint="default"/>
      </w:rPr>
    </w:lvl>
    <w:lvl w:ilvl="7" w:tplc="C6AC5CAE" w:tentative="1">
      <w:start w:val="1"/>
      <w:numFmt w:val="bullet"/>
      <w:lvlText w:val="–"/>
      <w:lvlJc w:val="left"/>
      <w:pPr>
        <w:tabs>
          <w:tab w:val="num" w:pos="5760"/>
        </w:tabs>
        <w:ind w:left="5760" w:hanging="360"/>
      </w:pPr>
      <w:rPr>
        <w:rFonts w:ascii="Arial" w:hAnsi="Arial" w:hint="default"/>
      </w:rPr>
    </w:lvl>
    <w:lvl w:ilvl="8" w:tplc="D25811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D53564"/>
    <w:multiLevelType w:val="hybridMultilevel"/>
    <w:tmpl w:val="F2648BFE"/>
    <w:lvl w:ilvl="0" w:tplc="09C41C66">
      <w:start w:val="1"/>
      <w:numFmt w:val="bullet"/>
      <w:lvlText w:val="–"/>
      <w:lvlJc w:val="left"/>
      <w:pPr>
        <w:tabs>
          <w:tab w:val="num" w:pos="720"/>
        </w:tabs>
        <w:ind w:left="720" w:hanging="360"/>
      </w:pPr>
      <w:rPr>
        <w:rFonts w:ascii="Arial" w:hAnsi="Arial" w:hint="default"/>
      </w:rPr>
    </w:lvl>
    <w:lvl w:ilvl="1" w:tplc="BF54983A">
      <w:start w:val="1"/>
      <w:numFmt w:val="bullet"/>
      <w:lvlText w:val="–"/>
      <w:lvlJc w:val="left"/>
      <w:pPr>
        <w:tabs>
          <w:tab w:val="num" w:pos="1440"/>
        </w:tabs>
        <w:ind w:left="1440" w:hanging="360"/>
      </w:pPr>
      <w:rPr>
        <w:rFonts w:ascii="Arial" w:hAnsi="Arial" w:hint="default"/>
      </w:rPr>
    </w:lvl>
    <w:lvl w:ilvl="2" w:tplc="6B18E3B8">
      <w:numFmt w:val="bullet"/>
      <w:lvlText w:val="•"/>
      <w:lvlJc w:val="left"/>
      <w:pPr>
        <w:tabs>
          <w:tab w:val="num" w:pos="2160"/>
        </w:tabs>
        <w:ind w:left="2160" w:hanging="360"/>
      </w:pPr>
      <w:rPr>
        <w:rFonts w:ascii="Arial" w:hAnsi="Arial" w:hint="default"/>
      </w:rPr>
    </w:lvl>
    <w:lvl w:ilvl="3" w:tplc="9A4C03AA" w:tentative="1">
      <w:start w:val="1"/>
      <w:numFmt w:val="bullet"/>
      <w:lvlText w:val="–"/>
      <w:lvlJc w:val="left"/>
      <w:pPr>
        <w:tabs>
          <w:tab w:val="num" w:pos="2880"/>
        </w:tabs>
        <w:ind w:left="2880" w:hanging="360"/>
      </w:pPr>
      <w:rPr>
        <w:rFonts w:ascii="Arial" w:hAnsi="Arial" w:hint="default"/>
      </w:rPr>
    </w:lvl>
    <w:lvl w:ilvl="4" w:tplc="EF6ED328" w:tentative="1">
      <w:start w:val="1"/>
      <w:numFmt w:val="bullet"/>
      <w:lvlText w:val="–"/>
      <w:lvlJc w:val="left"/>
      <w:pPr>
        <w:tabs>
          <w:tab w:val="num" w:pos="3600"/>
        </w:tabs>
        <w:ind w:left="3600" w:hanging="360"/>
      </w:pPr>
      <w:rPr>
        <w:rFonts w:ascii="Arial" w:hAnsi="Arial" w:hint="default"/>
      </w:rPr>
    </w:lvl>
    <w:lvl w:ilvl="5" w:tplc="593E1522" w:tentative="1">
      <w:start w:val="1"/>
      <w:numFmt w:val="bullet"/>
      <w:lvlText w:val="–"/>
      <w:lvlJc w:val="left"/>
      <w:pPr>
        <w:tabs>
          <w:tab w:val="num" w:pos="4320"/>
        </w:tabs>
        <w:ind w:left="4320" w:hanging="360"/>
      </w:pPr>
      <w:rPr>
        <w:rFonts w:ascii="Arial" w:hAnsi="Arial" w:hint="default"/>
      </w:rPr>
    </w:lvl>
    <w:lvl w:ilvl="6" w:tplc="3314D742" w:tentative="1">
      <w:start w:val="1"/>
      <w:numFmt w:val="bullet"/>
      <w:lvlText w:val="–"/>
      <w:lvlJc w:val="left"/>
      <w:pPr>
        <w:tabs>
          <w:tab w:val="num" w:pos="5040"/>
        </w:tabs>
        <w:ind w:left="5040" w:hanging="360"/>
      </w:pPr>
      <w:rPr>
        <w:rFonts w:ascii="Arial" w:hAnsi="Arial" w:hint="default"/>
      </w:rPr>
    </w:lvl>
    <w:lvl w:ilvl="7" w:tplc="BE94CB32" w:tentative="1">
      <w:start w:val="1"/>
      <w:numFmt w:val="bullet"/>
      <w:lvlText w:val="–"/>
      <w:lvlJc w:val="left"/>
      <w:pPr>
        <w:tabs>
          <w:tab w:val="num" w:pos="5760"/>
        </w:tabs>
        <w:ind w:left="5760" w:hanging="360"/>
      </w:pPr>
      <w:rPr>
        <w:rFonts w:ascii="Arial" w:hAnsi="Arial" w:hint="default"/>
      </w:rPr>
    </w:lvl>
    <w:lvl w:ilvl="8" w:tplc="F24E47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3521D"/>
    <w:multiLevelType w:val="hybridMultilevel"/>
    <w:tmpl w:val="F2428212"/>
    <w:lvl w:ilvl="0" w:tplc="4D5E80BE">
      <w:start w:val="1"/>
      <w:numFmt w:val="bullet"/>
      <w:lvlText w:val="–"/>
      <w:lvlJc w:val="left"/>
      <w:pPr>
        <w:tabs>
          <w:tab w:val="num" w:pos="720"/>
        </w:tabs>
        <w:ind w:left="720" w:hanging="360"/>
      </w:pPr>
      <w:rPr>
        <w:rFonts w:ascii="Arial" w:hAnsi="Arial" w:hint="default"/>
      </w:rPr>
    </w:lvl>
    <w:lvl w:ilvl="1" w:tplc="59CAFC7E">
      <w:start w:val="1"/>
      <w:numFmt w:val="bullet"/>
      <w:lvlText w:val="–"/>
      <w:lvlJc w:val="left"/>
      <w:pPr>
        <w:tabs>
          <w:tab w:val="num" w:pos="1440"/>
        </w:tabs>
        <w:ind w:left="1440" w:hanging="360"/>
      </w:pPr>
      <w:rPr>
        <w:rFonts w:ascii="Arial" w:hAnsi="Arial" w:hint="default"/>
      </w:rPr>
    </w:lvl>
    <w:lvl w:ilvl="2" w:tplc="14101446">
      <w:numFmt w:val="bullet"/>
      <w:lvlText w:val="•"/>
      <w:lvlJc w:val="left"/>
      <w:pPr>
        <w:tabs>
          <w:tab w:val="num" w:pos="2160"/>
        </w:tabs>
        <w:ind w:left="2160" w:hanging="360"/>
      </w:pPr>
      <w:rPr>
        <w:rFonts w:ascii="Arial" w:hAnsi="Arial" w:hint="default"/>
      </w:rPr>
    </w:lvl>
    <w:lvl w:ilvl="3" w:tplc="15A4BC5E" w:tentative="1">
      <w:start w:val="1"/>
      <w:numFmt w:val="bullet"/>
      <w:lvlText w:val="–"/>
      <w:lvlJc w:val="left"/>
      <w:pPr>
        <w:tabs>
          <w:tab w:val="num" w:pos="2880"/>
        </w:tabs>
        <w:ind w:left="2880" w:hanging="360"/>
      </w:pPr>
      <w:rPr>
        <w:rFonts w:ascii="Arial" w:hAnsi="Arial" w:hint="default"/>
      </w:rPr>
    </w:lvl>
    <w:lvl w:ilvl="4" w:tplc="F190AB8A" w:tentative="1">
      <w:start w:val="1"/>
      <w:numFmt w:val="bullet"/>
      <w:lvlText w:val="–"/>
      <w:lvlJc w:val="left"/>
      <w:pPr>
        <w:tabs>
          <w:tab w:val="num" w:pos="3600"/>
        </w:tabs>
        <w:ind w:left="3600" w:hanging="360"/>
      </w:pPr>
      <w:rPr>
        <w:rFonts w:ascii="Arial" w:hAnsi="Arial" w:hint="default"/>
      </w:rPr>
    </w:lvl>
    <w:lvl w:ilvl="5" w:tplc="646C1244" w:tentative="1">
      <w:start w:val="1"/>
      <w:numFmt w:val="bullet"/>
      <w:lvlText w:val="–"/>
      <w:lvlJc w:val="left"/>
      <w:pPr>
        <w:tabs>
          <w:tab w:val="num" w:pos="4320"/>
        </w:tabs>
        <w:ind w:left="4320" w:hanging="360"/>
      </w:pPr>
      <w:rPr>
        <w:rFonts w:ascii="Arial" w:hAnsi="Arial" w:hint="default"/>
      </w:rPr>
    </w:lvl>
    <w:lvl w:ilvl="6" w:tplc="3C084B52" w:tentative="1">
      <w:start w:val="1"/>
      <w:numFmt w:val="bullet"/>
      <w:lvlText w:val="–"/>
      <w:lvlJc w:val="left"/>
      <w:pPr>
        <w:tabs>
          <w:tab w:val="num" w:pos="5040"/>
        </w:tabs>
        <w:ind w:left="5040" w:hanging="360"/>
      </w:pPr>
      <w:rPr>
        <w:rFonts w:ascii="Arial" w:hAnsi="Arial" w:hint="default"/>
      </w:rPr>
    </w:lvl>
    <w:lvl w:ilvl="7" w:tplc="0BC27300" w:tentative="1">
      <w:start w:val="1"/>
      <w:numFmt w:val="bullet"/>
      <w:lvlText w:val="–"/>
      <w:lvlJc w:val="left"/>
      <w:pPr>
        <w:tabs>
          <w:tab w:val="num" w:pos="5760"/>
        </w:tabs>
        <w:ind w:left="5760" w:hanging="360"/>
      </w:pPr>
      <w:rPr>
        <w:rFonts w:ascii="Arial" w:hAnsi="Arial" w:hint="default"/>
      </w:rPr>
    </w:lvl>
    <w:lvl w:ilvl="8" w:tplc="3BDCE9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E11489"/>
    <w:multiLevelType w:val="hybridMultilevel"/>
    <w:tmpl w:val="029A2348"/>
    <w:lvl w:ilvl="0" w:tplc="0C0A3C08">
      <w:start w:val="8"/>
      <w:numFmt w:val="bullet"/>
      <w:lvlText w:val="-"/>
      <w:lvlJc w:val="left"/>
      <w:pPr>
        <w:ind w:left="360" w:hanging="36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624C3A0B"/>
    <w:multiLevelType w:val="hybridMultilevel"/>
    <w:tmpl w:val="E638B3A0"/>
    <w:lvl w:ilvl="0" w:tplc="8E7A5152">
      <w:start w:val="1"/>
      <w:numFmt w:val="bullet"/>
      <w:lvlText w:val="–"/>
      <w:lvlJc w:val="left"/>
      <w:pPr>
        <w:tabs>
          <w:tab w:val="num" w:pos="720"/>
        </w:tabs>
        <w:ind w:left="720" w:hanging="360"/>
      </w:pPr>
      <w:rPr>
        <w:rFonts w:ascii="Arial" w:hAnsi="Arial" w:hint="default"/>
      </w:rPr>
    </w:lvl>
    <w:lvl w:ilvl="1" w:tplc="192CFE90">
      <w:start w:val="1"/>
      <w:numFmt w:val="bullet"/>
      <w:lvlText w:val="–"/>
      <w:lvlJc w:val="left"/>
      <w:pPr>
        <w:tabs>
          <w:tab w:val="num" w:pos="1440"/>
        </w:tabs>
        <w:ind w:left="1440" w:hanging="360"/>
      </w:pPr>
      <w:rPr>
        <w:rFonts w:ascii="Arial" w:hAnsi="Arial" w:hint="default"/>
      </w:rPr>
    </w:lvl>
    <w:lvl w:ilvl="2" w:tplc="6136DEB2">
      <w:numFmt w:val="bullet"/>
      <w:lvlText w:val="•"/>
      <w:lvlJc w:val="left"/>
      <w:pPr>
        <w:tabs>
          <w:tab w:val="num" w:pos="2160"/>
        </w:tabs>
        <w:ind w:left="2160" w:hanging="360"/>
      </w:pPr>
      <w:rPr>
        <w:rFonts w:ascii="Arial" w:hAnsi="Arial" w:hint="default"/>
      </w:rPr>
    </w:lvl>
    <w:lvl w:ilvl="3" w:tplc="E7286D8E" w:tentative="1">
      <w:start w:val="1"/>
      <w:numFmt w:val="bullet"/>
      <w:lvlText w:val="–"/>
      <w:lvlJc w:val="left"/>
      <w:pPr>
        <w:tabs>
          <w:tab w:val="num" w:pos="2880"/>
        </w:tabs>
        <w:ind w:left="2880" w:hanging="360"/>
      </w:pPr>
      <w:rPr>
        <w:rFonts w:ascii="Arial" w:hAnsi="Arial" w:hint="default"/>
      </w:rPr>
    </w:lvl>
    <w:lvl w:ilvl="4" w:tplc="774E89F2" w:tentative="1">
      <w:start w:val="1"/>
      <w:numFmt w:val="bullet"/>
      <w:lvlText w:val="–"/>
      <w:lvlJc w:val="left"/>
      <w:pPr>
        <w:tabs>
          <w:tab w:val="num" w:pos="3600"/>
        </w:tabs>
        <w:ind w:left="3600" w:hanging="360"/>
      </w:pPr>
      <w:rPr>
        <w:rFonts w:ascii="Arial" w:hAnsi="Arial" w:hint="default"/>
      </w:rPr>
    </w:lvl>
    <w:lvl w:ilvl="5" w:tplc="A8B6BB82" w:tentative="1">
      <w:start w:val="1"/>
      <w:numFmt w:val="bullet"/>
      <w:lvlText w:val="–"/>
      <w:lvlJc w:val="left"/>
      <w:pPr>
        <w:tabs>
          <w:tab w:val="num" w:pos="4320"/>
        </w:tabs>
        <w:ind w:left="4320" w:hanging="360"/>
      </w:pPr>
      <w:rPr>
        <w:rFonts w:ascii="Arial" w:hAnsi="Arial" w:hint="default"/>
      </w:rPr>
    </w:lvl>
    <w:lvl w:ilvl="6" w:tplc="1D409464" w:tentative="1">
      <w:start w:val="1"/>
      <w:numFmt w:val="bullet"/>
      <w:lvlText w:val="–"/>
      <w:lvlJc w:val="left"/>
      <w:pPr>
        <w:tabs>
          <w:tab w:val="num" w:pos="5040"/>
        </w:tabs>
        <w:ind w:left="5040" w:hanging="360"/>
      </w:pPr>
      <w:rPr>
        <w:rFonts w:ascii="Arial" w:hAnsi="Arial" w:hint="default"/>
      </w:rPr>
    </w:lvl>
    <w:lvl w:ilvl="7" w:tplc="6D801EA0" w:tentative="1">
      <w:start w:val="1"/>
      <w:numFmt w:val="bullet"/>
      <w:lvlText w:val="–"/>
      <w:lvlJc w:val="left"/>
      <w:pPr>
        <w:tabs>
          <w:tab w:val="num" w:pos="5760"/>
        </w:tabs>
        <w:ind w:left="5760" w:hanging="360"/>
      </w:pPr>
      <w:rPr>
        <w:rFonts w:ascii="Arial" w:hAnsi="Arial" w:hint="default"/>
      </w:rPr>
    </w:lvl>
    <w:lvl w:ilvl="8" w:tplc="4DDEBC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E1F66"/>
    <w:multiLevelType w:val="hybridMultilevel"/>
    <w:tmpl w:val="96FA7E2A"/>
    <w:lvl w:ilvl="0" w:tplc="8640E25E">
      <w:start w:val="1"/>
      <w:numFmt w:val="bullet"/>
      <w:lvlText w:val="–"/>
      <w:lvlJc w:val="left"/>
      <w:pPr>
        <w:tabs>
          <w:tab w:val="num" w:pos="720"/>
        </w:tabs>
        <w:ind w:left="720" w:hanging="360"/>
      </w:pPr>
      <w:rPr>
        <w:rFonts w:ascii="Arial" w:hAnsi="Arial" w:hint="default"/>
      </w:rPr>
    </w:lvl>
    <w:lvl w:ilvl="1" w:tplc="EF0AD092">
      <w:start w:val="1"/>
      <w:numFmt w:val="bullet"/>
      <w:lvlText w:val="–"/>
      <w:lvlJc w:val="left"/>
      <w:pPr>
        <w:tabs>
          <w:tab w:val="num" w:pos="1440"/>
        </w:tabs>
        <w:ind w:left="1440" w:hanging="360"/>
      </w:pPr>
      <w:rPr>
        <w:rFonts w:ascii="Arial" w:hAnsi="Arial" w:hint="default"/>
      </w:rPr>
    </w:lvl>
    <w:lvl w:ilvl="2" w:tplc="F7505090">
      <w:numFmt w:val="bullet"/>
      <w:lvlText w:val="•"/>
      <w:lvlJc w:val="left"/>
      <w:pPr>
        <w:tabs>
          <w:tab w:val="num" w:pos="2160"/>
        </w:tabs>
        <w:ind w:left="2160" w:hanging="360"/>
      </w:pPr>
      <w:rPr>
        <w:rFonts w:ascii="Arial" w:hAnsi="Arial" w:hint="default"/>
      </w:rPr>
    </w:lvl>
    <w:lvl w:ilvl="3" w:tplc="12D4AFF2" w:tentative="1">
      <w:start w:val="1"/>
      <w:numFmt w:val="bullet"/>
      <w:lvlText w:val="–"/>
      <w:lvlJc w:val="left"/>
      <w:pPr>
        <w:tabs>
          <w:tab w:val="num" w:pos="2880"/>
        </w:tabs>
        <w:ind w:left="2880" w:hanging="360"/>
      </w:pPr>
      <w:rPr>
        <w:rFonts w:ascii="Arial" w:hAnsi="Arial" w:hint="default"/>
      </w:rPr>
    </w:lvl>
    <w:lvl w:ilvl="4" w:tplc="6BECCEA0" w:tentative="1">
      <w:start w:val="1"/>
      <w:numFmt w:val="bullet"/>
      <w:lvlText w:val="–"/>
      <w:lvlJc w:val="left"/>
      <w:pPr>
        <w:tabs>
          <w:tab w:val="num" w:pos="3600"/>
        </w:tabs>
        <w:ind w:left="3600" w:hanging="360"/>
      </w:pPr>
      <w:rPr>
        <w:rFonts w:ascii="Arial" w:hAnsi="Arial" w:hint="default"/>
      </w:rPr>
    </w:lvl>
    <w:lvl w:ilvl="5" w:tplc="4BCC3D34" w:tentative="1">
      <w:start w:val="1"/>
      <w:numFmt w:val="bullet"/>
      <w:lvlText w:val="–"/>
      <w:lvlJc w:val="left"/>
      <w:pPr>
        <w:tabs>
          <w:tab w:val="num" w:pos="4320"/>
        </w:tabs>
        <w:ind w:left="4320" w:hanging="360"/>
      </w:pPr>
      <w:rPr>
        <w:rFonts w:ascii="Arial" w:hAnsi="Arial" w:hint="default"/>
      </w:rPr>
    </w:lvl>
    <w:lvl w:ilvl="6" w:tplc="6FCC59A6" w:tentative="1">
      <w:start w:val="1"/>
      <w:numFmt w:val="bullet"/>
      <w:lvlText w:val="–"/>
      <w:lvlJc w:val="left"/>
      <w:pPr>
        <w:tabs>
          <w:tab w:val="num" w:pos="5040"/>
        </w:tabs>
        <w:ind w:left="5040" w:hanging="360"/>
      </w:pPr>
      <w:rPr>
        <w:rFonts w:ascii="Arial" w:hAnsi="Arial" w:hint="default"/>
      </w:rPr>
    </w:lvl>
    <w:lvl w:ilvl="7" w:tplc="A058DDB4" w:tentative="1">
      <w:start w:val="1"/>
      <w:numFmt w:val="bullet"/>
      <w:lvlText w:val="–"/>
      <w:lvlJc w:val="left"/>
      <w:pPr>
        <w:tabs>
          <w:tab w:val="num" w:pos="5760"/>
        </w:tabs>
        <w:ind w:left="5760" w:hanging="360"/>
      </w:pPr>
      <w:rPr>
        <w:rFonts w:ascii="Arial" w:hAnsi="Arial" w:hint="default"/>
      </w:rPr>
    </w:lvl>
    <w:lvl w:ilvl="8" w:tplc="DC0095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6"/>
  </w:num>
  <w:num w:numId="3">
    <w:abstractNumId w:val="17"/>
  </w:num>
  <w:num w:numId="4">
    <w:abstractNumId w:val="2"/>
  </w:num>
  <w:num w:numId="5">
    <w:abstractNumId w:val="7"/>
  </w:num>
  <w:num w:numId="6">
    <w:abstractNumId w:val="13"/>
  </w:num>
  <w:num w:numId="7">
    <w:abstractNumId w:val="10"/>
  </w:num>
  <w:num w:numId="8">
    <w:abstractNumId w:val="18"/>
    <w:lvlOverride w:ilvl="0">
      <w:startOverride w:val="1"/>
    </w:lvlOverride>
  </w:num>
  <w:num w:numId="9">
    <w:abstractNumId w:val="12"/>
  </w:num>
  <w:num w:numId="10">
    <w:abstractNumId w:val="9"/>
  </w:num>
  <w:num w:numId="11">
    <w:abstractNumId w:val="0"/>
  </w:num>
  <w:num w:numId="12">
    <w:abstractNumId w:val="4"/>
  </w:num>
  <w:num w:numId="13">
    <w:abstractNumId w:val="14"/>
  </w:num>
  <w:num w:numId="14">
    <w:abstractNumId w:val="15"/>
  </w:num>
  <w:num w:numId="15">
    <w:abstractNumId w:val="5"/>
  </w:num>
  <w:num w:numId="16">
    <w:abstractNumId w:val="11"/>
  </w:num>
  <w:num w:numId="17">
    <w:abstractNumId w:val="6"/>
  </w:num>
  <w:num w:numId="18">
    <w:abstractNumId w:val="3"/>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365"/>
    <w:rsid w:val="000637AA"/>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EBA"/>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AF"/>
    <w:rsid w:val="001B1CEA"/>
    <w:rsid w:val="001B1E03"/>
    <w:rsid w:val="001B20D1"/>
    <w:rsid w:val="001B2495"/>
    <w:rsid w:val="001B2A4F"/>
    <w:rsid w:val="001B3291"/>
    <w:rsid w:val="001B3723"/>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60D"/>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DD3"/>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2F3"/>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A33"/>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5E9B"/>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3B"/>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3B8"/>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1B"/>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2A2"/>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2D1"/>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5FC"/>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242"/>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6AA"/>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0EE"/>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20"/>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942"/>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3CC"/>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A8"/>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6EF"/>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6FB"/>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BB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7BF"/>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17E"/>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9D6"/>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74D"/>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D0"/>
    <w:rsid w:val="00B85071"/>
    <w:rsid w:val="00B8575B"/>
    <w:rsid w:val="00B85EAF"/>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61"/>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1A5"/>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0DE"/>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1C4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9D8"/>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29D"/>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CD8"/>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2FF0"/>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7E7"/>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C57"/>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2D"/>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B5A"/>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8C7"/>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884"/>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159082">
      <w:bodyDiv w:val="1"/>
      <w:marLeft w:val="0"/>
      <w:marRight w:val="0"/>
      <w:marTop w:val="0"/>
      <w:marBottom w:val="0"/>
      <w:divBdr>
        <w:top w:val="none" w:sz="0" w:space="0" w:color="auto"/>
        <w:left w:val="none" w:sz="0" w:space="0" w:color="auto"/>
        <w:bottom w:val="none" w:sz="0" w:space="0" w:color="auto"/>
        <w:right w:val="none" w:sz="0" w:space="0" w:color="auto"/>
      </w:divBdr>
      <w:divsChild>
        <w:div w:id="537551897">
          <w:marLeft w:val="1166"/>
          <w:marRight w:val="0"/>
          <w:marTop w:val="82"/>
          <w:marBottom w:val="0"/>
          <w:divBdr>
            <w:top w:val="none" w:sz="0" w:space="0" w:color="auto"/>
            <w:left w:val="none" w:sz="0" w:space="0" w:color="auto"/>
            <w:bottom w:val="none" w:sz="0" w:space="0" w:color="auto"/>
            <w:right w:val="none" w:sz="0" w:space="0" w:color="auto"/>
          </w:divBdr>
        </w:div>
        <w:div w:id="1506821381">
          <w:marLeft w:val="1800"/>
          <w:marRight w:val="0"/>
          <w:marTop w:val="67"/>
          <w:marBottom w:val="0"/>
          <w:divBdr>
            <w:top w:val="none" w:sz="0" w:space="0" w:color="auto"/>
            <w:left w:val="none" w:sz="0" w:space="0" w:color="auto"/>
            <w:bottom w:val="none" w:sz="0" w:space="0" w:color="auto"/>
            <w:right w:val="none" w:sz="0" w:space="0" w:color="auto"/>
          </w:divBdr>
        </w:div>
        <w:div w:id="1909999835">
          <w:marLeft w:val="1800"/>
          <w:marRight w:val="0"/>
          <w:marTop w:val="67"/>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1933616">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6555304">
      <w:bodyDiv w:val="1"/>
      <w:marLeft w:val="0"/>
      <w:marRight w:val="0"/>
      <w:marTop w:val="0"/>
      <w:marBottom w:val="0"/>
      <w:divBdr>
        <w:top w:val="none" w:sz="0" w:space="0" w:color="auto"/>
        <w:left w:val="none" w:sz="0" w:space="0" w:color="auto"/>
        <w:bottom w:val="none" w:sz="0" w:space="0" w:color="auto"/>
        <w:right w:val="none" w:sz="0" w:space="0" w:color="auto"/>
      </w:divBdr>
      <w:divsChild>
        <w:div w:id="678896949">
          <w:marLeft w:val="1166"/>
          <w:marRight w:val="0"/>
          <w:marTop w:val="82"/>
          <w:marBottom w:val="0"/>
          <w:divBdr>
            <w:top w:val="none" w:sz="0" w:space="0" w:color="auto"/>
            <w:left w:val="none" w:sz="0" w:space="0" w:color="auto"/>
            <w:bottom w:val="none" w:sz="0" w:space="0" w:color="auto"/>
            <w:right w:val="none" w:sz="0" w:space="0" w:color="auto"/>
          </w:divBdr>
        </w:div>
        <w:div w:id="969163464">
          <w:marLeft w:val="1800"/>
          <w:marRight w:val="0"/>
          <w:marTop w:val="67"/>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0791521">
      <w:bodyDiv w:val="1"/>
      <w:marLeft w:val="0"/>
      <w:marRight w:val="0"/>
      <w:marTop w:val="0"/>
      <w:marBottom w:val="0"/>
      <w:divBdr>
        <w:top w:val="none" w:sz="0" w:space="0" w:color="auto"/>
        <w:left w:val="none" w:sz="0" w:space="0" w:color="auto"/>
        <w:bottom w:val="none" w:sz="0" w:space="0" w:color="auto"/>
        <w:right w:val="none" w:sz="0" w:space="0" w:color="auto"/>
      </w:divBdr>
      <w:divsChild>
        <w:div w:id="1131825870">
          <w:marLeft w:val="1166"/>
          <w:marRight w:val="0"/>
          <w:marTop w:val="82"/>
          <w:marBottom w:val="0"/>
          <w:divBdr>
            <w:top w:val="none" w:sz="0" w:space="0" w:color="auto"/>
            <w:left w:val="none" w:sz="0" w:space="0" w:color="auto"/>
            <w:bottom w:val="none" w:sz="0" w:space="0" w:color="auto"/>
            <w:right w:val="none" w:sz="0" w:space="0" w:color="auto"/>
          </w:divBdr>
        </w:div>
        <w:div w:id="244731022">
          <w:marLeft w:val="1800"/>
          <w:marRight w:val="0"/>
          <w:marTop w:val="67"/>
          <w:marBottom w:val="0"/>
          <w:divBdr>
            <w:top w:val="none" w:sz="0" w:space="0" w:color="auto"/>
            <w:left w:val="none" w:sz="0" w:space="0" w:color="auto"/>
            <w:bottom w:val="none" w:sz="0" w:space="0" w:color="auto"/>
            <w:right w:val="none" w:sz="0" w:space="0" w:color="auto"/>
          </w:divBdr>
        </w:div>
        <w:div w:id="1648197566">
          <w:marLeft w:val="1800"/>
          <w:marRight w:val="0"/>
          <w:marTop w:val="67"/>
          <w:marBottom w:val="0"/>
          <w:divBdr>
            <w:top w:val="none" w:sz="0" w:space="0" w:color="auto"/>
            <w:left w:val="none" w:sz="0" w:space="0" w:color="auto"/>
            <w:bottom w:val="none" w:sz="0" w:space="0" w:color="auto"/>
            <w:right w:val="none" w:sz="0" w:space="0" w:color="auto"/>
          </w:divBdr>
        </w:div>
        <w:div w:id="979577293">
          <w:marLeft w:val="1800"/>
          <w:marRight w:val="0"/>
          <w:marTop w:val="67"/>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396555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7823776">
      <w:bodyDiv w:val="1"/>
      <w:marLeft w:val="0"/>
      <w:marRight w:val="0"/>
      <w:marTop w:val="0"/>
      <w:marBottom w:val="0"/>
      <w:divBdr>
        <w:top w:val="none" w:sz="0" w:space="0" w:color="auto"/>
        <w:left w:val="none" w:sz="0" w:space="0" w:color="auto"/>
        <w:bottom w:val="none" w:sz="0" w:space="0" w:color="auto"/>
        <w:right w:val="none" w:sz="0" w:space="0" w:color="auto"/>
      </w:divBdr>
      <w:divsChild>
        <w:div w:id="699747981">
          <w:marLeft w:val="1166"/>
          <w:marRight w:val="0"/>
          <w:marTop w:val="82"/>
          <w:marBottom w:val="0"/>
          <w:divBdr>
            <w:top w:val="none" w:sz="0" w:space="0" w:color="auto"/>
            <w:left w:val="none" w:sz="0" w:space="0" w:color="auto"/>
            <w:bottom w:val="none" w:sz="0" w:space="0" w:color="auto"/>
            <w:right w:val="none" w:sz="0" w:space="0" w:color="auto"/>
          </w:divBdr>
        </w:div>
        <w:div w:id="306321789">
          <w:marLeft w:val="1800"/>
          <w:marRight w:val="0"/>
          <w:marTop w:val="67"/>
          <w:marBottom w:val="0"/>
          <w:divBdr>
            <w:top w:val="none" w:sz="0" w:space="0" w:color="auto"/>
            <w:left w:val="none" w:sz="0" w:space="0" w:color="auto"/>
            <w:bottom w:val="none" w:sz="0" w:space="0" w:color="auto"/>
            <w:right w:val="none" w:sz="0" w:space="0" w:color="auto"/>
          </w:divBdr>
        </w:div>
        <w:div w:id="200899233">
          <w:marLeft w:val="1800"/>
          <w:marRight w:val="0"/>
          <w:marTop w:val="67"/>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787013">
      <w:bodyDiv w:val="1"/>
      <w:marLeft w:val="0"/>
      <w:marRight w:val="0"/>
      <w:marTop w:val="0"/>
      <w:marBottom w:val="0"/>
      <w:divBdr>
        <w:top w:val="none" w:sz="0" w:space="0" w:color="auto"/>
        <w:left w:val="none" w:sz="0" w:space="0" w:color="auto"/>
        <w:bottom w:val="none" w:sz="0" w:space="0" w:color="auto"/>
        <w:right w:val="none" w:sz="0" w:space="0" w:color="auto"/>
      </w:divBdr>
      <w:divsChild>
        <w:div w:id="715080078">
          <w:marLeft w:val="1166"/>
          <w:marRight w:val="0"/>
          <w:marTop w:val="82"/>
          <w:marBottom w:val="0"/>
          <w:divBdr>
            <w:top w:val="none" w:sz="0" w:space="0" w:color="auto"/>
            <w:left w:val="none" w:sz="0" w:space="0" w:color="auto"/>
            <w:bottom w:val="none" w:sz="0" w:space="0" w:color="auto"/>
            <w:right w:val="none" w:sz="0" w:space="0" w:color="auto"/>
          </w:divBdr>
        </w:div>
        <w:div w:id="2131782066">
          <w:marLeft w:val="1800"/>
          <w:marRight w:val="0"/>
          <w:marTop w:val="67"/>
          <w:marBottom w:val="0"/>
          <w:divBdr>
            <w:top w:val="none" w:sz="0" w:space="0" w:color="auto"/>
            <w:left w:val="none" w:sz="0" w:space="0" w:color="auto"/>
            <w:bottom w:val="none" w:sz="0" w:space="0" w:color="auto"/>
            <w:right w:val="none" w:sz="0" w:space="0" w:color="auto"/>
          </w:divBdr>
        </w:div>
        <w:div w:id="1817331995">
          <w:marLeft w:val="1800"/>
          <w:marRight w:val="0"/>
          <w:marTop w:val="67"/>
          <w:marBottom w:val="0"/>
          <w:divBdr>
            <w:top w:val="none" w:sz="0" w:space="0" w:color="auto"/>
            <w:left w:val="none" w:sz="0" w:space="0" w:color="auto"/>
            <w:bottom w:val="none" w:sz="0" w:space="0" w:color="auto"/>
            <w:right w:val="none" w:sz="0" w:space="0" w:color="auto"/>
          </w:divBdr>
        </w:div>
      </w:divsChild>
    </w:div>
    <w:div w:id="84201163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8260301">
      <w:bodyDiv w:val="1"/>
      <w:marLeft w:val="0"/>
      <w:marRight w:val="0"/>
      <w:marTop w:val="0"/>
      <w:marBottom w:val="0"/>
      <w:divBdr>
        <w:top w:val="none" w:sz="0" w:space="0" w:color="auto"/>
        <w:left w:val="none" w:sz="0" w:space="0" w:color="auto"/>
        <w:bottom w:val="none" w:sz="0" w:space="0" w:color="auto"/>
        <w:right w:val="none" w:sz="0" w:space="0" w:color="auto"/>
      </w:divBdr>
      <w:divsChild>
        <w:div w:id="2059889298">
          <w:marLeft w:val="1166"/>
          <w:marRight w:val="0"/>
          <w:marTop w:val="82"/>
          <w:marBottom w:val="0"/>
          <w:divBdr>
            <w:top w:val="none" w:sz="0" w:space="0" w:color="auto"/>
            <w:left w:val="none" w:sz="0" w:space="0" w:color="auto"/>
            <w:bottom w:val="none" w:sz="0" w:space="0" w:color="auto"/>
            <w:right w:val="none" w:sz="0" w:space="0" w:color="auto"/>
          </w:divBdr>
        </w:div>
        <w:div w:id="1442258499">
          <w:marLeft w:val="1800"/>
          <w:marRight w:val="0"/>
          <w:marTop w:val="67"/>
          <w:marBottom w:val="0"/>
          <w:divBdr>
            <w:top w:val="none" w:sz="0" w:space="0" w:color="auto"/>
            <w:left w:val="none" w:sz="0" w:space="0" w:color="auto"/>
            <w:bottom w:val="none" w:sz="0" w:space="0" w:color="auto"/>
            <w:right w:val="none" w:sz="0" w:space="0" w:color="auto"/>
          </w:divBdr>
        </w:div>
        <w:div w:id="425929180">
          <w:marLeft w:val="1800"/>
          <w:marRight w:val="0"/>
          <w:marTop w:val="67"/>
          <w:marBottom w:val="0"/>
          <w:divBdr>
            <w:top w:val="none" w:sz="0" w:space="0" w:color="auto"/>
            <w:left w:val="none" w:sz="0" w:space="0" w:color="auto"/>
            <w:bottom w:val="none" w:sz="0" w:space="0" w:color="auto"/>
            <w:right w:val="none" w:sz="0" w:space="0" w:color="auto"/>
          </w:divBdr>
        </w:div>
        <w:div w:id="1485270275">
          <w:marLeft w:val="1800"/>
          <w:marRight w:val="0"/>
          <w:marTop w:val="67"/>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8145187">
      <w:bodyDiv w:val="1"/>
      <w:marLeft w:val="0"/>
      <w:marRight w:val="0"/>
      <w:marTop w:val="0"/>
      <w:marBottom w:val="0"/>
      <w:divBdr>
        <w:top w:val="none" w:sz="0" w:space="0" w:color="auto"/>
        <w:left w:val="none" w:sz="0" w:space="0" w:color="auto"/>
        <w:bottom w:val="none" w:sz="0" w:space="0" w:color="auto"/>
        <w:right w:val="none" w:sz="0" w:space="0" w:color="auto"/>
      </w:divBdr>
      <w:divsChild>
        <w:div w:id="1135371643">
          <w:marLeft w:val="1166"/>
          <w:marRight w:val="0"/>
          <w:marTop w:val="82"/>
          <w:marBottom w:val="0"/>
          <w:divBdr>
            <w:top w:val="none" w:sz="0" w:space="0" w:color="auto"/>
            <w:left w:val="none" w:sz="0" w:space="0" w:color="auto"/>
            <w:bottom w:val="none" w:sz="0" w:space="0" w:color="auto"/>
            <w:right w:val="none" w:sz="0" w:space="0" w:color="auto"/>
          </w:divBdr>
        </w:div>
        <w:div w:id="970473800">
          <w:marLeft w:val="1800"/>
          <w:marRight w:val="0"/>
          <w:marTop w:val="67"/>
          <w:marBottom w:val="0"/>
          <w:divBdr>
            <w:top w:val="none" w:sz="0" w:space="0" w:color="auto"/>
            <w:left w:val="none" w:sz="0" w:space="0" w:color="auto"/>
            <w:bottom w:val="none" w:sz="0" w:space="0" w:color="auto"/>
            <w:right w:val="none" w:sz="0" w:space="0" w:color="auto"/>
          </w:divBdr>
        </w:div>
        <w:div w:id="1778981772">
          <w:marLeft w:val="1800"/>
          <w:marRight w:val="0"/>
          <w:marTop w:val="6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962316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8160885">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880303">
      <w:bodyDiv w:val="1"/>
      <w:marLeft w:val="0"/>
      <w:marRight w:val="0"/>
      <w:marTop w:val="0"/>
      <w:marBottom w:val="0"/>
      <w:divBdr>
        <w:top w:val="none" w:sz="0" w:space="0" w:color="auto"/>
        <w:left w:val="none" w:sz="0" w:space="0" w:color="auto"/>
        <w:bottom w:val="none" w:sz="0" w:space="0" w:color="auto"/>
        <w:right w:val="none" w:sz="0" w:space="0" w:color="auto"/>
      </w:divBdr>
      <w:divsChild>
        <w:div w:id="14887579">
          <w:marLeft w:val="360"/>
          <w:marRight w:val="0"/>
          <w:marTop w:val="200"/>
          <w:marBottom w:val="0"/>
          <w:divBdr>
            <w:top w:val="none" w:sz="0" w:space="0" w:color="auto"/>
            <w:left w:val="none" w:sz="0" w:space="0" w:color="auto"/>
            <w:bottom w:val="none" w:sz="0" w:space="0" w:color="auto"/>
            <w:right w:val="none" w:sz="0" w:space="0" w:color="auto"/>
          </w:divBdr>
        </w:div>
        <w:div w:id="1776824508">
          <w:marLeft w:val="1080"/>
          <w:marRight w:val="0"/>
          <w:marTop w:val="100"/>
          <w:marBottom w:val="0"/>
          <w:divBdr>
            <w:top w:val="none" w:sz="0" w:space="0" w:color="auto"/>
            <w:left w:val="none" w:sz="0" w:space="0" w:color="auto"/>
            <w:bottom w:val="none" w:sz="0" w:space="0" w:color="auto"/>
            <w:right w:val="none" w:sz="0" w:space="0" w:color="auto"/>
          </w:divBdr>
        </w:div>
        <w:div w:id="1919244793">
          <w:marLeft w:val="1080"/>
          <w:marRight w:val="0"/>
          <w:marTop w:val="100"/>
          <w:marBottom w:val="0"/>
          <w:divBdr>
            <w:top w:val="none" w:sz="0" w:space="0" w:color="auto"/>
            <w:left w:val="none" w:sz="0" w:space="0" w:color="auto"/>
            <w:bottom w:val="none" w:sz="0" w:space="0" w:color="auto"/>
            <w:right w:val="none" w:sz="0" w:space="0" w:color="auto"/>
          </w:divBdr>
        </w:div>
        <w:div w:id="1945186901">
          <w:marLeft w:val="1080"/>
          <w:marRight w:val="0"/>
          <w:marTop w:val="100"/>
          <w:marBottom w:val="0"/>
          <w:divBdr>
            <w:top w:val="none" w:sz="0" w:space="0" w:color="auto"/>
            <w:left w:val="none" w:sz="0" w:space="0" w:color="auto"/>
            <w:bottom w:val="none" w:sz="0" w:space="0" w:color="auto"/>
            <w:right w:val="none" w:sz="0" w:space="0" w:color="auto"/>
          </w:divBdr>
        </w:div>
        <w:div w:id="1244074080">
          <w:marLeft w:val="1080"/>
          <w:marRight w:val="0"/>
          <w:marTop w:val="100"/>
          <w:marBottom w:val="0"/>
          <w:divBdr>
            <w:top w:val="none" w:sz="0" w:space="0" w:color="auto"/>
            <w:left w:val="none" w:sz="0" w:space="0" w:color="auto"/>
            <w:bottom w:val="none" w:sz="0" w:space="0" w:color="auto"/>
            <w:right w:val="none" w:sz="0" w:space="0" w:color="auto"/>
          </w:divBdr>
        </w:div>
        <w:div w:id="773941242">
          <w:marLeft w:val="1080"/>
          <w:marRight w:val="0"/>
          <w:marTop w:val="100"/>
          <w:marBottom w:val="0"/>
          <w:divBdr>
            <w:top w:val="none" w:sz="0" w:space="0" w:color="auto"/>
            <w:left w:val="none" w:sz="0" w:space="0" w:color="auto"/>
            <w:bottom w:val="none" w:sz="0" w:space="0" w:color="auto"/>
            <w:right w:val="none" w:sz="0" w:space="0" w:color="auto"/>
          </w:divBdr>
        </w:div>
        <w:div w:id="1753774421">
          <w:marLeft w:val="1080"/>
          <w:marRight w:val="0"/>
          <w:marTop w:val="1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863001">
      <w:bodyDiv w:val="1"/>
      <w:marLeft w:val="0"/>
      <w:marRight w:val="0"/>
      <w:marTop w:val="0"/>
      <w:marBottom w:val="0"/>
      <w:divBdr>
        <w:top w:val="none" w:sz="0" w:space="0" w:color="auto"/>
        <w:left w:val="none" w:sz="0" w:space="0" w:color="auto"/>
        <w:bottom w:val="none" w:sz="0" w:space="0" w:color="auto"/>
        <w:right w:val="none" w:sz="0" w:space="0" w:color="auto"/>
      </w:divBdr>
      <w:divsChild>
        <w:div w:id="1060832927">
          <w:marLeft w:val="1166"/>
          <w:marRight w:val="0"/>
          <w:marTop w:val="82"/>
          <w:marBottom w:val="0"/>
          <w:divBdr>
            <w:top w:val="none" w:sz="0" w:space="0" w:color="auto"/>
            <w:left w:val="none" w:sz="0" w:space="0" w:color="auto"/>
            <w:bottom w:val="none" w:sz="0" w:space="0" w:color="auto"/>
            <w:right w:val="none" w:sz="0" w:space="0" w:color="auto"/>
          </w:divBdr>
        </w:div>
        <w:div w:id="337466091">
          <w:marLeft w:val="1800"/>
          <w:marRight w:val="0"/>
          <w:marTop w:val="67"/>
          <w:marBottom w:val="0"/>
          <w:divBdr>
            <w:top w:val="none" w:sz="0" w:space="0" w:color="auto"/>
            <w:left w:val="none" w:sz="0" w:space="0" w:color="auto"/>
            <w:bottom w:val="none" w:sz="0" w:space="0" w:color="auto"/>
            <w:right w:val="none" w:sz="0" w:space="0" w:color="auto"/>
          </w:divBdr>
        </w:div>
        <w:div w:id="1038510667">
          <w:marLeft w:val="1800"/>
          <w:marRight w:val="0"/>
          <w:marTop w:val="67"/>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66932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7729558">
      <w:bodyDiv w:val="1"/>
      <w:marLeft w:val="0"/>
      <w:marRight w:val="0"/>
      <w:marTop w:val="0"/>
      <w:marBottom w:val="0"/>
      <w:divBdr>
        <w:top w:val="none" w:sz="0" w:space="0" w:color="auto"/>
        <w:left w:val="none" w:sz="0" w:space="0" w:color="auto"/>
        <w:bottom w:val="none" w:sz="0" w:space="0" w:color="auto"/>
        <w:right w:val="none" w:sz="0" w:space="0" w:color="auto"/>
      </w:divBdr>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8988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C26F03F-E88E-42E5-A23A-A98A2B61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11587</TotalTime>
  <Pages>1</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29</cp:revision>
  <cp:lastPrinted>2009-04-22T06:01:00Z</cp:lastPrinted>
  <dcterms:created xsi:type="dcterms:W3CDTF">2020-07-07T06:33:00Z</dcterms:created>
  <dcterms:modified xsi:type="dcterms:W3CDTF">2020-10-23T13:37:00Z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