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35C" w:rsidRPr="002A235C" w:rsidRDefault="002A235C" w:rsidP="002A235C">
      <w:pPr>
        <w:pStyle w:val="a3"/>
        <w:rPr>
          <w:rFonts w:cs="Arial"/>
          <w:noProof w:val="0"/>
          <w:sz w:val="24"/>
          <w:szCs w:val="24"/>
        </w:rPr>
      </w:pPr>
      <w:r w:rsidRPr="002A235C">
        <w:rPr>
          <w:rFonts w:cs="Arial"/>
          <w:noProof w:val="0"/>
          <w:sz w:val="24"/>
          <w:szCs w:val="24"/>
        </w:rPr>
        <w:t xml:space="preserve">3GPP TSG-RAN WG4 Meeting # 97-e </w:t>
      </w:r>
      <w:r w:rsidRPr="002A235C">
        <w:rPr>
          <w:rFonts w:cs="Arial"/>
          <w:noProof w:val="0"/>
          <w:sz w:val="24"/>
          <w:szCs w:val="24"/>
        </w:rPr>
        <w:tab/>
      </w:r>
      <w:r>
        <w:rPr>
          <w:rFonts w:cs="Arial"/>
          <w:noProof w:val="0"/>
          <w:sz w:val="24"/>
          <w:szCs w:val="24"/>
        </w:rPr>
        <w:t xml:space="preserve">                              </w:t>
      </w:r>
      <w:r w:rsidR="00C76B41">
        <w:rPr>
          <w:rFonts w:cs="Arial"/>
          <w:noProof w:val="0"/>
          <w:sz w:val="24"/>
          <w:szCs w:val="24"/>
        </w:rPr>
        <w:t>R4-2015511</w:t>
      </w:r>
    </w:p>
    <w:p w:rsidR="00DF0231" w:rsidRPr="00714064" w:rsidRDefault="002A235C" w:rsidP="002A235C">
      <w:pPr>
        <w:pStyle w:val="a3"/>
        <w:rPr>
          <w:rFonts w:eastAsia="宋体"/>
          <w:noProof w:val="0"/>
          <w:sz w:val="24"/>
          <w:szCs w:val="24"/>
          <w:lang w:eastAsia="zh-CN"/>
        </w:rPr>
      </w:pPr>
      <w:r w:rsidRPr="002A235C">
        <w:rPr>
          <w:rFonts w:cs="Arial"/>
          <w:noProof w:val="0"/>
          <w:sz w:val="24"/>
          <w:szCs w:val="24"/>
        </w:rPr>
        <w:t>Electronic Meeting, 2-13 Nov.,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w:t>
      </w:r>
      <w:r w:rsidR="00304643">
        <w:rPr>
          <w:rFonts w:ascii="Arial" w:hAnsi="Arial"/>
          <w:sz w:val="24"/>
          <w:lang w:val="en-US"/>
        </w:rPr>
        <w:t>4</w:t>
      </w:r>
      <w:r w:rsidR="003158EC">
        <w:rPr>
          <w:rFonts w:ascii="Arial" w:hAnsi="Arial"/>
          <w:sz w:val="24"/>
          <w:lang w:val="en-US"/>
        </w:rPr>
        <w:t>.</w:t>
      </w:r>
      <w:r w:rsidR="00304643">
        <w:rPr>
          <w:rFonts w:ascii="Arial" w:hAnsi="Arial"/>
          <w:sz w:val="24"/>
          <w:lang w:val="en-US"/>
        </w:rPr>
        <w:t>5.</w:t>
      </w:r>
      <w:r w:rsidR="00F56D2E">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7527" w:rsidRPr="00557527">
        <w:rPr>
          <w:rFonts w:ascii="Arial" w:hAnsi="Arial"/>
          <w:sz w:val="24"/>
          <w:lang w:val="en-US"/>
        </w:rPr>
        <w:t xml:space="preserve">Discussion on </w:t>
      </w:r>
      <w:r w:rsidR="00F56D2E">
        <w:rPr>
          <w:rFonts w:ascii="Arial" w:hAnsi="Arial"/>
          <w:sz w:val="24"/>
          <w:lang w:val="en-US"/>
        </w:rPr>
        <w:t>test cases</w:t>
      </w:r>
      <w:r w:rsidR="002632E9">
        <w:rPr>
          <w:rFonts w:ascii="Arial" w:hAnsi="Arial"/>
          <w:sz w:val="24"/>
          <w:lang w:val="en-US"/>
        </w:rPr>
        <w:t xml:space="preserve"> for 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28739B" w:rsidRDefault="002632E9" w:rsidP="00DF0231">
      <w:pPr>
        <w:rPr>
          <w:rFonts w:eastAsiaTheme="minorEastAsia"/>
          <w:lang w:val="en-US" w:eastAsia="zh-CN"/>
        </w:rPr>
      </w:pPr>
      <w:r>
        <w:rPr>
          <w:rFonts w:eastAsiaTheme="minorEastAsia"/>
          <w:lang w:val="en-US" w:eastAsia="zh-CN"/>
        </w:rPr>
        <w:t xml:space="preserve">The core requirements for IAB </w:t>
      </w:r>
      <w:r w:rsidR="00D00E3E">
        <w:rPr>
          <w:rFonts w:eastAsiaTheme="minorEastAsia"/>
          <w:lang w:val="en-US" w:eastAsia="zh-CN"/>
        </w:rPr>
        <w:t>were</w:t>
      </w:r>
      <w:r>
        <w:rPr>
          <w:rFonts w:eastAsiaTheme="minorEastAsia"/>
          <w:lang w:val="en-US" w:eastAsia="zh-CN"/>
        </w:rPr>
        <w:t xml:space="preserve"> completed in the RAN4#96e meeting</w:t>
      </w:r>
      <w:r w:rsidR="008A46A2">
        <w:rPr>
          <w:rFonts w:eastAsiaTheme="minorEastAsia"/>
          <w:lang w:val="en-US" w:eastAsia="zh-CN"/>
        </w:rPr>
        <w:t xml:space="preserve"> [1]</w:t>
      </w:r>
      <w:r>
        <w:rPr>
          <w:rFonts w:eastAsiaTheme="minorEastAsia"/>
          <w:lang w:val="en-US" w:eastAsia="zh-CN"/>
        </w:rPr>
        <w:t>, and the performance work</w:t>
      </w:r>
      <w:r w:rsidR="00D00E3E">
        <w:rPr>
          <w:rFonts w:eastAsiaTheme="minorEastAsia"/>
          <w:lang w:val="en-US" w:eastAsia="zh-CN"/>
        </w:rPr>
        <w:t>s</w:t>
      </w:r>
      <w:r>
        <w:rPr>
          <w:rFonts w:eastAsiaTheme="minorEastAsia"/>
          <w:lang w:val="en-US" w:eastAsia="zh-CN"/>
        </w:rPr>
        <w:t xml:space="preserve"> are scheduled for the coming RAN4#97e meeting. </w:t>
      </w:r>
      <w:r w:rsidR="0028739B">
        <w:rPr>
          <w:rFonts w:eastAsiaTheme="minorEastAsia"/>
          <w:lang w:val="en-US" w:eastAsia="zh-CN"/>
        </w:rPr>
        <w:t>We have a separate paper to discuss the principles and general considerations to move the performance work forward [2]. In this paper, we further provide our views in details about each requirement case by case based on our observations in [2].</w:t>
      </w:r>
    </w:p>
    <w:p w:rsidR="002632E9" w:rsidRDefault="00DF0231" w:rsidP="00D00E3E">
      <w:pPr>
        <w:pStyle w:val="1"/>
        <w:numPr>
          <w:ilvl w:val="0"/>
          <w:numId w:val="1"/>
        </w:numPr>
        <w:rPr>
          <w:lang w:val="en-US"/>
        </w:rPr>
      </w:pPr>
      <w:r w:rsidRPr="002D2977">
        <w:rPr>
          <w:lang w:val="en-US"/>
        </w:rPr>
        <w:t>Discussion</w:t>
      </w:r>
    </w:p>
    <w:p w:rsidR="0028739B" w:rsidRDefault="0028739B" w:rsidP="00BD045B">
      <w:pPr>
        <w:jc w:val="both"/>
        <w:rPr>
          <w:lang w:val="en-US"/>
        </w:rPr>
      </w:pPr>
      <w:r>
        <w:rPr>
          <w:lang w:val="en-US"/>
        </w:rPr>
        <w:t>As analyzed in [2], compared with the original UE, the IAB-MT has some different characteristics in terms of scenarios, mobility, IAB classes, etc. It could be observed that the channel conditions for IAB-MT is much stable than the original UE as the IAB is considered without mobility and it is deployed with pre-planning by operator</w:t>
      </w:r>
      <w:r w:rsidR="00000249">
        <w:rPr>
          <w:lang w:val="en-US"/>
        </w:rPr>
        <w:t>s especially for wide area IAB</w:t>
      </w:r>
      <w:r>
        <w:rPr>
          <w:lang w:val="en-US"/>
        </w:rPr>
        <w:t xml:space="preserve">. </w:t>
      </w:r>
      <w:r w:rsidR="00915953">
        <w:rPr>
          <w:lang w:val="en-US"/>
        </w:rPr>
        <w:t>Thus, it is reasonable to consider simplifying the performance requirements for IAB-MT compared with the performance requirements for the original UE which has multiple test cases with different configurations for each requirements.</w:t>
      </w:r>
      <w:r w:rsidR="00BD045B">
        <w:rPr>
          <w:lang w:val="en-US"/>
        </w:rPr>
        <w:t xml:space="preserve"> Also there are some issues should be taken in to account when designing the test cases for IAB.</w:t>
      </w:r>
      <w:r w:rsidR="00915953">
        <w:rPr>
          <w:lang w:val="en-US"/>
        </w:rPr>
        <w:t xml:space="preserve"> Taking TS 38.133 as the baseline, we provide our views on the test case shall be defined corresponding to the core requirements in the following parts.</w:t>
      </w:r>
    </w:p>
    <w:p w:rsidR="0028739B" w:rsidRPr="00891EAE" w:rsidRDefault="00915953" w:rsidP="00BD045B">
      <w:pPr>
        <w:pStyle w:val="2"/>
        <w:jc w:val="both"/>
        <w:rPr>
          <w:lang w:val="en-US"/>
        </w:rPr>
      </w:pPr>
      <w:r w:rsidRPr="00891EAE">
        <w:rPr>
          <w:lang w:val="en-US"/>
        </w:rPr>
        <w:t>RRC re-establishment and RRC release with redirection</w:t>
      </w:r>
    </w:p>
    <w:p w:rsidR="0028739B" w:rsidRDefault="00891EAE" w:rsidP="00BD045B">
      <w:pPr>
        <w:jc w:val="both"/>
        <w:rPr>
          <w:lang w:val="en-US"/>
        </w:rPr>
      </w:pPr>
      <w:r>
        <w:rPr>
          <w:lang w:val="en-US"/>
        </w:rPr>
        <w:t>For RRC re-establishment</w:t>
      </w:r>
      <w:r w:rsidR="00683E0D">
        <w:rPr>
          <w:lang w:val="en-US"/>
        </w:rPr>
        <w:t xml:space="preserve"> testing for original UE</w:t>
      </w:r>
      <w:r>
        <w:rPr>
          <w:lang w:val="en-US"/>
        </w:rPr>
        <w:t xml:space="preserve">, we have multiple test cases in different scenarios for intra/inter frequency, known/unknown target cell, FR1/FR2, with/without serving cell timing. </w:t>
      </w:r>
      <w:r w:rsidR="00683E0D">
        <w:rPr>
          <w:lang w:val="en-US"/>
        </w:rPr>
        <w:t>As for IAB-MT, there is no need to consider all these combinations as these maybe not typical scenarios for IAB-MT. Firstly, as the requirements for cell re-selection and RRM measurement are not defined for IAB-MT, it is not easy to make sure that the IAB-MT under testing has the information of the target cell (either intra frequency or inter frequency), thus it is proposed to only considered the unknown target cell in the testing. Also for the inter-frequency RRC re-establishment, as defined in the core requirements, the total delay is related to the number of inter frequency layers. In the test requirements for the original UE, UE shall establish the RRC connection to the inter-frequency target cell immediately after searching the intra-frequency layers</w:t>
      </w:r>
      <w:r w:rsidR="0091730A">
        <w:rPr>
          <w:lang w:val="en-US"/>
        </w:rPr>
        <w:t xml:space="preserve"> and the information of the inter frequency is given to the UE prior to the test. However, for the IAB-MT, for the same reason, there is no cell re-selection and RRM measurement procedures defined for IAB-MT, thus it is not easy for IAB-MT to directly turn to the target frequency configured in the test. The worst case could be that the IAB-MT finds the target frequency after sweeping all possible frequencies, so it is hard to define number of frequency layers. What more, for IAB-MT, there could prior information about the candidate frequencies for re-establishment as the IAB is deployed by p</w:t>
      </w:r>
      <w:r w:rsidR="00BD045B">
        <w:rPr>
          <w:lang w:val="en-US"/>
        </w:rPr>
        <w:t>l</w:t>
      </w:r>
      <w:r w:rsidR="0091730A">
        <w:rPr>
          <w:lang w:val="en-US"/>
        </w:rPr>
        <w:t>anning, thus how the IAB-MT search for the inter-frequency for re-establishment may depends on IAB-MT’s implementations.</w:t>
      </w:r>
    </w:p>
    <w:p w:rsidR="001D226D" w:rsidRPr="001D226D" w:rsidRDefault="00B54172" w:rsidP="00BD045B">
      <w:pPr>
        <w:jc w:val="both"/>
        <w:rPr>
          <w:b/>
          <w:lang w:val="en-US"/>
        </w:rPr>
      </w:pPr>
      <w:r>
        <w:rPr>
          <w:b/>
          <w:lang w:val="en-US"/>
        </w:rPr>
        <w:t>Proposal 1</w:t>
      </w:r>
      <w:r w:rsidR="001D226D" w:rsidRPr="001D226D">
        <w:rPr>
          <w:b/>
          <w:lang w:val="en-US"/>
        </w:rPr>
        <w:t>: As there is no cell reselection and RRM measurement requirements, only unknown target cell should be considered in the testing.</w:t>
      </w:r>
    </w:p>
    <w:p w:rsidR="001D226D" w:rsidRPr="001D226D" w:rsidRDefault="001D226D" w:rsidP="00BD045B">
      <w:pPr>
        <w:jc w:val="both"/>
        <w:rPr>
          <w:b/>
          <w:lang w:val="en-US"/>
        </w:rPr>
      </w:pPr>
      <w:r w:rsidRPr="001D226D">
        <w:rPr>
          <w:b/>
          <w:lang w:val="en-US"/>
        </w:rPr>
        <w:t xml:space="preserve">Observation </w:t>
      </w:r>
      <w:r w:rsidR="00B54172">
        <w:rPr>
          <w:b/>
          <w:lang w:val="en-US"/>
        </w:rPr>
        <w:t>1</w:t>
      </w:r>
      <w:r w:rsidRPr="001D226D">
        <w:rPr>
          <w:b/>
          <w:lang w:val="en-US"/>
        </w:rPr>
        <w:t>: It hard to define the number of frequency layers for inter frequency RRC re-establishment.</w:t>
      </w:r>
    </w:p>
    <w:p w:rsidR="0091730A" w:rsidRDefault="0091730A" w:rsidP="00BD045B">
      <w:pPr>
        <w:jc w:val="both"/>
        <w:rPr>
          <w:lang w:val="en-US"/>
        </w:rPr>
      </w:pPr>
      <w:r>
        <w:rPr>
          <w:lang w:val="en-US"/>
        </w:rPr>
        <w:t>Another issue is related to different types of IAB-MT. According to RRM discussion, the RLM and link recovery requirements are only defined for local area IAB-MT. As the typical manner to trigger the RRC re-establishment is through RLF, to our best knowledge, there is no reliable manner to trigger the RRC re-establishment for wide area IAB-MT</w:t>
      </w:r>
      <w:r w:rsidR="007D4010">
        <w:rPr>
          <w:lang w:val="en-US"/>
        </w:rPr>
        <w:t xml:space="preserve"> in the testing</w:t>
      </w:r>
      <w:r>
        <w:rPr>
          <w:lang w:val="en-US"/>
        </w:rPr>
        <w:t>.</w:t>
      </w:r>
    </w:p>
    <w:p w:rsidR="001D226D" w:rsidRPr="001D226D" w:rsidRDefault="001D226D" w:rsidP="00D00E3E">
      <w:pPr>
        <w:rPr>
          <w:b/>
          <w:lang w:val="en-US"/>
        </w:rPr>
      </w:pPr>
      <w:r w:rsidRPr="001D226D">
        <w:rPr>
          <w:b/>
          <w:lang w:val="en-US"/>
        </w:rPr>
        <w:lastRenderedPageBreak/>
        <w:t xml:space="preserve">Observation </w:t>
      </w:r>
      <w:r w:rsidR="00B54172">
        <w:rPr>
          <w:b/>
          <w:lang w:val="en-US"/>
        </w:rPr>
        <w:t>2</w:t>
      </w:r>
      <w:r w:rsidRPr="001D226D">
        <w:rPr>
          <w:b/>
          <w:lang w:val="en-US"/>
        </w:rPr>
        <w:t>: How to trigger the RRC re-establishment for wide area IAB-MT should be further discussed.</w:t>
      </w:r>
    </w:p>
    <w:p w:rsidR="005B06FB" w:rsidRDefault="005B06FB" w:rsidP="00D00E3E">
      <w:pPr>
        <w:rPr>
          <w:lang w:val="en-US"/>
        </w:rPr>
      </w:pPr>
      <w:r>
        <w:rPr>
          <w:lang w:val="en-US"/>
        </w:rPr>
        <w:t>Based on the analysis above, it is proposed to define the test cases for RRC re-establishment as follows:</w:t>
      </w:r>
    </w:p>
    <w:tbl>
      <w:tblPr>
        <w:tblStyle w:val="a7"/>
        <w:tblW w:w="0" w:type="auto"/>
        <w:tblLook w:val="04A0" w:firstRow="1" w:lastRow="0" w:firstColumn="1" w:lastColumn="0" w:noHBand="0" w:noVBand="1"/>
      </w:tblPr>
      <w:tblGrid>
        <w:gridCol w:w="3318"/>
        <w:gridCol w:w="1077"/>
        <w:gridCol w:w="2404"/>
        <w:gridCol w:w="2268"/>
      </w:tblGrid>
      <w:tr w:rsidR="005B06FB" w:rsidTr="005B06FB">
        <w:tc>
          <w:tcPr>
            <w:tcW w:w="3318" w:type="dxa"/>
          </w:tcPr>
          <w:p w:rsidR="005B06FB" w:rsidRPr="005B06FB" w:rsidRDefault="005B06FB" w:rsidP="00D00E3E">
            <w:pPr>
              <w:rPr>
                <w:b/>
                <w:lang w:val="en-US"/>
              </w:rPr>
            </w:pPr>
            <w:r w:rsidRPr="005B06FB">
              <w:rPr>
                <w:b/>
                <w:lang w:val="en-US"/>
              </w:rPr>
              <w:t xml:space="preserve">Test cases </w:t>
            </w:r>
          </w:p>
        </w:tc>
        <w:tc>
          <w:tcPr>
            <w:tcW w:w="1077" w:type="dxa"/>
          </w:tcPr>
          <w:p w:rsidR="005B06FB" w:rsidRPr="005B06FB" w:rsidRDefault="005B06FB" w:rsidP="00D00E3E">
            <w:pPr>
              <w:rPr>
                <w:b/>
                <w:lang w:val="en-US"/>
              </w:rPr>
            </w:pPr>
            <w:r w:rsidRPr="005B06FB">
              <w:rPr>
                <w:b/>
                <w:lang w:val="en-US"/>
              </w:rPr>
              <w:t xml:space="preserve">IAB type </w:t>
            </w:r>
          </w:p>
        </w:tc>
        <w:tc>
          <w:tcPr>
            <w:tcW w:w="2404" w:type="dxa"/>
          </w:tcPr>
          <w:p w:rsidR="005B06FB" w:rsidRPr="005B06FB" w:rsidRDefault="005B06FB" w:rsidP="00D00E3E">
            <w:pPr>
              <w:rPr>
                <w:b/>
                <w:lang w:val="en-US"/>
              </w:rPr>
            </w:pPr>
            <w:r w:rsidRPr="005B06FB">
              <w:rPr>
                <w:b/>
                <w:lang w:val="en-US"/>
              </w:rPr>
              <w:t>IAB-MT class</w:t>
            </w:r>
          </w:p>
        </w:tc>
        <w:tc>
          <w:tcPr>
            <w:tcW w:w="2268" w:type="dxa"/>
          </w:tcPr>
          <w:p w:rsidR="005B06FB" w:rsidRPr="005B06FB" w:rsidRDefault="005B06FB" w:rsidP="00D00E3E">
            <w:pPr>
              <w:rPr>
                <w:b/>
                <w:lang w:val="en-US"/>
              </w:rPr>
            </w:pPr>
            <w:r w:rsidRPr="005B06FB">
              <w:rPr>
                <w:b/>
                <w:lang w:val="en-US"/>
              </w:rPr>
              <w:t>Conducted/OTA</w:t>
            </w:r>
          </w:p>
        </w:tc>
      </w:tr>
      <w:tr w:rsidR="009F5330" w:rsidTr="005B06FB">
        <w:tc>
          <w:tcPr>
            <w:tcW w:w="3318" w:type="dxa"/>
          </w:tcPr>
          <w:p w:rsidR="009F5330" w:rsidRDefault="009F5330" w:rsidP="009F5330">
            <w:pPr>
              <w:rPr>
                <w:lang w:val="en-US"/>
              </w:rPr>
            </w:pPr>
            <w:r w:rsidRPr="004E396D">
              <w:rPr>
                <w:snapToGrid w:val="0"/>
              </w:rPr>
              <w:t>Intra-frequency RRC Re-establishment in FR1</w:t>
            </w:r>
            <w:r>
              <w:rPr>
                <w:snapToGrid w:val="0"/>
              </w:rPr>
              <w:t xml:space="preserve"> with unknown target cell</w:t>
            </w:r>
          </w:p>
        </w:tc>
        <w:tc>
          <w:tcPr>
            <w:tcW w:w="1077" w:type="dxa"/>
          </w:tcPr>
          <w:p w:rsidR="009F5330" w:rsidRDefault="009F5330" w:rsidP="009F5330">
            <w:pPr>
              <w:rPr>
                <w:lang w:val="en-US"/>
              </w:rPr>
            </w:pPr>
            <w:r>
              <w:rPr>
                <w:lang w:val="en-US"/>
              </w:rPr>
              <w:t>IAB 1-H</w:t>
            </w:r>
          </w:p>
        </w:tc>
        <w:tc>
          <w:tcPr>
            <w:tcW w:w="2404" w:type="dxa"/>
          </w:tcPr>
          <w:p w:rsidR="009F5330" w:rsidRDefault="009F5330" w:rsidP="009F5330">
            <w:r w:rsidRPr="00014606">
              <w:rPr>
                <w:lang w:val="en-US"/>
              </w:rPr>
              <w:t>Wide area / Local area</w:t>
            </w:r>
          </w:p>
        </w:tc>
        <w:tc>
          <w:tcPr>
            <w:tcW w:w="2268" w:type="dxa"/>
          </w:tcPr>
          <w:p w:rsidR="009F5330" w:rsidRDefault="009F5330" w:rsidP="009F5330">
            <w:pPr>
              <w:rPr>
                <w:lang w:val="en-US"/>
              </w:rPr>
            </w:pPr>
            <w:r>
              <w:rPr>
                <w:lang w:val="en-US"/>
              </w:rPr>
              <w:t>conducted</w:t>
            </w:r>
          </w:p>
        </w:tc>
      </w:tr>
      <w:tr w:rsidR="009F5330" w:rsidTr="005B06FB">
        <w:tc>
          <w:tcPr>
            <w:tcW w:w="3318" w:type="dxa"/>
          </w:tcPr>
          <w:p w:rsidR="009F5330" w:rsidRPr="004E396D" w:rsidRDefault="009F5330" w:rsidP="009F5330">
            <w:pPr>
              <w:rPr>
                <w:snapToGrid w:val="0"/>
              </w:rPr>
            </w:pPr>
            <w:r w:rsidRPr="004E396D">
              <w:rPr>
                <w:snapToGrid w:val="0"/>
              </w:rPr>
              <w:t>Int</w:t>
            </w:r>
            <w:r>
              <w:rPr>
                <w:snapToGrid w:val="0"/>
              </w:rPr>
              <w:t>ra</w:t>
            </w:r>
            <w:r w:rsidRPr="004E396D">
              <w:rPr>
                <w:snapToGrid w:val="0"/>
              </w:rPr>
              <w:t>-frequency RRC Re-establishment in FR1</w:t>
            </w:r>
            <w:r>
              <w:rPr>
                <w:snapToGrid w:val="0"/>
              </w:rPr>
              <w:t xml:space="preserve"> with unknown target cell</w:t>
            </w:r>
          </w:p>
        </w:tc>
        <w:tc>
          <w:tcPr>
            <w:tcW w:w="1077" w:type="dxa"/>
          </w:tcPr>
          <w:p w:rsidR="009F5330" w:rsidRDefault="009F5330" w:rsidP="009F5330">
            <w:pPr>
              <w:rPr>
                <w:lang w:val="en-US"/>
              </w:rPr>
            </w:pPr>
            <w:r>
              <w:rPr>
                <w:lang w:val="en-US"/>
              </w:rPr>
              <w:t>IAB 1-O</w:t>
            </w:r>
          </w:p>
        </w:tc>
        <w:tc>
          <w:tcPr>
            <w:tcW w:w="2404" w:type="dxa"/>
          </w:tcPr>
          <w:p w:rsidR="009F5330" w:rsidRDefault="009F5330" w:rsidP="009F5330">
            <w:r w:rsidRPr="00014606">
              <w:rPr>
                <w:lang w:val="en-US"/>
              </w:rPr>
              <w:t>Wide area / Local area</w:t>
            </w:r>
          </w:p>
        </w:tc>
        <w:tc>
          <w:tcPr>
            <w:tcW w:w="2268" w:type="dxa"/>
          </w:tcPr>
          <w:p w:rsidR="009F5330" w:rsidRDefault="009F5330" w:rsidP="009F5330">
            <w:pPr>
              <w:rPr>
                <w:lang w:val="en-US"/>
              </w:rPr>
            </w:pPr>
            <w:r>
              <w:rPr>
                <w:lang w:val="en-US"/>
              </w:rPr>
              <w:t>OTA</w:t>
            </w:r>
          </w:p>
        </w:tc>
      </w:tr>
      <w:tr w:rsidR="009F5330" w:rsidTr="005B06FB">
        <w:tc>
          <w:tcPr>
            <w:tcW w:w="3318" w:type="dxa"/>
          </w:tcPr>
          <w:p w:rsidR="009F5330" w:rsidRPr="004E396D" w:rsidRDefault="009F5330" w:rsidP="009F5330">
            <w:pPr>
              <w:rPr>
                <w:snapToGrid w:val="0"/>
              </w:rPr>
            </w:pPr>
            <w:r w:rsidRPr="004E396D">
              <w:rPr>
                <w:snapToGrid w:val="0"/>
              </w:rPr>
              <w:t>Intra-frequency RRC Re-establishment in FR</w:t>
            </w:r>
            <w:r>
              <w:rPr>
                <w:snapToGrid w:val="0"/>
              </w:rPr>
              <w:t>2 with unknown target cell</w:t>
            </w:r>
          </w:p>
        </w:tc>
        <w:tc>
          <w:tcPr>
            <w:tcW w:w="1077" w:type="dxa"/>
          </w:tcPr>
          <w:p w:rsidR="009F5330" w:rsidRDefault="009F5330" w:rsidP="009F5330">
            <w:pPr>
              <w:rPr>
                <w:lang w:val="en-US"/>
              </w:rPr>
            </w:pPr>
            <w:r>
              <w:rPr>
                <w:lang w:val="en-US"/>
              </w:rPr>
              <w:t>IAB 2-O</w:t>
            </w:r>
          </w:p>
        </w:tc>
        <w:tc>
          <w:tcPr>
            <w:tcW w:w="2404" w:type="dxa"/>
          </w:tcPr>
          <w:p w:rsidR="009F5330" w:rsidRDefault="009F5330" w:rsidP="009F5330">
            <w:r w:rsidRPr="00014606">
              <w:rPr>
                <w:lang w:val="en-US"/>
              </w:rPr>
              <w:t>Wide area / Local area</w:t>
            </w:r>
          </w:p>
        </w:tc>
        <w:tc>
          <w:tcPr>
            <w:tcW w:w="2268" w:type="dxa"/>
          </w:tcPr>
          <w:p w:rsidR="009F5330" w:rsidRDefault="009F5330" w:rsidP="009F5330">
            <w:pPr>
              <w:rPr>
                <w:lang w:val="en-US"/>
              </w:rPr>
            </w:pPr>
            <w:r>
              <w:rPr>
                <w:lang w:val="en-US"/>
              </w:rPr>
              <w:t>OTA</w:t>
            </w:r>
          </w:p>
        </w:tc>
      </w:tr>
    </w:tbl>
    <w:p w:rsidR="005B06FB" w:rsidRDefault="005B06FB" w:rsidP="00D00E3E">
      <w:pPr>
        <w:rPr>
          <w:lang w:val="en-US"/>
        </w:rPr>
      </w:pPr>
    </w:p>
    <w:p w:rsidR="00375BAD" w:rsidRPr="00375BAD" w:rsidRDefault="00375BAD" w:rsidP="00375BAD">
      <w:pPr>
        <w:rPr>
          <w:lang w:val="en-US"/>
        </w:rPr>
      </w:pPr>
      <w:r w:rsidRPr="00375BAD">
        <w:rPr>
          <w:lang w:val="en-US"/>
        </w:rPr>
        <w:t>And for the RRC release with redirection, it is suggested to have the following test cases:</w:t>
      </w:r>
    </w:p>
    <w:tbl>
      <w:tblPr>
        <w:tblStyle w:val="a7"/>
        <w:tblW w:w="0" w:type="auto"/>
        <w:tblLook w:val="04A0" w:firstRow="1" w:lastRow="0" w:firstColumn="1" w:lastColumn="0" w:noHBand="0" w:noVBand="1"/>
      </w:tblPr>
      <w:tblGrid>
        <w:gridCol w:w="2767"/>
        <w:gridCol w:w="954"/>
        <w:gridCol w:w="1969"/>
        <w:gridCol w:w="2112"/>
        <w:gridCol w:w="1760"/>
      </w:tblGrid>
      <w:tr w:rsidR="00375BAD" w:rsidTr="00011511">
        <w:tc>
          <w:tcPr>
            <w:tcW w:w="2767" w:type="dxa"/>
          </w:tcPr>
          <w:p w:rsidR="00375BAD" w:rsidRPr="005B06FB" w:rsidRDefault="00375BAD" w:rsidP="00011511">
            <w:pPr>
              <w:rPr>
                <w:b/>
                <w:lang w:val="en-US"/>
              </w:rPr>
            </w:pPr>
            <w:r w:rsidRPr="005B06FB">
              <w:rPr>
                <w:b/>
                <w:lang w:val="en-US"/>
              </w:rPr>
              <w:t xml:space="preserve">Test cases </w:t>
            </w:r>
          </w:p>
        </w:tc>
        <w:tc>
          <w:tcPr>
            <w:tcW w:w="954" w:type="dxa"/>
          </w:tcPr>
          <w:p w:rsidR="00375BAD" w:rsidRPr="005B06FB" w:rsidRDefault="00375BAD" w:rsidP="00011511">
            <w:pPr>
              <w:rPr>
                <w:b/>
                <w:lang w:val="en-US"/>
              </w:rPr>
            </w:pPr>
            <w:r w:rsidRPr="005B06FB">
              <w:rPr>
                <w:b/>
                <w:lang w:val="en-US"/>
              </w:rPr>
              <w:t xml:space="preserve">IAB type </w:t>
            </w:r>
          </w:p>
        </w:tc>
        <w:tc>
          <w:tcPr>
            <w:tcW w:w="1969" w:type="dxa"/>
          </w:tcPr>
          <w:p w:rsidR="00375BAD" w:rsidRPr="005B06FB" w:rsidRDefault="00375BAD" w:rsidP="00011511">
            <w:pPr>
              <w:rPr>
                <w:b/>
                <w:lang w:val="en-US"/>
              </w:rPr>
            </w:pPr>
            <w:r w:rsidRPr="005B06FB">
              <w:rPr>
                <w:b/>
                <w:lang w:val="en-US"/>
              </w:rPr>
              <w:t>IAB-MT class</w:t>
            </w:r>
          </w:p>
        </w:tc>
        <w:tc>
          <w:tcPr>
            <w:tcW w:w="2112" w:type="dxa"/>
          </w:tcPr>
          <w:p w:rsidR="00375BAD" w:rsidRPr="005B06FB" w:rsidRDefault="00375BAD" w:rsidP="00011511">
            <w:pPr>
              <w:rPr>
                <w:b/>
                <w:lang w:val="en-US"/>
              </w:rPr>
            </w:pPr>
            <w:r w:rsidRPr="005B06FB">
              <w:rPr>
                <w:b/>
                <w:lang w:val="en-US"/>
              </w:rPr>
              <w:t>Conducted/OTA</w:t>
            </w:r>
          </w:p>
        </w:tc>
        <w:tc>
          <w:tcPr>
            <w:tcW w:w="1760" w:type="dxa"/>
          </w:tcPr>
          <w:p w:rsidR="00375BAD" w:rsidRPr="005B06FB" w:rsidRDefault="00375BAD" w:rsidP="00011511">
            <w:pPr>
              <w:rPr>
                <w:b/>
                <w:lang w:val="en-US"/>
              </w:rPr>
            </w:pPr>
            <w:r>
              <w:rPr>
                <w:b/>
                <w:lang w:val="en-US"/>
              </w:rPr>
              <w:t>Parameters</w:t>
            </w:r>
          </w:p>
        </w:tc>
      </w:tr>
      <w:tr w:rsidR="00375BAD" w:rsidTr="00011511">
        <w:tc>
          <w:tcPr>
            <w:tcW w:w="2767" w:type="dxa"/>
          </w:tcPr>
          <w:p w:rsidR="00375BAD" w:rsidRDefault="00375BAD" w:rsidP="00011511">
            <w:pPr>
              <w:rPr>
                <w:lang w:val="en-US"/>
              </w:rPr>
            </w:pPr>
            <w:r w:rsidRPr="004E396D">
              <w:t>Redirection from NR in FR1 to NR in FR1</w:t>
            </w:r>
          </w:p>
        </w:tc>
        <w:tc>
          <w:tcPr>
            <w:tcW w:w="954" w:type="dxa"/>
          </w:tcPr>
          <w:p w:rsidR="00375BAD" w:rsidRDefault="00375BAD" w:rsidP="00011511">
            <w:pPr>
              <w:rPr>
                <w:lang w:val="en-US"/>
              </w:rPr>
            </w:pPr>
            <w:r>
              <w:rPr>
                <w:lang w:val="en-US"/>
              </w:rPr>
              <w:t>IAB 1-H</w:t>
            </w:r>
          </w:p>
        </w:tc>
        <w:tc>
          <w:tcPr>
            <w:tcW w:w="1969" w:type="dxa"/>
          </w:tcPr>
          <w:p w:rsidR="00375BAD" w:rsidRDefault="00375BAD" w:rsidP="00011511">
            <w:r w:rsidRPr="00220AE9">
              <w:rPr>
                <w:lang w:val="en-US"/>
              </w:rPr>
              <w:t>Wide area / Local area</w:t>
            </w:r>
          </w:p>
        </w:tc>
        <w:tc>
          <w:tcPr>
            <w:tcW w:w="2112" w:type="dxa"/>
          </w:tcPr>
          <w:p w:rsidR="00375BAD" w:rsidRDefault="00375BAD" w:rsidP="00011511">
            <w:pPr>
              <w:rPr>
                <w:lang w:val="en-US"/>
              </w:rPr>
            </w:pPr>
            <w:r>
              <w:rPr>
                <w:lang w:val="en-US"/>
              </w:rPr>
              <w:t>conducted</w:t>
            </w:r>
          </w:p>
        </w:tc>
        <w:tc>
          <w:tcPr>
            <w:tcW w:w="1760" w:type="dxa"/>
          </w:tcPr>
          <w:p w:rsidR="00375BAD" w:rsidRDefault="00375BAD" w:rsidP="00011511">
            <w:pPr>
              <w:rPr>
                <w:lang w:val="en-US"/>
              </w:rPr>
            </w:pPr>
            <w:r>
              <w:rPr>
                <w:lang w:val="en-US"/>
              </w:rPr>
              <w:t>Non-DRX</w:t>
            </w:r>
          </w:p>
        </w:tc>
      </w:tr>
      <w:tr w:rsidR="00375BAD" w:rsidTr="00011511">
        <w:tc>
          <w:tcPr>
            <w:tcW w:w="2767" w:type="dxa"/>
          </w:tcPr>
          <w:p w:rsidR="00375BAD" w:rsidRPr="004E396D" w:rsidRDefault="00375BAD" w:rsidP="00011511">
            <w:pPr>
              <w:rPr>
                <w:snapToGrid w:val="0"/>
              </w:rPr>
            </w:pPr>
            <w:r w:rsidRPr="004E396D">
              <w:t>Redirection from NR in FR1 to NR in FR1</w:t>
            </w:r>
          </w:p>
        </w:tc>
        <w:tc>
          <w:tcPr>
            <w:tcW w:w="954" w:type="dxa"/>
          </w:tcPr>
          <w:p w:rsidR="00375BAD" w:rsidRDefault="00375BAD" w:rsidP="00011511">
            <w:pPr>
              <w:rPr>
                <w:lang w:val="en-US"/>
              </w:rPr>
            </w:pPr>
            <w:r>
              <w:rPr>
                <w:lang w:val="en-US"/>
              </w:rPr>
              <w:t>IAB 1-O</w:t>
            </w:r>
          </w:p>
        </w:tc>
        <w:tc>
          <w:tcPr>
            <w:tcW w:w="1969" w:type="dxa"/>
          </w:tcPr>
          <w:p w:rsidR="00375BAD" w:rsidRDefault="00375BAD" w:rsidP="00011511">
            <w:r w:rsidRPr="00220AE9">
              <w:rPr>
                <w:lang w:val="en-US"/>
              </w:rPr>
              <w:t>Wide area / Local area</w:t>
            </w:r>
          </w:p>
        </w:tc>
        <w:tc>
          <w:tcPr>
            <w:tcW w:w="2112" w:type="dxa"/>
          </w:tcPr>
          <w:p w:rsidR="00375BAD" w:rsidRDefault="00375BAD" w:rsidP="00011511">
            <w:pPr>
              <w:rPr>
                <w:lang w:val="en-US"/>
              </w:rPr>
            </w:pPr>
            <w:r>
              <w:rPr>
                <w:lang w:val="en-US"/>
              </w:rPr>
              <w:t>OTA</w:t>
            </w:r>
          </w:p>
        </w:tc>
        <w:tc>
          <w:tcPr>
            <w:tcW w:w="1760" w:type="dxa"/>
          </w:tcPr>
          <w:p w:rsidR="00375BAD" w:rsidRDefault="00375BAD" w:rsidP="00011511">
            <w:pPr>
              <w:rPr>
                <w:lang w:val="en-US"/>
              </w:rPr>
            </w:pPr>
            <w:r>
              <w:rPr>
                <w:lang w:val="en-US"/>
              </w:rPr>
              <w:t>Non-DRX</w:t>
            </w:r>
          </w:p>
        </w:tc>
      </w:tr>
      <w:tr w:rsidR="00375BAD" w:rsidTr="00011511">
        <w:tc>
          <w:tcPr>
            <w:tcW w:w="2767" w:type="dxa"/>
          </w:tcPr>
          <w:p w:rsidR="00375BAD" w:rsidRPr="004E396D" w:rsidRDefault="00375BAD" w:rsidP="00011511">
            <w:r w:rsidRPr="004E396D">
              <w:t>Redirec</w:t>
            </w:r>
            <w:r>
              <w:t>tion from NR in FR2 to NR in FR2</w:t>
            </w:r>
          </w:p>
        </w:tc>
        <w:tc>
          <w:tcPr>
            <w:tcW w:w="954" w:type="dxa"/>
          </w:tcPr>
          <w:p w:rsidR="00375BAD" w:rsidRDefault="00375BAD" w:rsidP="00011511">
            <w:pPr>
              <w:rPr>
                <w:lang w:val="en-US"/>
              </w:rPr>
            </w:pPr>
            <w:r>
              <w:rPr>
                <w:lang w:val="en-US"/>
              </w:rPr>
              <w:t>IAB 2-O</w:t>
            </w:r>
          </w:p>
        </w:tc>
        <w:tc>
          <w:tcPr>
            <w:tcW w:w="1969" w:type="dxa"/>
          </w:tcPr>
          <w:p w:rsidR="00375BAD" w:rsidRDefault="00375BAD" w:rsidP="00011511">
            <w:pPr>
              <w:rPr>
                <w:lang w:val="en-US"/>
              </w:rPr>
            </w:pPr>
            <w:r>
              <w:rPr>
                <w:lang w:val="en-US"/>
              </w:rPr>
              <w:t>Wide area / Local area</w:t>
            </w:r>
          </w:p>
        </w:tc>
        <w:tc>
          <w:tcPr>
            <w:tcW w:w="2112" w:type="dxa"/>
          </w:tcPr>
          <w:p w:rsidR="00375BAD" w:rsidRDefault="00375BAD" w:rsidP="00011511">
            <w:pPr>
              <w:rPr>
                <w:lang w:val="en-US"/>
              </w:rPr>
            </w:pPr>
            <w:r>
              <w:rPr>
                <w:lang w:val="en-US"/>
              </w:rPr>
              <w:t>OTA</w:t>
            </w:r>
          </w:p>
        </w:tc>
        <w:tc>
          <w:tcPr>
            <w:tcW w:w="1760" w:type="dxa"/>
          </w:tcPr>
          <w:p w:rsidR="00375BAD" w:rsidRDefault="00375BAD" w:rsidP="00011511">
            <w:pPr>
              <w:rPr>
                <w:lang w:val="en-US"/>
              </w:rPr>
            </w:pPr>
            <w:r>
              <w:rPr>
                <w:lang w:val="en-US"/>
              </w:rPr>
              <w:t>Non-DRX</w:t>
            </w:r>
          </w:p>
        </w:tc>
      </w:tr>
    </w:tbl>
    <w:p w:rsidR="00CE1CCC" w:rsidRDefault="00CE1CCC" w:rsidP="00D00E3E">
      <w:pPr>
        <w:rPr>
          <w:lang w:val="en-US"/>
        </w:rPr>
      </w:pPr>
    </w:p>
    <w:p w:rsidR="007D4010" w:rsidRDefault="005B06FB" w:rsidP="00017B9A">
      <w:pPr>
        <w:pStyle w:val="2"/>
        <w:rPr>
          <w:lang w:val="en-US"/>
        </w:rPr>
      </w:pPr>
      <w:r w:rsidRPr="00E613E1">
        <w:rPr>
          <w:lang w:val="en-US"/>
        </w:rPr>
        <w:t>Random Access</w:t>
      </w:r>
    </w:p>
    <w:p w:rsidR="00E613E1" w:rsidRDefault="00E613E1" w:rsidP="00D00E3E">
      <w:pPr>
        <w:rPr>
          <w:rFonts w:asciiTheme="minorEastAsia" w:eastAsiaTheme="minorEastAsia" w:hAnsiTheme="minorEastAsia"/>
          <w:i/>
          <w:iCs/>
          <w:color w:val="000000"/>
          <w:lang w:eastAsia="zh-CN"/>
        </w:rPr>
      </w:pPr>
      <w:r w:rsidRPr="00CE1CCC">
        <w:rPr>
          <w:lang w:val="en-US"/>
        </w:rPr>
        <w:t xml:space="preserve">It could be observed from the performance requirements for original UE, there are multiple test cases to test the UE behavior in the random access process especially when the </w:t>
      </w:r>
      <w:r w:rsidR="00CE1CCC" w:rsidRPr="00CE1CCC">
        <w:rPr>
          <w:lang w:val="en-US"/>
        </w:rPr>
        <w:t xml:space="preserve">random access is considered unsuccessful. </w:t>
      </w:r>
      <w:r w:rsidR="00CE1CCC">
        <w:rPr>
          <w:lang w:val="en-US"/>
        </w:rPr>
        <w:t xml:space="preserve">For original UE, the random access process could usually happen caused by various reasons, and the unsuccessful random access is also </w:t>
      </w:r>
      <w:r w:rsidR="00CE1CCC">
        <w:rPr>
          <w:rFonts w:eastAsiaTheme="minorEastAsia" w:hint="eastAsia"/>
          <w:lang w:val="en-US" w:eastAsia="zh-CN"/>
        </w:rPr>
        <w:t>q</w:t>
      </w:r>
      <w:r w:rsidR="00CE1CCC">
        <w:rPr>
          <w:rFonts w:eastAsiaTheme="minorEastAsia"/>
          <w:lang w:val="en-US" w:eastAsia="zh-CN"/>
        </w:rPr>
        <w:t xml:space="preserve">uite common as the UE could be in dense scenarios and the conflicts could usually happen. However, for IAB-MT, the density is much lower than original UE and there is IAB-MT specific RA resource as defined in RAN1’s spec [3] by </w:t>
      </w:r>
      <w:proofErr w:type="spellStart"/>
      <w:r w:rsidR="00CE1CCC">
        <w:rPr>
          <w:i/>
          <w:iCs/>
          <w:color w:val="000000"/>
        </w:rPr>
        <w:t>prach-ConfigurationPeriodScaling</w:t>
      </w:r>
      <w:proofErr w:type="spellEnd"/>
      <w:r w:rsidR="00CE1CCC">
        <w:rPr>
          <w:i/>
          <w:iCs/>
          <w:color w:val="000000"/>
        </w:rPr>
        <w:t xml:space="preserve">, </w:t>
      </w:r>
      <w:proofErr w:type="spellStart"/>
      <w:r w:rsidR="00CE1CCC">
        <w:rPr>
          <w:i/>
          <w:iCs/>
          <w:color w:val="000000"/>
        </w:rPr>
        <w:t>prach-ConfigurationFrameOffset</w:t>
      </w:r>
      <w:proofErr w:type="spellEnd"/>
      <w:r w:rsidR="00CE1CCC">
        <w:rPr>
          <w:i/>
          <w:iCs/>
          <w:color w:val="000000"/>
        </w:rPr>
        <w:t xml:space="preserve"> </w:t>
      </w:r>
      <w:r w:rsidR="00CE1CCC">
        <w:rPr>
          <w:iCs/>
          <w:color w:val="000000"/>
        </w:rPr>
        <w:t xml:space="preserve">and </w:t>
      </w:r>
      <w:proofErr w:type="spellStart"/>
      <w:r w:rsidR="00CE1CCC">
        <w:rPr>
          <w:i/>
          <w:iCs/>
          <w:color w:val="000000"/>
        </w:rPr>
        <w:t>prach-ConfigurationSOffset</w:t>
      </w:r>
      <w:proofErr w:type="spellEnd"/>
      <w:r w:rsidR="00CE1CCC">
        <w:rPr>
          <w:rFonts w:asciiTheme="minorEastAsia" w:eastAsiaTheme="minorEastAsia" w:hAnsiTheme="minorEastAsia" w:hint="eastAsia"/>
          <w:i/>
          <w:iCs/>
          <w:color w:val="000000"/>
          <w:lang w:eastAsia="zh-CN"/>
        </w:rPr>
        <w:t>.</w:t>
      </w:r>
    </w:p>
    <w:p w:rsidR="001D226D" w:rsidRPr="001D226D" w:rsidRDefault="001D226D" w:rsidP="00D00E3E">
      <w:pPr>
        <w:rPr>
          <w:b/>
          <w:lang w:val="en-US"/>
        </w:rPr>
      </w:pPr>
      <w:r w:rsidRPr="001D226D">
        <w:rPr>
          <w:b/>
          <w:lang w:val="en-US"/>
        </w:rPr>
        <w:t xml:space="preserve">Observation </w:t>
      </w:r>
      <w:r w:rsidR="00B54172">
        <w:rPr>
          <w:b/>
          <w:lang w:val="en-US"/>
        </w:rPr>
        <w:t>3</w:t>
      </w:r>
      <w:r w:rsidRPr="001D226D">
        <w:rPr>
          <w:b/>
          <w:lang w:val="en-US"/>
        </w:rPr>
        <w:t>: There is specific RA resource defined for IAB-MT.</w:t>
      </w:r>
    </w:p>
    <w:p w:rsidR="001D226D" w:rsidRDefault="001D226D" w:rsidP="00D00E3E">
      <w:pPr>
        <w:rPr>
          <w:b/>
          <w:lang w:val="en-US"/>
        </w:rPr>
      </w:pPr>
      <w:r w:rsidRPr="001D226D">
        <w:rPr>
          <w:b/>
          <w:lang w:val="en-US"/>
        </w:rPr>
        <w:t xml:space="preserve">Observation </w:t>
      </w:r>
      <w:r w:rsidR="00B54172">
        <w:rPr>
          <w:b/>
          <w:lang w:val="en-US"/>
        </w:rPr>
        <w:t>4</w:t>
      </w:r>
      <w:r w:rsidRPr="001D226D">
        <w:rPr>
          <w:b/>
          <w:lang w:val="en-US"/>
        </w:rPr>
        <w:t>: The RA process for IAB-MT is much simple and happens infrequently compare</w:t>
      </w:r>
      <w:r w:rsidR="00017B9A">
        <w:rPr>
          <w:b/>
          <w:lang w:val="en-US"/>
        </w:rPr>
        <w:t>d</w:t>
      </w:r>
      <w:r w:rsidRPr="001D226D">
        <w:rPr>
          <w:b/>
          <w:lang w:val="en-US"/>
        </w:rPr>
        <w:t xml:space="preserve"> with original UE.</w:t>
      </w:r>
    </w:p>
    <w:p w:rsidR="00000249" w:rsidRPr="00000249" w:rsidRDefault="00000249" w:rsidP="00D00E3E">
      <w:pPr>
        <w:rPr>
          <w:lang w:val="en-US"/>
        </w:rPr>
      </w:pPr>
      <w:r w:rsidRPr="00000249">
        <w:rPr>
          <w:lang w:val="en-US"/>
        </w:rPr>
        <w:t>Also for the original UE,</w:t>
      </w:r>
      <w:r>
        <w:rPr>
          <w:lang w:val="en-US"/>
        </w:rPr>
        <w:t xml:space="preserve"> the corresponding test cases </w:t>
      </w:r>
      <w:r w:rsidR="008C7B00">
        <w:rPr>
          <w:lang w:val="en-US"/>
        </w:rPr>
        <w:t>are defined according to the absolute/relative power tolerance defined in TS 38.101. However, for IAB-MT, there is no absolute power tolerance and the relative power tolerance is only defined for local area IAB-MT, which means it is hard to conduct the corresponding testing.</w:t>
      </w:r>
    </w:p>
    <w:p w:rsidR="001D226D" w:rsidRDefault="001D226D" w:rsidP="00D00E3E">
      <w:pPr>
        <w:rPr>
          <w:lang w:val="en-US"/>
        </w:rPr>
      </w:pPr>
      <w:r>
        <w:rPr>
          <w:lang w:val="en-US"/>
        </w:rPr>
        <w:t xml:space="preserve">Based on the observation above, </w:t>
      </w:r>
      <w:r w:rsidR="00BD045B">
        <w:rPr>
          <w:lang w:val="en-US"/>
        </w:rPr>
        <w:t xml:space="preserve">we suggest </w:t>
      </w:r>
      <w:r>
        <w:rPr>
          <w:lang w:val="en-US"/>
        </w:rPr>
        <w:t xml:space="preserve">there is no need to test the RA process of IAB-MT as what has been defined for original UE. It could be observed that the test cases for RRC re-establishment and RRC release with re-direction are ended with the successful transmission of </w:t>
      </w:r>
      <w:r w:rsidR="00017B9A">
        <w:rPr>
          <w:lang w:val="en-US"/>
        </w:rPr>
        <w:t xml:space="preserve">PRACH on the target cell. From our understanding, there is no need to define </w:t>
      </w:r>
      <w:r w:rsidR="00BD045B">
        <w:rPr>
          <w:lang w:val="en-US"/>
        </w:rPr>
        <w:t>separate</w:t>
      </w:r>
      <w:r w:rsidR="00017B9A">
        <w:rPr>
          <w:lang w:val="en-US"/>
        </w:rPr>
        <w:t xml:space="preserve"> test cases for random access for IAB-MT.</w:t>
      </w:r>
    </w:p>
    <w:p w:rsidR="00017B9A" w:rsidRPr="00017B9A" w:rsidRDefault="00017B9A" w:rsidP="00D00E3E">
      <w:pPr>
        <w:rPr>
          <w:b/>
          <w:lang w:val="en-US"/>
        </w:rPr>
      </w:pPr>
      <w:r w:rsidRPr="00017B9A">
        <w:rPr>
          <w:b/>
          <w:lang w:val="en-US"/>
        </w:rPr>
        <w:t xml:space="preserve">Proposal 2: </w:t>
      </w:r>
      <w:r w:rsidR="002B1BC6">
        <w:rPr>
          <w:b/>
          <w:lang w:val="en-US"/>
        </w:rPr>
        <w:t>It is suggested not</w:t>
      </w:r>
      <w:r w:rsidRPr="00017B9A">
        <w:rPr>
          <w:b/>
          <w:lang w:val="en-US"/>
        </w:rPr>
        <w:t xml:space="preserve"> </w:t>
      </w:r>
      <w:r w:rsidR="002B1BC6">
        <w:rPr>
          <w:b/>
          <w:lang w:val="en-US"/>
        </w:rPr>
        <w:t xml:space="preserve">to </w:t>
      </w:r>
      <w:r w:rsidRPr="00017B9A">
        <w:rPr>
          <w:b/>
          <w:lang w:val="en-US"/>
        </w:rPr>
        <w:t>define separate test cases of RA for IAB-MT.</w:t>
      </w:r>
    </w:p>
    <w:p w:rsidR="00E613E1" w:rsidRDefault="00E613E1" w:rsidP="00017B9A">
      <w:pPr>
        <w:pStyle w:val="2"/>
        <w:rPr>
          <w:lang w:val="en-US"/>
        </w:rPr>
      </w:pPr>
      <w:r w:rsidRPr="00E613E1">
        <w:rPr>
          <w:lang w:val="en-US"/>
        </w:rPr>
        <w:lastRenderedPageBreak/>
        <w:t>Transmit timing</w:t>
      </w:r>
      <w:r w:rsidR="00017B9A">
        <w:rPr>
          <w:lang w:val="en-US"/>
        </w:rPr>
        <w:t xml:space="preserve"> and </w:t>
      </w:r>
      <w:r w:rsidRPr="00E613E1">
        <w:rPr>
          <w:lang w:val="en-US"/>
        </w:rPr>
        <w:t>Timing advance</w:t>
      </w:r>
    </w:p>
    <w:p w:rsidR="00C460CB" w:rsidRDefault="00C460CB" w:rsidP="00C460CB">
      <w:pPr>
        <w:rPr>
          <w:lang w:val="en-US"/>
        </w:rPr>
      </w:pPr>
      <w:r>
        <w:rPr>
          <w:lang w:val="en-US"/>
        </w:rPr>
        <w:t>For the test cases for transmit timing and timing advance of IAB-MT, it is suggested to have following test cases and take TS 38.133 as the baseline.</w:t>
      </w:r>
    </w:p>
    <w:p w:rsidR="00C460CB" w:rsidRPr="00C460CB" w:rsidRDefault="00C460CB" w:rsidP="00C460CB">
      <w:pPr>
        <w:rPr>
          <w:lang w:val="en-US"/>
        </w:rPr>
      </w:pPr>
    </w:p>
    <w:tbl>
      <w:tblPr>
        <w:tblStyle w:val="a7"/>
        <w:tblW w:w="0" w:type="auto"/>
        <w:tblLook w:val="04A0" w:firstRow="1" w:lastRow="0" w:firstColumn="1" w:lastColumn="0" w:noHBand="0" w:noVBand="1"/>
      </w:tblPr>
      <w:tblGrid>
        <w:gridCol w:w="2767"/>
        <w:gridCol w:w="954"/>
        <w:gridCol w:w="1969"/>
        <w:gridCol w:w="2112"/>
        <w:gridCol w:w="1760"/>
      </w:tblGrid>
      <w:tr w:rsidR="007E24AA" w:rsidTr="007E24AA">
        <w:tc>
          <w:tcPr>
            <w:tcW w:w="2767" w:type="dxa"/>
          </w:tcPr>
          <w:p w:rsidR="007E24AA" w:rsidRPr="005B06FB" w:rsidRDefault="007E24AA" w:rsidP="009F5330">
            <w:pPr>
              <w:rPr>
                <w:b/>
                <w:lang w:val="en-US"/>
              </w:rPr>
            </w:pPr>
            <w:r w:rsidRPr="005B06FB">
              <w:rPr>
                <w:b/>
                <w:lang w:val="en-US"/>
              </w:rPr>
              <w:t xml:space="preserve">Test cases </w:t>
            </w:r>
          </w:p>
        </w:tc>
        <w:tc>
          <w:tcPr>
            <w:tcW w:w="954" w:type="dxa"/>
          </w:tcPr>
          <w:p w:rsidR="007E24AA" w:rsidRPr="005B06FB" w:rsidRDefault="007E24AA" w:rsidP="009F5330">
            <w:pPr>
              <w:rPr>
                <w:b/>
                <w:lang w:val="en-US"/>
              </w:rPr>
            </w:pPr>
            <w:r w:rsidRPr="005B06FB">
              <w:rPr>
                <w:b/>
                <w:lang w:val="en-US"/>
              </w:rPr>
              <w:t xml:space="preserve">IAB type </w:t>
            </w:r>
          </w:p>
        </w:tc>
        <w:tc>
          <w:tcPr>
            <w:tcW w:w="1969" w:type="dxa"/>
          </w:tcPr>
          <w:p w:rsidR="007E24AA" w:rsidRPr="005B06FB" w:rsidRDefault="007E24AA" w:rsidP="009F5330">
            <w:pPr>
              <w:rPr>
                <w:b/>
                <w:lang w:val="en-US"/>
              </w:rPr>
            </w:pPr>
            <w:r w:rsidRPr="005B06FB">
              <w:rPr>
                <w:b/>
                <w:lang w:val="en-US"/>
              </w:rPr>
              <w:t>IAB-MT class</w:t>
            </w:r>
          </w:p>
        </w:tc>
        <w:tc>
          <w:tcPr>
            <w:tcW w:w="2112" w:type="dxa"/>
          </w:tcPr>
          <w:p w:rsidR="007E24AA" w:rsidRPr="005B06FB" w:rsidRDefault="007E24AA" w:rsidP="009F5330">
            <w:pPr>
              <w:rPr>
                <w:b/>
                <w:lang w:val="en-US"/>
              </w:rPr>
            </w:pPr>
            <w:r w:rsidRPr="005B06FB">
              <w:rPr>
                <w:b/>
                <w:lang w:val="en-US"/>
              </w:rPr>
              <w:t>Conducted/OTA</w:t>
            </w:r>
          </w:p>
        </w:tc>
        <w:tc>
          <w:tcPr>
            <w:tcW w:w="1760" w:type="dxa"/>
          </w:tcPr>
          <w:p w:rsidR="007E24AA" w:rsidRPr="005B06FB" w:rsidRDefault="007E24AA" w:rsidP="009F5330">
            <w:pPr>
              <w:rPr>
                <w:b/>
                <w:lang w:val="en-US"/>
              </w:rPr>
            </w:pPr>
            <w:r>
              <w:rPr>
                <w:b/>
                <w:lang w:val="en-US"/>
              </w:rPr>
              <w:t>Parameters</w:t>
            </w:r>
          </w:p>
        </w:tc>
      </w:tr>
      <w:tr w:rsidR="009F5330" w:rsidTr="007E24AA">
        <w:tc>
          <w:tcPr>
            <w:tcW w:w="2767" w:type="dxa"/>
          </w:tcPr>
          <w:p w:rsidR="009F5330" w:rsidRDefault="009F5330" w:rsidP="009F5330">
            <w:pPr>
              <w:rPr>
                <w:lang w:val="en-US"/>
              </w:rPr>
            </w:pPr>
            <w:r w:rsidRPr="004E396D">
              <w:t>Transmit Timing Test for FR1</w:t>
            </w:r>
          </w:p>
        </w:tc>
        <w:tc>
          <w:tcPr>
            <w:tcW w:w="954" w:type="dxa"/>
          </w:tcPr>
          <w:p w:rsidR="009F5330" w:rsidRDefault="009F5330" w:rsidP="009F5330">
            <w:pPr>
              <w:rPr>
                <w:lang w:val="en-US"/>
              </w:rPr>
            </w:pPr>
            <w:r>
              <w:rPr>
                <w:lang w:val="en-US"/>
              </w:rPr>
              <w:t>IAB 1-H</w:t>
            </w:r>
          </w:p>
        </w:tc>
        <w:tc>
          <w:tcPr>
            <w:tcW w:w="1969" w:type="dxa"/>
          </w:tcPr>
          <w:p w:rsidR="009F5330" w:rsidRDefault="009F5330" w:rsidP="009F5330">
            <w:r w:rsidRPr="00220AE9">
              <w:rPr>
                <w:lang w:val="en-US"/>
              </w:rPr>
              <w:t>Wide area / Local area</w:t>
            </w:r>
          </w:p>
        </w:tc>
        <w:tc>
          <w:tcPr>
            <w:tcW w:w="2112" w:type="dxa"/>
          </w:tcPr>
          <w:p w:rsidR="009F5330" w:rsidRDefault="009F5330" w:rsidP="009F5330">
            <w:pPr>
              <w:rPr>
                <w:lang w:val="en-US"/>
              </w:rPr>
            </w:pPr>
            <w:r>
              <w:rPr>
                <w:lang w:val="en-US"/>
              </w:rPr>
              <w:t>conducted</w:t>
            </w:r>
          </w:p>
        </w:tc>
        <w:tc>
          <w:tcPr>
            <w:tcW w:w="1760" w:type="dxa"/>
          </w:tcPr>
          <w:p w:rsidR="009F5330" w:rsidRDefault="009F5330" w:rsidP="009F5330">
            <w:pPr>
              <w:rPr>
                <w:lang w:val="en-US"/>
              </w:rPr>
            </w:pPr>
            <w:r>
              <w:rPr>
                <w:lang w:val="en-US"/>
              </w:rPr>
              <w:t>Non-DRX</w:t>
            </w:r>
          </w:p>
        </w:tc>
      </w:tr>
      <w:tr w:rsidR="009F5330" w:rsidTr="007E24AA">
        <w:tc>
          <w:tcPr>
            <w:tcW w:w="2767" w:type="dxa"/>
          </w:tcPr>
          <w:p w:rsidR="009F5330" w:rsidRPr="004E396D" w:rsidRDefault="009F5330" w:rsidP="009F5330">
            <w:pPr>
              <w:rPr>
                <w:snapToGrid w:val="0"/>
              </w:rPr>
            </w:pPr>
            <w:r w:rsidRPr="004E396D">
              <w:t>Transmit Timing Test for FR1</w:t>
            </w:r>
          </w:p>
        </w:tc>
        <w:tc>
          <w:tcPr>
            <w:tcW w:w="954" w:type="dxa"/>
          </w:tcPr>
          <w:p w:rsidR="009F5330" w:rsidRDefault="009F5330" w:rsidP="009F5330">
            <w:pPr>
              <w:rPr>
                <w:lang w:val="en-US"/>
              </w:rPr>
            </w:pPr>
            <w:r>
              <w:rPr>
                <w:lang w:val="en-US"/>
              </w:rPr>
              <w:t>IAB 1-O</w:t>
            </w:r>
          </w:p>
        </w:tc>
        <w:tc>
          <w:tcPr>
            <w:tcW w:w="1969" w:type="dxa"/>
          </w:tcPr>
          <w:p w:rsidR="009F5330" w:rsidRDefault="009F5330" w:rsidP="009F5330">
            <w:r w:rsidRPr="00220AE9">
              <w:rPr>
                <w:lang w:val="en-US"/>
              </w:rPr>
              <w:t>Wide area / 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7E24AA">
        <w:tc>
          <w:tcPr>
            <w:tcW w:w="2767" w:type="dxa"/>
          </w:tcPr>
          <w:p w:rsidR="009F5330" w:rsidRPr="004E396D" w:rsidRDefault="009F5330" w:rsidP="009F5330">
            <w:pPr>
              <w:rPr>
                <w:snapToGrid w:val="0"/>
              </w:rPr>
            </w:pPr>
            <w:r w:rsidRPr="004E396D">
              <w:t>Transmit Timing Test for FR</w:t>
            </w:r>
            <w:r>
              <w:t>2</w:t>
            </w:r>
          </w:p>
        </w:tc>
        <w:tc>
          <w:tcPr>
            <w:tcW w:w="954" w:type="dxa"/>
          </w:tcPr>
          <w:p w:rsidR="009F5330" w:rsidRDefault="009F5330" w:rsidP="009F5330">
            <w:pPr>
              <w:rPr>
                <w:lang w:val="en-US"/>
              </w:rPr>
            </w:pPr>
            <w:r>
              <w:rPr>
                <w:lang w:val="en-US"/>
              </w:rPr>
              <w:t>IAB 2-O</w:t>
            </w:r>
          </w:p>
        </w:tc>
        <w:tc>
          <w:tcPr>
            <w:tcW w:w="1969" w:type="dxa"/>
          </w:tcPr>
          <w:p w:rsidR="009F5330" w:rsidRDefault="009F5330" w:rsidP="009F5330">
            <w:r w:rsidRPr="00220AE9">
              <w:rPr>
                <w:lang w:val="en-US"/>
              </w:rPr>
              <w:t>Wide area / 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7E24AA">
        <w:tc>
          <w:tcPr>
            <w:tcW w:w="2767" w:type="dxa"/>
          </w:tcPr>
          <w:p w:rsidR="009F5330" w:rsidRPr="004E396D" w:rsidRDefault="009F5330" w:rsidP="009F5330">
            <w:r w:rsidRPr="004E396D">
              <w:t>FR1 timing advance adjustment accuracy</w:t>
            </w:r>
          </w:p>
        </w:tc>
        <w:tc>
          <w:tcPr>
            <w:tcW w:w="954" w:type="dxa"/>
          </w:tcPr>
          <w:p w:rsidR="009F5330" w:rsidRDefault="009F5330" w:rsidP="009F5330">
            <w:pPr>
              <w:rPr>
                <w:lang w:val="en-US"/>
              </w:rPr>
            </w:pPr>
            <w:r>
              <w:rPr>
                <w:lang w:val="en-US"/>
              </w:rPr>
              <w:t>IAB 1-H</w:t>
            </w:r>
          </w:p>
        </w:tc>
        <w:tc>
          <w:tcPr>
            <w:tcW w:w="1969" w:type="dxa"/>
          </w:tcPr>
          <w:p w:rsidR="009F5330" w:rsidRDefault="009F5330" w:rsidP="009F5330">
            <w:r w:rsidRPr="00220AE9">
              <w:rPr>
                <w:lang w:val="en-US"/>
              </w:rPr>
              <w:t>Wide area / Local area</w:t>
            </w:r>
          </w:p>
        </w:tc>
        <w:tc>
          <w:tcPr>
            <w:tcW w:w="2112" w:type="dxa"/>
          </w:tcPr>
          <w:p w:rsidR="009F5330" w:rsidRDefault="009F5330" w:rsidP="009F5330">
            <w:pPr>
              <w:rPr>
                <w:lang w:val="en-US"/>
              </w:rPr>
            </w:pPr>
            <w:r>
              <w:rPr>
                <w:lang w:val="en-US"/>
              </w:rPr>
              <w:t>conducted</w:t>
            </w:r>
          </w:p>
        </w:tc>
        <w:tc>
          <w:tcPr>
            <w:tcW w:w="1760" w:type="dxa"/>
          </w:tcPr>
          <w:p w:rsidR="009F5330" w:rsidRDefault="009F5330" w:rsidP="009F5330">
            <w:pPr>
              <w:rPr>
                <w:lang w:val="en-US"/>
              </w:rPr>
            </w:pPr>
            <w:r>
              <w:rPr>
                <w:lang w:val="en-US"/>
              </w:rPr>
              <w:t>Non-DRX</w:t>
            </w:r>
          </w:p>
        </w:tc>
      </w:tr>
      <w:tr w:rsidR="009F5330" w:rsidTr="007E24AA">
        <w:tc>
          <w:tcPr>
            <w:tcW w:w="2767" w:type="dxa"/>
          </w:tcPr>
          <w:p w:rsidR="009F5330" w:rsidRPr="004E396D" w:rsidRDefault="009F5330" w:rsidP="009F5330">
            <w:r w:rsidRPr="004E396D">
              <w:t>FR1 timing advance adjustment accuracy</w:t>
            </w:r>
          </w:p>
        </w:tc>
        <w:tc>
          <w:tcPr>
            <w:tcW w:w="954" w:type="dxa"/>
          </w:tcPr>
          <w:p w:rsidR="009F5330" w:rsidRDefault="009F5330" w:rsidP="009F5330">
            <w:pPr>
              <w:rPr>
                <w:lang w:val="en-US"/>
              </w:rPr>
            </w:pPr>
            <w:r>
              <w:rPr>
                <w:lang w:val="en-US"/>
              </w:rPr>
              <w:t>IAB 1-O</w:t>
            </w:r>
          </w:p>
        </w:tc>
        <w:tc>
          <w:tcPr>
            <w:tcW w:w="1969" w:type="dxa"/>
          </w:tcPr>
          <w:p w:rsidR="009F5330" w:rsidRDefault="009F5330" w:rsidP="009F5330">
            <w:r w:rsidRPr="00220AE9">
              <w:rPr>
                <w:lang w:val="en-US"/>
              </w:rPr>
              <w:t>Wide area / 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7E24AA" w:rsidTr="007E24AA">
        <w:tc>
          <w:tcPr>
            <w:tcW w:w="2767" w:type="dxa"/>
          </w:tcPr>
          <w:p w:rsidR="007E24AA" w:rsidRPr="004E396D" w:rsidRDefault="007E24AA" w:rsidP="00C460CB">
            <w:r w:rsidRPr="004E396D">
              <w:t>FR</w:t>
            </w:r>
            <w:r>
              <w:t>2</w:t>
            </w:r>
            <w:r w:rsidRPr="004E396D">
              <w:t xml:space="preserve"> timing advance adjustment accuracy</w:t>
            </w:r>
          </w:p>
        </w:tc>
        <w:tc>
          <w:tcPr>
            <w:tcW w:w="954" w:type="dxa"/>
          </w:tcPr>
          <w:p w:rsidR="007E24AA" w:rsidRDefault="007E24AA" w:rsidP="00C460CB">
            <w:pPr>
              <w:rPr>
                <w:lang w:val="en-US"/>
              </w:rPr>
            </w:pPr>
            <w:r>
              <w:rPr>
                <w:lang w:val="en-US"/>
              </w:rPr>
              <w:t>IAB 2-O</w:t>
            </w:r>
          </w:p>
        </w:tc>
        <w:tc>
          <w:tcPr>
            <w:tcW w:w="1969" w:type="dxa"/>
          </w:tcPr>
          <w:p w:rsidR="007E24AA" w:rsidRDefault="007E24AA" w:rsidP="009F5330">
            <w:pPr>
              <w:rPr>
                <w:lang w:val="en-US"/>
              </w:rPr>
            </w:pPr>
            <w:r>
              <w:rPr>
                <w:lang w:val="en-US"/>
              </w:rPr>
              <w:t xml:space="preserve">Wide area / </w:t>
            </w:r>
            <w:r w:rsidR="009F5330">
              <w:rPr>
                <w:lang w:val="en-US"/>
              </w:rPr>
              <w:t>L</w:t>
            </w:r>
            <w:r>
              <w:rPr>
                <w:lang w:val="en-US"/>
              </w:rPr>
              <w:t>ocal area</w:t>
            </w:r>
          </w:p>
        </w:tc>
        <w:tc>
          <w:tcPr>
            <w:tcW w:w="2112" w:type="dxa"/>
          </w:tcPr>
          <w:p w:rsidR="007E24AA" w:rsidRDefault="007E24AA" w:rsidP="00C460CB">
            <w:pPr>
              <w:rPr>
                <w:lang w:val="en-US"/>
              </w:rPr>
            </w:pPr>
            <w:r>
              <w:rPr>
                <w:lang w:val="en-US"/>
              </w:rPr>
              <w:t>OTA</w:t>
            </w:r>
          </w:p>
        </w:tc>
        <w:tc>
          <w:tcPr>
            <w:tcW w:w="1760" w:type="dxa"/>
          </w:tcPr>
          <w:p w:rsidR="007E24AA" w:rsidRDefault="007E24AA" w:rsidP="00C460CB">
            <w:pPr>
              <w:rPr>
                <w:lang w:val="en-US"/>
              </w:rPr>
            </w:pPr>
            <w:r>
              <w:rPr>
                <w:lang w:val="en-US"/>
              </w:rPr>
              <w:t>Non-DRX</w:t>
            </w:r>
          </w:p>
        </w:tc>
      </w:tr>
    </w:tbl>
    <w:p w:rsidR="00017B9A" w:rsidRDefault="00017B9A" w:rsidP="00D00E3E">
      <w:pPr>
        <w:rPr>
          <w:b/>
          <w:lang w:val="en-US"/>
        </w:rPr>
      </w:pPr>
    </w:p>
    <w:p w:rsidR="00375BAD" w:rsidRPr="00E613E1" w:rsidRDefault="00375BAD" w:rsidP="00D00E3E">
      <w:pPr>
        <w:rPr>
          <w:b/>
          <w:lang w:val="en-US"/>
        </w:rPr>
      </w:pPr>
    </w:p>
    <w:p w:rsidR="0091730A" w:rsidRPr="00E613E1" w:rsidRDefault="00E613E1" w:rsidP="00017B9A">
      <w:pPr>
        <w:pStyle w:val="2"/>
        <w:rPr>
          <w:lang w:val="en-US"/>
        </w:rPr>
      </w:pPr>
      <w:r w:rsidRPr="00E613E1">
        <w:rPr>
          <w:lang w:val="en-US"/>
        </w:rPr>
        <w:t xml:space="preserve">RLM and link recovery </w:t>
      </w:r>
    </w:p>
    <w:p w:rsidR="00891EAE" w:rsidRDefault="007E24AA" w:rsidP="00D00E3E">
      <w:pPr>
        <w:rPr>
          <w:lang w:val="en-US"/>
        </w:rPr>
      </w:pPr>
      <w:r>
        <w:rPr>
          <w:lang w:val="en-US"/>
        </w:rPr>
        <w:t xml:space="preserve">The RLM and link recovery requirements are only defined for local area IAB-MT, obviously the corresponding test cases are only for local area IAB-MT. There will be test cases for SSB-based and CSI-RS based RLM for FR1 and FR2 for OOS and IS evaluations, which means for certain type of IAB, there will be 4 test cases for RLM and </w:t>
      </w:r>
      <w:r w:rsidR="009F5330">
        <w:rPr>
          <w:lang w:val="en-US"/>
        </w:rPr>
        <w:t>2 test cases for BFD and link recovery as only non-DRX mode are considered.</w:t>
      </w:r>
    </w:p>
    <w:p w:rsidR="009F5330" w:rsidRDefault="009F5330" w:rsidP="00D00E3E">
      <w:pPr>
        <w:rPr>
          <w:lang w:val="en-US"/>
        </w:rPr>
      </w:pPr>
      <w:r>
        <w:rPr>
          <w:lang w:val="en-US"/>
        </w:rPr>
        <w:t>The test case for RLM are suggested as follows:</w:t>
      </w:r>
    </w:p>
    <w:tbl>
      <w:tblPr>
        <w:tblStyle w:val="a7"/>
        <w:tblW w:w="0" w:type="auto"/>
        <w:tblLook w:val="04A0" w:firstRow="1" w:lastRow="0" w:firstColumn="1" w:lastColumn="0" w:noHBand="0" w:noVBand="1"/>
      </w:tblPr>
      <w:tblGrid>
        <w:gridCol w:w="2767"/>
        <w:gridCol w:w="954"/>
        <w:gridCol w:w="1969"/>
        <w:gridCol w:w="2112"/>
        <w:gridCol w:w="1760"/>
      </w:tblGrid>
      <w:tr w:rsidR="009F5330" w:rsidTr="009F5330">
        <w:tc>
          <w:tcPr>
            <w:tcW w:w="2767" w:type="dxa"/>
          </w:tcPr>
          <w:p w:rsidR="009F5330" w:rsidRPr="005B06FB" w:rsidRDefault="009F5330" w:rsidP="009F5330">
            <w:pPr>
              <w:rPr>
                <w:b/>
                <w:lang w:val="en-US"/>
              </w:rPr>
            </w:pPr>
            <w:r w:rsidRPr="005B06FB">
              <w:rPr>
                <w:b/>
                <w:lang w:val="en-US"/>
              </w:rPr>
              <w:t xml:space="preserve">Test cases </w:t>
            </w:r>
          </w:p>
        </w:tc>
        <w:tc>
          <w:tcPr>
            <w:tcW w:w="954" w:type="dxa"/>
          </w:tcPr>
          <w:p w:rsidR="009F5330" w:rsidRPr="005B06FB" w:rsidRDefault="009F5330" w:rsidP="009F5330">
            <w:pPr>
              <w:rPr>
                <w:b/>
                <w:lang w:val="en-US"/>
              </w:rPr>
            </w:pPr>
            <w:r w:rsidRPr="005B06FB">
              <w:rPr>
                <w:b/>
                <w:lang w:val="en-US"/>
              </w:rPr>
              <w:t xml:space="preserve">IAB type </w:t>
            </w:r>
          </w:p>
        </w:tc>
        <w:tc>
          <w:tcPr>
            <w:tcW w:w="1969" w:type="dxa"/>
          </w:tcPr>
          <w:p w:rsidR="009F5330" w:rsidRPr="005B06FB" w:rsidRDefault="009F5330" w:rsidP="009F5330">
            <w:pPr>
              <w:rPr>
                <w:b/>
                <w:lang w:val="en-US"/>
              </w:rPr>
            </w:pPr>
            <w:r w:rsidRPr="005B06FB">
              <w:rPr>
                <w:b/>
                <w:lang w:val="en-US"/>
              </w:rPr>
              <w:t>IAB-MT class</w:t>
            </w:r>
          </w:p>
        </w:tc>
        <w:tc>
          <w:tcPr>
            <w:tcW w:w="2112" w:type="dxa"/>
          </w:tcPr>
          <w:p w:rsidR="009F5330" w:rsidRPr="005B06FB" w:rsidRDefault="009F5330" w:rsidP="009F5330">
            <w:pPr>
              <w:rPr>
                <w:b/>
                <w:lang w:val="en-US"/>
              </w:rPr>
            </w:pPr>
            <w:r w:rsidRPr="005B06FB">
              <w:rPr>
                <w:b/>
                <w:lang w:val="en-US"/>
              </w:rPr>
              <w:t>Conducted/OTA</w:t>
            </w:r>
          </w:p>
        </w:tc>
        <w:tc>
          <w:tcPr>
            <w:tcW w:w="1760" w:type="dxa"/>
          </w:tcPr>
          <w:p w:rsidR="009F5330" w:rsidRPr="005B06FB" w:rsidRDefault="009F5330" w:rsidP="009F5330">
            <w:pPr>
              <w:rPr>
                <w:b/>
                <w:lang w:val="en-US"/>
              </w:rPr>
            </w:pPr>
            <w:r>
              <w:rPr>
                <w:b/>
                <w:lang w:val="en-US"/>
              </w:rPr>
              <w:t>Parameters</w:t>
            </w:r>
          </w:p>
        </w:tc>
      </w:tr>
      <w:tr w:rsidR="009F5330" w:rsidTr="009F5330">
        <w:tc>
          <w:tcPr>
            <w:tcW w:w="2767" w:type="dxa"/>
          </w:tcPr>
          <w:p w:rsidR="009F5330" w:rsidRDefault="009F5330" w:rsidP="009F5330">
            <w:pPr>
              <w:rPr>
                <w:lang w:val="en-US"/>
              </w:rPr>
            </w:pPr>
            <w:r>
              <w:rPr>
                <w:lang w:val="en-US"/>
              </w:rPr>
              <w:t>RLM</w:t>
            </w:r>
            <w:r w:rsidRPr="009F5330">
              <w:t xml:space="preserve"> </w:t>
            </w:r>
            <w:r>
              <w:t>OOS</w:t>
            </w:r>
            <w:r w:rsidRPr="009F5330">
              <w:t xml:space="preserve"> Test for FR1 </w:t>
            </w:r>
            <w:proofErr w:type="spellStart"/>
            <w:r w:rsidRPr="009F5330">
              <w:t>PCell</w:t>
            </w:r>
            <w:proofErr w:type="spellEnd"/>
            <w:r w:rsidRPr="009F5330">
              <w:t xml:space="preserve"> configured with SSB-based RLM RS</w:t>
            </w:r>
          </w:p>
        </w:tc>
        <w:tc>
          <w:tcPr>
            <w:tcW w:w="954" w:type="dxa"/>
          </w:tcPr>
          <w:p w:rsidR="009F5330" w:rsidRDefault="009F5330" w:rsidP="009F5330">
            <w:pPr>
              <w:rPr>
                <w:lang w:val="en-US"/>
              </w:rPr>
            </w:pPr>
            <w:r>
              <w:rPr>
                <w:lang w:val="en-US"/>
              </w:rPr>
              <w:t>IAB 1-H</w:t>
            </w:r>
          </w:p>
        </w:tc>
        <w:tc>
          <w:tcPr>
            <w:tcW w:w="1969" w:type="dxa"/>
          </w:tcPr>
          <w:p w:rsidR="009F5330" w:rsidRDefault="009F5330" w:rsidP="009F5330">
            <w:pPr>
              <w:rPr>
                <w:lang w:val="en-US"/>
              </w:rPr>
            </w:pPr>
            <w:r>
              <w:rPr>
                <w:lang w:val="en-US"/>
              </w:rPr>
              <w:t>Local area</w:t>
            </w:r>
          </w:p>
        </w:tc>
        <w:tc>
          <w:tcPr>
            <w:tcW w:w="2112" w:type="dxa"/>
          </w:tcPr>
          <w:p w:rsidR="009F5330" w:rsidRDefault="009F5330" w:rsidP="009F5330">
            <w:pPr>
              <w:rPr>
                <w:lang w:val="en-US"/>
              </w:rPr>
            </w:pPr>
            <w:r>
              <w:rPr>
                <w:lang w:val="en-US"/>
              </w:rPr>
              <w:t>conducted</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RLM</w:t>
            </w:r>
            <w:r w:rsidRPr="009F5330">
              <w:t xml:space="preserve"> </w:t>
            </w:r>
            <w:r>
              <w:t>OOS</w:t>
            </w:r>
            <w:r w:rsidRPr="009F5330">
              <w:t xml:space="preserve"> Test for FR1 </w:t>
            </w:r>
            <w:proofErr w:type="spellStart"/>
            <w:r w:rsidRPr="009F5330">
              <w:t>PCell</w:t>
            </w:r>
            <w:proofErr w:type="spellEnd"/>
            <w:r w:rsidRPr="009F5330">
              <w:t xml:space="preserve"> configured with SSB-based RLM RS</w:t>
            </w:r>
          </w:p>
        </w:tc>
        <w:tc>
          <w:tcPr>
            <w:tcW w:w="954" w:type="dxa"/>
          </w:tcPr>
          <w:p w:rsidR="009F5330" w:rsidRDefault="009F5330" w:rsidP="009F5330">
            <w:pPr>
              <w:rPr>
                <w:lang w:val="en-US"/>
              </w:rPr>
            </w:pPr>
            <w:r>
              <w:rPr>
                <w:lang w:val="en-US"/>
              </w:rPr>
              <w:t>IAB 1-O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RLM</w:t>
            </w:r>
            <w:r w:rsidRPr="009F5330">
              <w:t xml:space="preserve"> </w:t>
            </w:r>
            <w:r>
              <w:t>OOS</w:t>
            </w:r>
            <w:r w:rsidRPr="009F5330">
              <w:t xml:space="preserve"> Test for FR</w:t>
            </w:r>
            <w:r>
              <w:t>2</w:t>
            </w:r>
            <w:r w:rsidRPr="009F5330">
              <w:t xml:space="preserve"> </w:t>
            </w:r>
            <w:proofErr w:type="spellStart"/>
            <w:r w:rsidRPr="009F5330">
              <w:t>PCell</w:t>
            </w:r>
            <w:proofErr w:type="spellEnd"/>
            <w:r w:rsidRPr="009F5330">
              <w:t xml:space="preserve"> configured with SSB-based RLM RS</w:t>
            </w:r>
          </w:p>
        </w:tc>
        <w:tc>
          <w:tcPr>
            <w:tcW w:w="954" w:type="dxa"/>
          </w:tcPr>
          <w:p w:rsidR="009F5330" w:rsidRDefault="009F5330" w:rsidP="009F5330">
            <w:pPr>
              <w:rPr>
                <w:lang w:val="en-US"/>
              </w:rPr>
            </w:pPr>
            <w:r>
              <w:rPr>
                <w:lang w:val="en-US"/>
              </w:rPr>
              <w:t>IAB 2-O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Default="009F5330" w:rsidP="009F5330">
            <w:pPr>
              <w:rPr>
                <w:lang w:val="en-US"/>
              </w:rPr>
            </w:pPr>
            <w:r>
              <w:rPr>
                <w:lang w:val="en-US"/>
              </w:rPr>
              <w:t>RLM</w:t>
            </w:r>
            <w:r w:rsidRPr="009F5330">
              <w:t xml:space="preserve"> </w:t>
            </w:r>
            <w:r>
              <w:t>IS</w:t>
            </w:r>
            <w:r w:rsidRPr="009F5330">
              <w:t xml:space="preserve"> Test for FR1 </w:t>
            </w:r>
            <w:proofErr w:type="spellStart"/>
            <w:r w:rsidRPr="009F5330">
              <w:t>PCell</w:t>
            </w:r>
            <w:proofErr w:type="spellEnd"/>
            <w:r w:rsidRPr="009F5330">
              <w:t xml:space="preserve"> configured with SSB-based RLM RS</w:t>
            </w:r>
          </w:p>
        </w:tc>
        <w:tc>
          <w:tcPr>
            <w:tcW w:w="954" w:type="dxa"/>
          </w:tcPr>
          <w:p w:rsidR="009F5330" w:rsidRDefault="009F5330" w:rsidP="009F5330">
            <w:pPr>
              <w:rPr>
                <w:lang w:val="en-US"/>
              </w:rPr>
            </w:pPr>
            <w:r>
              <w:rPr>
                <w:lang w:val="en-US"/>
              </w:rPr>
              <w:t>IAB 1-H</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conducted</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lastRenderedPageBreak/>
              <w:t>RLM</w:t>
            </w:r>
            <w:r w:rsidRPr="009F5330">
              <w:t xml:space="preserve"> </w:t>
            </w:r>
            <w:r>
              <w:t>IS</w:t>
            </w:r>
            <w:r w:rsidRPr="009F5330">
              <w:t xml:space="preserve"> Test for FR1 </w:t>
            </w:r>
            <w:proofErr w:type="spellStart"/>
            <w:r w:rsidRPr="009F5330">
              <w:t>PCell</w:t>
            </w:r>
            <w:proofErr w:type="spellEnd"/>
            <w:r w:rsidRPr="009F5330">
              <w:t xml:space="preserve"> configured with SSB-based RLM RS</w:t>
            </w:r>
          </w:p>
        </w:tc>
        <w:tc>
          <w:tcPr>
            <w:tcW w:w="954" w:type="dxa"/>
          </w:tcPr>
          <w:p w:rsidR="009F5330" w:rsidRDefault="009F5330" w:rsidP="009F5330">
            <w:pPr>
              <w:rPr>
                <w:lang w:val="en-US"/>
              </w:rPr>
            </w:pPr>
            <w:r>
              <w:rPr>
                <w:lang w:val="en-US"/>
              </w:rPr>
              <w:t>IAB 1-O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RLM</w:t>
            </w:r>
            <w:r w:rsidRPr="009F5330">
              <w:t xml:space="preserve"> </w:t>
            </w:r>
            <w:r>
              <w:t>IS</w:t>
            </w:r>
            <w:r w:rsidRPr="009F5330">
              <w:t xml:space="preserve"> Test for FR</w:t>
            </w:r>
            <w:r>
              <w:t>2</w:t>
            </w:r>
            <w:r w:rsidRPr="009F5330">
              <w:t xml:space="preserve"> </w:t>
            </w:r>
            <w:proofErr w:type="spellStart"/>
            <w:r w:rsidRPr="009F5330">
              <w:t>PCell</w:t>
            </w:r>
            <w:proofErr w:type="spellEnd"/>
            <w:r w:rsidRPr="009F5330">
              <w:t xml:space="preserve"> configured with SSB-based RLM RS</w:t>
            </w:r>
          </w:p>
        </w:tc>
        <w:tc>
          <w:tcPr>
            <w:tcW w:w="954" w:type="dxa"/>
          </w:tcPr>
          <w:p w:rsidR="009F5330" w:rsidRDefault="009F5330" w:rsidP="009F5330">
            <w:pPr>
              <w:rPr>
                <w:lang w:val="en-US"/>
              </w:rPr>
            </w:pPr>
            <w:r>
              <w:rPr>
                <w:lang w:val="en-US"/>
              </w:rPr>
              <w:t>IAB 2-O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Default="009F5330" w:rsidP="009F5330">
            <w:pPr>
              <w:rPr>
                <w:lang w:val="en-US"/>
              </w:rPr>
            </w:pPr>
            <w:r>
              <w:rPr>
                <w:lang w:val="en-US"/>
              </w:rPr>
              <w:t>RLM</w:t>
            </w:r>
            <w:r w:rsidRPr="009F5330">
              <w:t xml:space="preserve"> </w:t>
            </w:r>
            <w:r>
              <w:t>OOS</w:t>
            </w:r>
            <w:r w:rsidRPr="009F5330">
              <w:t xml:space="preserve"> Test for FR1 </w:t>
            </w:r>
            <w:proofErr w:type="spellStart"/>
            <w:r w:rsidRPr="009F5330">
              <w:t>PCell</w:t>
            </w:r>
            <w:proofErr w:type="spellEnd"/>
            <w:r w:rsidRPr="009F5330">
              <w:t xml:space="preserve"> configured with </w:t>
            </w:r>
            <w:r>
              <w:t>CSI-RS</w:t>
            </w:r>
            <w:r w:rsidRPr="009F5330">
              <w:t>-based RLM RS</w:t>
            </w:r>
          </w:p>
        </w:tc>
        <w:tc>
          <w:tcPr>
            <w:tcW w:w="954" w:type="dxa"/>
          </w:tcPr>
          <w:p w:rsidR="009F5330" w:rsidRDefault="009F5330" w:rsidP="009F5330">
            <w:pPr>
              <w:rPr>
                <w:lang w:val="en-US"/>
              </w:rPr>
            </w:pPr>
            <w:r>
              <w:rPr>
                <w:lang w:val="en-US"/>
              </w:rPr>
              <w:t>IAB 1-H</w:t>
            </w:r>
          </w:p>
        </w:tc>
        <w:tc>
          <w:tcPr>
            <w:tcW w:w="1969" w:type="dxa"/>
          </w:tcPr>
          <w:p w:rsidR="009F5330" w:rsidRDefault="009F5330" w:rsidP="009F5330">
            <w:pPr>
              <w:rPr>
                <w:lang w:val="en-US"/>
              </w:rPr>
            </w:pPr>
            <w:r>
              <w:rPr>
                <w:lang w:val="en-US"/>
              </w:rPr>
              <w:t>Local area</w:t>
            </w:r>
          </w:p>
        </w:tc>
        <w:tc>
          <w:tcPr>
            <w:tcW w:w="2112" w:type="dxa"/>
          </w:tcPr>
          <w:p w:rsidR="009F5330" w:rsidRDefault="009F5330" w:rsidP="009F5330">
            <w:pPr>
              <w:rPr>
                <w:lang w:val="en-US"/>
              </w:rPr>
            </w:pPr>
            <w:r>
              <w:rPr>
                <w:lang w:val="en-US"/>
              </w:rPr>
              <w:t>conducted</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RLM</w:t>
            </w:r>
            <w:r w:rsidRPr="009F5330">
              <w:t xml:space="preserve"> </w:t>
            </w:r>
            <w:r>
              <w:t>OOS</w:t>
            </w:r>
            <w:r w:rsidRPr="009F5330">
              <w:t xml:space="preserve"> Test for FR1 </w:t>
            </w:r>
            <w:proofErr w:type="spellStart"/>
            <w:r w:rsidRPr="009F5330">
              <w:t>PCell</w:t>
            </w:r>
            <w:proofErr w:type="spellEnd"/>
            <w:r w:rsidRPr="009F5330">
              <w:t xml:space="preserve"> configured with </w:t>
            </w:r>
            <w:r>
              <w:t>CSI-RS</w:t>
            </w:r>
            <w:r w:rsidRPr="009F5330">
              <w:t xml:space="preserve"> -based RLM RS</w:t>
            </w:r>
          </w:p>
        </w:tc>
        <w:tc>
          <w:tcPr>
            <w:tcW w:w="954" w:type="dxa"/>
          </w:tcPr>
          <w:p w:rsidR="009F5330" w:rsidRDefault="009F5330" w:rsidP="009F5330">
            <w:pPr>
              <w:rPr>
                <w:lang w:val="en-US"/>
              </w:rPr>
            </w:pPr>
            <w:r>
              <w:rPr>
                <w:lang w:val="en-US"/>
              </w:rPr>
              <w:t>IAB 1-O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RLM</w:t>
            </w:r>
            <w:r w:rsidRPr="009F5330">
              <w:t xml:space="preserve"> </w:t>
            </w:r>
            <w:r>
              <w:t>OOS</w:t>
            </w:r>
            <w:r w:rsidRPr="009F5330">
              <w:t xml:space="preserve"> Test for FR</w:t>
            </w:r>
            <w:r>
              <w:t>2</w:t>
            </w:r>
            <w:r w:rsidRPr="009F5330">
              <w:t xml:space="preserve"> </w:t>
            </w:r>
            <w:proofErr w:type="spellStart"/>
            <w:r w:rsidRPr="009F5330">
              <w:t>PCell</w:t>
            </w:r>
            <w:proofErr w:type="spellEnd"/>
            <w:r w:rsidRPr="009F5330">
              <w:t xml:space="preserve"> configured with </w:t>
            </w:r>
            <w:r>
              <w:t>CSI-RS</w:t>
            </w:r>
            <w:r w:rsidRPr="009F5330">
              <w:t xml:space="preserve"> -based RLM RS</w:t>
            </w:r>
          </w:p>
        </w:tc>
        <w:tc>
          <w:tcPr>
            <w:tcW w:w="954" w:type="dxa"/>
          </w:tcPr>
          <w:p w:rsidR="009F5330" w:rsidRDefault="009F5330" w:rsidP="009F5330">
            <w:pPr>
              <w:rPr>
                <w:lang w:val="en-US"/>
              </w:rPr>
            </w:pPr>
            <w:r>
              <w:rPr>
                <w:lang w:val="en-US"/>
              </w:rPr>
              <w:t>IAB 2-O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Default="009F5330" w:rsidP="009F5330">
            <w:pPr>
              <w:rPr>
                <w:lang w:val="en-US"/>
              </w:rPr>
            </w:pPr>
            <w:r>
              <w:rPr>
                <w:lang w:val="en-US"/>
              </w:rPr>
              <w:t>RLM</w:t>
            </w:r>
            <w:r w:rsidRPr="009F5330">
              <w:t xml:space="preserve"> </w:t>
            </w:r>
            <w:r>
              <w:t>IS</w:t>
            </w:r>
            <w:r w:rsidRPr="009F5330">
              <w:t xml:space="preserve"> Test for FR1 </w:t>
            </w:r>
            <w:proofErr w:type="spellStart"/>
            <w:r w:rsidRPr="009F5330">
              <w:t>PCell</w:t>
            </w:r>
            <w:proofErr w:type="spellEnd"/>
            <w:r w:rsidRPr="009F5330">
              <w:t xml:space="preserve"> configured with </w:t>
            </w:r>
            <w:r>
              <w:t>CSI-RS</w:t>
            </w:r>
            <w:r w:rsidRPr="009F5330">
              <w:t xml:space="preserve"> -based RLM RS</w:t>
            </w:r>
          </w:p>
        </w:tc>
        <w:tc>
          <w:tcPr>
            <w:tcW w:w="954" w:type="dxa"/>
          </w:tcPr>
          <w:p w:rsidR="009F5330" w:rsidRDefault="009F5330" w:rsidP="009F5330">
            <w:pPr>
              <w:rPr>
                <w:lang w:val="en-US"/>
              </w:rPr>
            </w:pPr>
            <w:r>
              <w:rPr>
                <w:lang w:val="en-US"/>
              </w:rPr>
              <w:t>IAB 1-H</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conducted</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RLM</w:t>
            </w:r>
            <w:r w:rsidRPr="009F5330">
              <w:t xml:space="preserve"> </w:t>
            </w:r>
            <w:r>
              <w:t>IS</w:t>
            </w:r>
            <w:r w:rsidRPr="009F5330">
              <w:t xml:space="preserve"> Test for FR1 </w:t>
            </w:r>
            <w:proofErr w:type="spellStart"/>
            <w:r w:rsidRPr="009F5330">
              <w:t>PCell</w:t>
            </w:r>
            <w:proofErr w:type="spellEnd"/>
            <w:r w:rsidRPr="009F5330">
              <w:t xml:space="preserve"> configured with </w:t>
            </w:r>
            <w:r>
              <w:t>CSI-RS</w:t>
            </w:r>
            <w:r w:rsidRPr="009F5330">
              <w:t xml:space="preserve"> -based RLM RS</w:t>
            </w:r>
          </w:p>
        </w:tc>
        <w:tc>
          <w:tcPr>
            <w:tcW w:w="954" w:type="dxa"/>
          </w:tcPr>
          <w:p w:rsidR="009F5330" w:rsidRDefault="009F5330" w:rsidP="009F5330">
            <w:pPr>
              <w:rPr>
                <w:lang w:val="en-US"/>
              </w:rPr>
            </w:pPr>
            <w:r>
              <w:rPr>
                <w:lang w:val="en-US"/>
              </w:rPr>
              <w:t>IAB 1-O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RLM</w:t>
            </w:r>
            <w:r w:rsidRPr="009F5330">
              <w:t xml:space="preserve"> </w:t>
            </w:r>
            <w:r>
              <w:t>IS</w:t>
            </w:r>
            <w:r w:rsidRPr="009F5330">
              <w:t xml:space="preserve"> Test for FR</w:t>
            </w:r>
            <w:r>
              <w:t>2</w:t>
            </w:r>
            <w:r w:rsidRPr="009F5330">
              <w:t xml:space="preserve"> </w:t>
            </w:r>
            <w:proofErr w:type="spellStart"/>
            <w:r w:rsidRPr="009F5330">
              <w:t>PCell</w:t>
            </w:r>
            <w:proofErr w:type="spellEnd"/>
            <w:r w:rsidRPr="009F5330">
              <w:t xml:space="preserve"> configured with </w:t>
            </w:r>
            <w:r>
              <w:t>CSI-RS</w:t>
            </w:r>
            <w:r w:rsidRPr="009F5330">
              <w:t xml:space="preserve"> -based RLM RS</w:t>
            </w:r>
          </w:p>
        </w:tc>
        <w:tc>
          <w:tcPr>
            <w:tcW w:w="954" w:type="dxa"/>
          </w:tcPr>
          <w:p w:rsidR="009F5330" w:rsidRDefault="009F5330" w:rsidP="009F5330">
            <w:pPr>
              <w:rPr>
                <w:lang w:val="en-US"/>
              </w:rPr>
            </w:pPr>
            <w:r>
              <w:rPr>
                <w:lang w:val="en-US"/>
              </w:rPr>
              <w:t>IAB 2-O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bl>
    <w:p w:rsidR="00891EAE" w:rsidRDefault="00891EAE" w:rsidP="00D00E3E">
      <w:pPr>
        <w:rPr>
          <w:lang w:val="en-US"/>
        </w:rPr>
      </w:pPr>
    </w:p>
    <w:p w:rsidR="00891EAE" w:rsidRDefault="009F5330" w:rsidP="00D00E3E">
      <w:pPr>
        <w:rPr>
          <w:lang w:val="en-US"/>
        </w:rPr>
      </w:pPr>
      <w:r>
        <w:rPr>
          <w:lang w:val="en-US"/>
        </w:rPr>
        <w:t>The test cases for BFD and link recovery are suggested as follows:</w:t>
      </w:r>
    </w:p>
    <w:tbl>
      <w:tblPr>
        <w:tblStyle w:val="a7"/>
        <w:tblW w:w="0" w:type="auto"/>
        <w:tblLook w:val="04A0" w:firstRow="1" w:lastRow="0" w:firstColumn="1" w:lastColumn="0" w:noHBand="0" w:noVBand="1"/>
      </w:tblPr>
      <w:tblGrid>
        <w:gridCol w:w="2767"/>
        <w:gridCol w:w="954"/>
        <w:gridCol w:w="1969"/>
        <w:gridCol w:w="2112"/>
        <w:gridCol w:w="1760"/>
      </w:tblGrid>
      <w:tr w:rsidR="009F5330" w:rsidRPr="005B06FB" w:rsidTr="009F5330">
        <w:tc>
          <w:tcPr>
            <w:tcW w:w="2767" w:type="dxa"/>
          </w:tcPr>
          <w:p w:rsidR="009F5330" w:rsidRPr="005B06FB" w:rsidRDefault="009F5330" w:rsidP="009F5330">
            <w:pPr>
              <w:rPr>
                <w:b/>
                <w:lang w:val="en-US"/>
              </w:rPr>
            </w:pPr>
            <w:r w:rsidRPr="005B06FB">
              <w:rPr>
                <w:b/>
                <w:lang w:val="en-US"/>
              </w:rPr>
              <w:t xml:space="preserve">Test cases </w:t>
            </w:r>
          </w:p>
        </w:tc>
        <w:tc>
          <w:tcPr>
            <w:tcW w:w="954" w:type="dxa"/>
          </w:tcPr>
          <w:p w:rsidR="009F5330" w:rsidRPr="005B06FB" w:rsidRDefault="009F5330" w:rsidP="009F5330">
            <w:pPr>
              <w:rPr>
                <w:b/>
                <w:lang w:val="en-US"/>
              </w:rPr>
            </w:pPr>
            <w:r w:rsidRPr="005B06FB">
              <w:rPr>
                <w:b/>
                <w:lang w:val="en-US"/>
              </w:rPr>
              <w:t xml:space="preserve">IAB type </w:t>
            </w:r>
          </w:p>
        </w:tc>
        <w:tc>
          <w:tcPr>
            <w:tcW w:w="1969" w:type="dxa"/>
          </w:tcPr>
          <w:p w:rsidR="009F5330" w:rsidRPr="005B06FB" w:rsidRDefault="009F5330" w:rsidP="009F5330">
            <w:pPr>
              <w:rPr>
                <w:b/>
                <w:lang w:val="en-US"/>
              </w:rPr>
            </w:pPr>
            <w:r w:rsidRPr="005B06FB">
              <w:rPr>
                <w:b/>
                <w:lang w:val="en-US"/>
              </w:rPr>
              <w:t>IAB-MT class</w:t>
            </w:r>
          </w:p>
        </w:tc>
        <w:tc>
          <w:tcPr>
            <w:tcW w:w="2112" w:type="dxa"/>
          </w:tcPr>
          <w:p w:rsidR="009F5330" w:rsidRPr="005B06FB" w:rsidRDefault="009F5330" w:rsidP="009F5330">
            <w:pPr>
              <w:rPr>
                <w:b/>
                <w:lang w:val="en-US"/>
              </w:rPr>
            </w:pPr>
            <w:r w:rsidRPr="005B06FB">
              <w:rPr>
                <w:b/>
                <w:lang w:val="en-US"/>
              </w:rPr>
              <w:t>Conducted/OTA</w:t>
            </w:r>
          </w:p>
        </w:tc>
        <w:tc>
          <w:tcPr>
            <w:tcW w:w="1760" w:type="dxa"/>
          </w:tcPr>
          <w:p w:rsidR="009F5330" w:rsidRPr="005B06FB" w:rsidRDefault="009F5330" w:rsidP="009F5330">
            <w:pPr>
              <w:rPr>
                <w:b/>
                <w:lang w:val="en-US"/>
              </w:rPr>
            </w:pPr>
            <w:r>
              <w:rPr>
                <w:b/>
                <w:lang w:val="en-US"/>
              </w:rPr>
              <w:t>Parameters</w:t>
            </w:r>
          </w:p>
        </w:tc>
      </w:tr>
      <w:tr w:rsidR="009F5330" w:rsidTr="009F5330">
        <w:tc>
          <w:tcPr>
            <w:tcW w:w="2767" w:type="dxa"/>
          </w:tcPr>
          <w:p w:rsidR="009F5330" w:rsidRDefault="009F5330" w:rsidP="009F5330">
            <w:pPr>
              <w:rPr>
                <w:lang w:val="en-US"/>
              </w:rPr>
            </w:pPr>
            <w:r>
              <w:rPr>
                <w:lang w:val="en-US"/>
              </w:rPr>
              <w:t>BFD and LR</w:t>
            </w:r>
            <w:r w:rsidRPr="009F5330">
              <w:t xml:space="preserve"> Test for FR1 </w:t>
            </w:r>
            <w:proofErr w:type="spellStart"/>
            <w:r w:rsidRPr="009F5330">
              <w:t>PCell</w:t>
            </w:r>
            <w:proofErr w:type="spellEnd"/>
            <w:r w:rsidRPr="009F5330">
              <w:t xml:space="preserve"> configured with SSB-based </w:t>
            </w:r>
            <w:r>
              <w:t>BFD and LR</w:t>
            </w:r>
          </w:p>
        </w:tc>
        <w:tc>
          <w:tcPr>
            <w:tcW w:w="954" w:type="dxa"/>
          </w:tcPr>
          <w:p w:rsidR="009F5330" w:rsidRDefault="009F5330" w:rsidP="009F5330">
            <w:pPr>
              <w:rPr>
                <w:lang w:val="en-US"/>
              </w:rPr>
            </w:pPr>
            <w:r>
              <w:rPr>
                <w:lang w:val="en-US"/>
              </w:rPr>
              <w:t>IAB 1-H</w:t>
            </w:r>
          </w:p>
        </w:tc>
        <w:tc>
          <w:tcPr>
            <w:tcW w:w="1969" w:type="dxa"/>
          </w:tcPr>
          <w:p w:rsidR="009F5330" w:rsidRDefault="009F5330" w:rsidP="009F5330">
            <w:pPr>
              <w:rPr>
                <w:lang w:val="en-US"/>
              </w:rPr>
            </w:pPr>
            <w:r>
              <w:rPr>
                <w:lang w:val="en-US"/>
              </w:rPr>
              <w:t>Local area</w:t>
            </w:r>
          </w:p>
        </w:tc>
        <w:tc>
          <w:tcPr>
            <w:tcW w:w="2112" w:type="dxa"/>
          </w:tcPr>
          <w:p w:rsidR="009F5330" w:rsidRDefault="009F5330" w:rsidP="009F5330">
            <w:pPr>
              <w:rPr>
                <w:lang w:val="en-US"/>
              </w:rPr>
            </w:pPr>
            <w:r>
              <w:rPr>
                <w:lang w:val="en-US"/>
              </w:rPr>
              <w:t>conducted</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BFD and LR</w:t>
            </w:r>
            <w:r w:rsidRPr="009F5330">
              <w:t xml:space="preserve"> Test for FR1 </w:t>
            </w:r>
            <w:proofErr w:type="spellStart"/>
            <w:r w:rsidRPr="009F5330">
              <w:t>PCell</w:t>
            </w:r>
            <w:proofErr w:type="spellEnd"/>
            <w:r w:rsidRPr="009F5330">
              <w:t xml:space="preserve"> configured with SSB-based </w:t>
            </w:r>
            <w:r>
              <w:t>BFD and LR</w:t>
            </w:r>
          </w:p>
        </w:tc>
        <w:tc>
          <w:tcPr>
            <w:tcW w:w="954" w:type="dxa"/>
          </w:tcPr>
          <w:p w:rsidR="009F5330" w:rsidRDefault="009F5330" w:rsidP="009F5330">
            <w:pPr>
              <w:rPr>
                <w:lang w:val="en-US"/>
              </w:rPr>
            </w:pPr>
            <w:r>
              <w:rPr>
                <w:lang w:val="en-US"/>
              </w:rPr>
              <w:t>IAB 1-O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9F5330" w:rsidTr="009F5330">
        <w:tc>
          <w:tcPr>
            <w:tcW w:w="2767" w:type="dxa"/>
          </w:tcPr>
          <w:p w:rsidR="009F5330" w:rsidRPr="004E396D" w:rsidRDefault="009F5330" w:rsidP="009F5330">
            <w:pPr>
              <w:rPr>
                <w:snapToGrid w:val="0"/>
              </w:rPr>
            </w:pPr>
            <w:r>
              <w:rPr>
                <w:lang w:val="en-US"/>
              </w:rPr>
              <w:t>BFD and LR</w:t>
            </w:r>
            <w:r w:rsidRPr="009F5330">
              <w:t xml:space="preserve"> Test for FR</w:t>
            </w:r>
            <w:r>
              <w:t>2</w:t>
            </w:r>
            <w:r w:rsidRPr="009F5330">
              <w:t xml:space="preserve"> </w:t>
            </w:r>
            <w:proofErr w:type="spellStart"/>
            <w:r w:rsidRPr="009F5330">
              <w:t>PCell</w:t>
            </w:r>
            <w:proofErr w:type="spellEnd"/>
            <w:r w:rsidRPr="009F5330">
              <w:t xml:space="preserve"> configured with SSB-based </w:t>
            </w:r>
            <w:r>
              <w:rPr>
                <w:lang w:val="en-US"/>
              </w:rPr>
              <w:t>BFD and LR</w:t>
            </w:r>
          </w:p>
        </w:tc>
        <w:tc>
          <w:tcPr>
            <w:tcW w:w="954" w:type="dxa"/>
          </w:tcPr>
          <w:p w:rsidR="009F5330" w:rsidRDefault="009F5330" w:rsidP="009F5330">
            <w:pPr>
              <w:rPr>
                <w:lang w:val="en-US"/>
              </w:rPr>
            </w:pPr>
            <w:r>
              <w:rPr>
                <w:lang w:val="en-US"/>
              </w:rPr>
              <w:t>IAB 2-O</w:t>
            </w:r>
          </w:p>
        </w:tc>
        <w:tc>
          <w:tcPr>
            <w:tcW w:w="1969" w:type="dxa"/>
          </w:tcPr>
          <w:p w:rsidR="009F5330" w:rsidRDefault="009F5330" w:rsidP="009F5330">
            <w:r w:rsidRPr="00C87097">
              <w:rPr>
                <w:lang w:val="en-US"/>
              </w:rPr>
              <w:t>Local area</w:t>
            </w:r>
          </w:p>
        </w:tc>
        <w:tc>
          <w:tcPr>
            <w:tcW w:w="2112" w:type="dxa"/>
          </w:tcPr>
          <w:p w:rsidR="009F5330" w:rsidRDefault="009F5330" w:rsidP="009F5330">
            <w:pPr>
              <w:rPr>
                <w:lang w:val="en-US"/>
              </w:rPr>
            </w:pPr>
            <w:r>
              <w:rPr>
                <w:lang w:val="en-US"/>
              </w:rPr>
              <w:t>OTA</w:t>
            </w:r>
          </w:p>
        </w:tc>
        <w:tc>
          <w:tcPr>
            <w:tcW w:w="1760" w:type="dxa"/>
          </w:tcPr>
          <w:p w:rsidR="009F5330" w:rsidRDefault="009F5330" w:rsidP="009F5330">
            <w:pPr>
              <w:rPr>
                <w:lang w:val="en-US"/>
              </w:rPr>
            </w:pPr>
            <w:r>
              <w:rPr>
                <w:lang w:val="en-US"/>
              </w:rPr>
              <w:t>Non-DRX</w:t>
            </w:r>
          </w:p>
        </w:tc>
      </w:tr>
      <w:tr w:rsidR="00FE74E8" w:rsidTr="00FE74E8">
        <w:tc>
          <w:tcPr>
            <w:tcW w:w="2767" w:type="dxa"/>
          </w:tcPr>
          <w:p w:rsidR="00FE74E8" w:rsidRDefault="00FE74E8" w:rsidP="00011511">
            <w:pPr>
              <w:rPr>
                <w:lang w:val="en-US"/>
              </w:rPr>
            </w:pPr>
            <w:r>
              <w:rPr>
                <w:lang w:val="en-US"/>
              </w:rPr>
              <w:t>BFD and LR</w:t>
            </w:r>
            <w:r w:rsidRPr="009F5330">
              <w:t xml:space="preserve"> Test for FR1 </w:t>
            </w:r>
            <w:proofErr w:type="spellStart"/>
            <w:r w:rsidRPr="009F5330">
              <w:t>PCell</w:t>
            </w:r>
            <w:proofErr w:type="spellEnd"/>
            <w:r w:rsidRPr="009F5330">
              <w:t xml:space="preserve"> configured with </w:t>
            </w:r>
            <w:r>
              <w:t>CSI-RS</w:t>
            </w:r>
            <w:r w:rsidRPr="009F5330">
              <w:t xml:space="preserve">-based </w:t>
            </w:r>
            <w:r>
              <w:rPr>
                <w:lang w:val="en-US"/>
              </w:rPr>
              <w:t>BFD and LR</w:t>
            </w:r>
          </w:p>
        </w:tc>
        <w:tc>
          <w:tcPr>
            <w:tcW w:w="954" w:type="dxa"/>
          </w:tcPr>
          <w:p w:rsidR="00FE74E8" w:rsidRDefault="00FE74E8" w:rsidP="00011511">
            <w:pPr>
              <w:rPr>
                <w:lang w:val="en-US"/>
              </w:rPr>
            </w:pPr>
            <w:r>
              <w:rPr>
                <w:lang w:val="en-US"/>
              </w:rPr>
              <w:t>IAB 1-H</w:t>
            </w:r>
          </w:p>
        </w:tc>
        <w:tc>
          <w:tcPr>
            <w:tcW w:w="1969" w:type="dxa"/>
          </w:tcPr>
          <w:p w:rsidR="00FE74E8" w:rsidRDefault="00FE74E8" w:rsidP="00011511">
            <w:pPr>
              <w:rPr>
                <w:lang w:val="en-US"/>
              </w:rPr>
            </w:pPr>
            <w:r>
              <w:rPr>
                <w:lang w:val="en-US"/>
              </w:rPr>
              <w:t>Local area</w:t>
            </w:r>
          </w:p>
        </w:tc>
        <w:tc>
          <w:tcPr>
            <w:tcW w:w="2112" w:type="dxa"/>
          </w:tcPr>
          <w:p w:rsidR="00FE74E8" w:rsidRDefault="00FE74E8" w:rsidP="00011511">
            <w:pPr>
              <w:rPr>
                <w:lang w:val="en-US"/>
              </w:rPr>
            </w:pPr>
            <w:r>
              <w:rPr>
                <w:lang w:val="en-US"/>
              </w:rPr>
              <w:t>conducted</w:t>
            </w:r>
          </w:p>
        </w:tc>
        <w:tc>
          <w:tcPr>
            <w:tcW w:w="1760" w:type="dxa"/>
          </w:tcPr>
          <w:p w:rsidR="00FE74E8" w:rsidRDefault="00FE74E8" w:rsidP="00011511">
            <w:pPr>
              <w:rPr>
                <w:lang w:val="en-US"/>
              </w:rPr>
            </w:pPr>
            <w:r>
              <w:rPr>
                <w:lang w:val="en-US"/>
              </w:rPr>
              <w:t>Non-DRX</w:t>
            </w:r>
          </w:p>
        </w:tc>
      </w:tr>
      <w:tr w:rsidR="00FE74E8" w:rsidTr="00FE74E8">
        <w:tc>
          <w:tcPr>
            <w:tcW w:w="2767" w:type="dxa"/>
          </w:tcPr>
          <w:p w:rsidR="00FE74E8" w:rsidRPr="004E396D" w:rsidRDefault="00FE74E8" w:rsidP="00011511">
            <w:pPr>
              <w:rPr>
                <w:snapToGrid w:val="0"/>
              </w:rPr>
            </w:pPr>
            <w:r>
              <w:rPr>
                <w:lang w:val="en-US"/>
              </w:rPr>
              <w:t>BFD and LR</w:t>
            </w:r>
            <w:r w:rsidRPr="009F5330">
              <w:t xml:space="preserve"> Test for FR1 </w:t>
            </w:r>
            <w:proofErr w:type="spellStart"/>
            <w:r w:rsidRPr="009F5330">
              <w:t>PCell</w:t>
            </w:r>
            <w:proofErr w:type="spellEnd"/>
            <w:r w:rsidRPr="009F5330">
              <w:t xml:space="preserve"> configured with </w:t>
            </w:r>
            <w:r>
              <w:t>CSI-RS</w:t>
            </w:r>
            <w:r w:rsidRPr="009F5330">
              <w:t xml:space="preserve"> -based </w:t>
            </w:r>
            <w:r>
              <w:rPr>
                <w:lang w:val="en-US"/>
              </w:rPr>
              <w:t>BFD and LR</w:t>
            </w:r>
          </w:p>
        </w:tc>
        <w:tc>
          <w:tcPr>
            <w:tcW w:w="954" w:type="dxa"/>
          </w:tcPr>
          <w:p w:rsidR="00FE74E8" w:rsidRDefault="00FE74E8" w:rsidP="00011511">
            <w:pPr>
              <w:rPr>
                <w:lang w:val="en-US"/>
              </w:rPr>
            </w:pPr>
            <w:r>
              <w:rPr>
                <w:lang w:val="en-US"/>
              </w:rPr>
              <w:t>IAB 1-O</w:t>
            </w:r>
          </w:p>
        </w:tc>
        <w:tc>
          <w:tcPr>
            <w:tcW w:w="1969" w:type="dxa"/>
          </w:tcPr>
          <w:p w:rsidR="00FE74E8" w:rsidRDefault="00FE74E8" w:rsidP="00011511">
            <w:r w:rsidRPr="00C87097">
              <w:rPr>
                <w:lang w:val="en-US"/>
              </w:rPr>
              <w:t>Local area</w:t>
            </w:r>
          </w:p>
        </w:tc>
        <w:tc>
          <w:tcPr>
            <w:tcW w:w="2112" w:type="dxa"/>
          </w:tcPr>
          <w:p w:rsidR="00FE74E8" w:rsidRDefault="00FE74E8" w:rsidP="00011511">
            <w:pPr>
              <w:rPr>
                <w:lang w:val="en-US"/>
              </w:rPr>
            </w:pPr>
            <w:r>
              <w:rPr>
                <w:lang w:val="en-US"/>
              </w:rPr>
              <w:t>OTA</w:t>
            </w:r>
          </w:p>
        </w:tc>
        <w:tc>
          <w:tcPr>
            <w:tcW w:w="1760" w:type="dxa"/>
          </w:tcPr>
          <w:p w:rsidR="00FE74E8" w:rsidRDefault="00FE74E8" w:rsidP="00011511">
            <w:pPr>
              <w:rPr>
                <w:lang w:val="en-US"/>
              </w:rPr>
            </w:pPr>
            <w:r>
              <w:rPr>
                <w:lang w:val="en-US"/>
              </w:rPr>
              <w:t>Non-DRX</w:t>
            </w:r>
          </w:p>
        </w:tc>
      </w:tr>
      <w:tr w:rsidR="00FE74E8" w:rsidTr="00FE74E8">
        <w:tc>
          <w:tcPr>
            <w:tcW w:w="2767" w:type="dxa"/>
          </w:tcPr>
          <w:p w:rsidR="00FE74E8" w:rsidRPr="004E396D" w:rsidRDefault="00FE74E8" w:rsidP="00011511">
            <w:pPr>
              <w:rPr>
                <w:snapToGrid w:val="0"/>
              </w:rPr>
            </w:pPr>
            <w:r>
              <w:rPr>
                <w:lang w:val="en-US"/>
              </w:rPr>
              <w:t>BFD and LR</w:t>
            </w:r>
            <w:r w:rsidRPr="009F5330">
              <w:t xml:space="preserve"> Test for FR</w:t>
            </w:r>
            <w:r>
              <w:t>2</w:t>
            </w:r>
            <w:r w:rsidRPr="009F5330">
              <w:t xml:space="preserve"> </w:t>
            </w:r>
            <w:proofErr w:type="spellStart"/>
            <w:r w:rsidRPr="009F5330">
              <w:t>PCell</w:t>
            </w:r>
            <w:proofErr w:type="spellEnd"/>
            <w:r w:rsidRPr="009F5330">
              <w:t xml:space="preserve"> configured with </w:t>
            </w:r>
            <w:r>
              <w:t>CSI-RS</w:t>
            </w:r>
            <w:r w:rsidRPr="009F5330">
              <w:t xml:space="preserve"> -based </w:t>
            </w:r>
            <w:r>
              <w:rPr>
                <w:lang w:val="en-US"/>
              </w:rPr>
              <w:t>BFD and LR</w:t>
            </w:r>
          </w:p>
        </w:tc>
        <w:tc>
          <w:tcPr>
            <w:tcW w:w="954" w:type="dxa"/>
          </w:tcPr>
          <w:p w:rsidR="00FE74E8" w:rsidRDefault="00FE74E8" w:rsidP="00011511">
            <w:pPr>
              <w:rPr>
                <w:lang w:val="en-US"/>
              </w:rPr>
            </w:pPr>
            <w:r>
              <w:rPr>
                <w:lang w:val="en-US"/>
              </w:rPr>
              <w:t>IAB 2-O</w:t>
            </w:r>
          </w:p>
        </w:tc>
        <w:tc>
          <w:tcPr>
            <w:tcW w:w="1969" w:type="dxa"/>
          </w:tcPr>
          <w:p w:rsidR="00FE74E8" w:rsidRDefault="00FE74E8" w:rsidP="00011511">
            <w:r w:rsidRPr="00C87097">
              <w:rPr>
                <w:lang w:val="en-US"/>
              </w:rPr>
              <w:t>Local area</w:t>
            </w:r>
          </w:p>
        </w:tc>
        <w:tc>
          <w:tcPr>
            <w:tcW w:w="2112" w:type="dxa"/>
          </w:tcPr>
          <w:p w:rsidR="00FE74E8" w:rsidRDefault="00FE74E8" w:rsidP="00011511">
            <w:pPr>
              <w:rPr>
                <w:lang w:val="en-US"/>
              </w:rPr>
            </w:pPr>
            <w:r>
              <w:rPr>
                <w:lang w:val="en-US"/>
              </w:rPr>
              <w:t>OTA</w:t>
            </w:r>
          </w:p>
        </w:tc>
        <w:tc>
          <w:tcPr>
            <w:tcW w:w="1760" w:type="dxa"/>
          </w:tcPr>
          <w:p w:rsidR="00FE74E8" w:rsidRDefault="00FE74E8" w:rsidP="00011511">
            <w:pPr>
              <w:rPr>
                <w:lang w:val="en-US"/>
              </w:rPr>
            </w:pPr>
            <w:r>
              <w:rPr>
                <w:lang w:val="en-US"/>
              </w:rPr>
              <w:t>Non-DRX</w:t>
            </w:r>
          </w:p>
        </w:tc>
      </w:tr>
    </w:tbl>
    <w:p w:rsidR="009F5330" w:rsidRDefault="009F5330" w:rsidP="00D00E3E">
      <w:pPr>
        <w:rPr>
          <w:lang w:val="en-US"/>
        </w:rPr>
      </w:pPr>
    </w:p>
    <w:p w:rsidR="00047676" w:rsidRPr="00B54172" w:rsidRDefault="00B54172" w:rsidP="00D00E3E">
      <w:pPr>
        <w:rPr>
          <w:b/>
          <w:lang w:val="en-US"/>
        </w:rPr>
      </w:pPr>
      <w:r w:rsidRPr="00B54172">
        <w:rPr>
          <w:b/>
          <w:lang w:val="en-US"/>
        </w:rPr>
        <w:lastRenderedPageBreak/>
        <w:t>Proposal 3: Define the test cases in the above tables for RRM requirements for IAB.</w:t>
      </w:r>
    </w:p>
    <w:p w:rsidR="0028739B" w:rsidRPr="00E8433A" w:rsidRDefault="0028739B" w:rsidP="00C63D6B">
      <w:pPr>
        <w:pStyle w:val="B1"/>
        <w:ind w:left="0" w:firstLine="0"/>
        <w:rPr>
          <w:rFonts w:cs="v4.2.0"/>
          <w:b/>
        </w:rPr>
      </w:pPr>
    </w:p>
    <w:p w:rsidR="00DF0231" w:rsidRPr="002D2977" w:rsidRDefault="00DF0231" w:rsidP="00DF0231">
      <w:pPr>
        <w:pStyle w:val="1"/>
        <w:numPr>
          <w:ilvl w:val="0"/>
          <w:numId w:val="1"/>
        </w:numPr>
        <w:rPr>
          <w:lang w:val="en-US"/>
        </w:rPr>
      </w:pPr>
      <w:r w:rsidRPr="002D2977">
        <w:rPr>
          <w:lang w:val="en-US"/>
        </w:rPr>
        <w:t>Conclusions</w:t>
      </w:r>
    </w:p>
    <w:p w:rsidR="00B54172" w:rsidRPr="00B54172" w:rsidRDefault="00B54172" w:rsidP="00B54172">
      <w:pPr>
        <w:rPr>
          <w:rFonts w:eastAsiaTheme="minorEastAsia" w:cs="v4.2.0"/>
          <w:b/>
          <w:lang w:val="en-US" w:eastAsia="zh-CN"/>
        </w:rPr>
      </w:pPr>
      <w:r w:rsidRPr="00B54172">
        <w:rPr>
          <w:rFonts w:eastAsiaTheme="minorEastAsia" w:cs="v4.2.0"/>
          <w:b/>
          <w:lang w:val="en-US" w:eastAsia="zh-CN"/>
        </w:rPr>
        <w:t>Proposal 1: As there is no cell reselection and RRM measurement requirements, only unknown target cell should be considered in the testing.</w:t>
      </w:r>
    </w:p>
    <w:p w:rsidR="00B54172" w:rsidRPr="00B54172" w:rsidRDefault="00B54172" w:rsidP="00B54172">
      <w:pPr>
        <w:rPr>
          <w:rFonts w:eastAsiaTheme="minorEastAsia" w:cs="v4.2.0"/>
          <w:b/>
          <w:lang w:val="en-US" w:eastAsia="zh-CN"/>
        </w:rPr>
      </w:pPr>
      <w:r w:rsidRPr="00B54172">
        <w:rPr>
          <w:rFonts w:eastAsiaTheme="minorEastAsia" w:cs="v4.2.0"/>
          <w:b/>
          <w:lang w:val="en-US" w:eastAsia="zh-CN"/>
        </w:rPr>
        <w:t>Observation 1: It hard to define the number of frequency layers for inter frequency RRC re-establishment.</w:t>
      </w:r>
    </w:p>
    <w:p w:rsidR="00B54172" w:rsidRPr="00B54172" w:rsidRDefault="00B54172" w:rsidP="00B54172">
      <w:pPr>
        <w:rPr>
          <w:rFonts w:eastAsiaTheme="minorEastAsia" w:cs="v4.2.0"/>
          <w:b/>
          <w:lang w:val="en-US" w:eastAsia="zh-CN"/>
        </w:rPr>
      </w:pPr>
      <w:r w:rsidRPr="00B54172">
        <w:rPr>
          <w:rFonts w:eastAsiaTheme="minorEastAsia" w:cs="v4.2.0"/>
          <w:b/>
          <w:lang w:val="en-US" w:eastAsia="zh-CN"/>
        </w:rPr>
        <w:t>Observation 2: How to trigger the RRC re-establishment for wide area IAB-MT should be further discussed.</w:t>
      </w:r>
    </w:p>
    <w:p w:rsidR="00B54172" w:rsidRPr="00B54172" w:rsidRDefault="00B54172" w:rsidP="00B54172">
      <w:pPr>
        <w:rPr>
          <w:rFonts w:eastAsiaTheme="minorEastAsia" w:cs="v4.2.0"/>
          <w:b/>
          <w:lang w:val="en-US" w:eastAsia="zh-CN"/>
        </w:rPr>
      </w:pPr>
      <w:r w:rsidRPr="00B54172">
        <w:rPr>
          <w:rFonts w:eastAsiaTheme="minorEastAsia" w:cs="v4.2.0"/>
          <w:b/>
          <w:lang w:val="en-US" w:eastAsia="zh-CN"/>
        </w:rPr>
        <w:t>Observation 3: There is specific RA resource defined for IAB-MT.</w:t>
      </w:r>
    </w:p>
    <w:p w:rsidR="00B54172" w:rsidRPr="00B54172" w:rsidRDefault="00B54172" w:rsidP="00B54172">
      <w:pPr>
        <w:rPr>
          <w:rFonts w:eastAsiaTheme="minorEastAsia" w:cs="v4.2.0"/>
          <w:b/>
          <w:lang w:val="en-US" w:eastAsia="zh-CN"/>
        </w:rPr>
      </w:pPr>
      <w:r w:rsidRPr="00B54172">
        <w:rPr>
          <w:rFonts w:eastAsiaTheme="minorEastAsia" w:cs="v4.2.0"/>
          <w:b/>
          <w:lang w:val="en-US" w:eastAsia="zh-CN"/>
        </w:rPr>
        <w:t>Observation 4: The RA process for IAB-MT is much simple and happens infrequently compared with original UE.</w:t>
      </w:r>
    </w:p>
    <w:p w:rsidR="00B54172" w:rsidRPr="00B54172" w:rsidRDefault="00B54172" w:rsidP="00B54172">
      <w:pPr>
        <w:rPr>
          <w:rFonts w:eastAsiaTheme="minorEastAsia" w:cs="v4.2.0"/>
          <w:b/>
          <w:lang w:val="en-US" w:eastAsia="zh-CN"/>
        </w:rPr>
      </w:pPr>
      <w:r w:rsidRPr="00B54172">
        <w:rPr>
          <w:rFonts w:eastAsiaTheme="minorEastAsia" w:cs="v4.2.0"/>
          <w:b/>
          <w:lang w:val="en-US" w:eastAsia="zh-CN"/>
        </w:rPr>
        <w:t>Proposal 2: It is suggested not to define separate test cases of RA for IAB-MT.</w:t>
      </w:r>
    </w:p>
    <w:p w:rsidR="00047676" w:rsidRPr="00B54172" w:rsidRDefault="00B54172" w:rsidP="00B54172">
      <w:pPr>
        <w:rPr>
          <w:rFonts w:eastAsiaTheme="minorEastAsia" w:cs="v4.2.0"/>
          <w:b/>
          <w:lang w:val="en-US" w:eastAsia="zh-CN"/>
        </w:rPr>
      </w:pPr>
      <w:r w:rsidRPr="00B54172">
        <w:rPr>
          <w:rFonts w:eastAsiaTheme="minorEastAsia" w:cs="v4.2.0"/>
          <w:b/>
          <w:lang w:val="en-US" w:eastAsia="zh-CN"/>
        </w:rPr>
        <w:t>Proposal 3: Define the test cases in the above tables for RRM requirements for IAB.</w:t>
      </w:r>
    </w:p>
    <w:p w:rsidR="00DF0231" w:rsidRPr="002D2977" w:rsidRDefault="00DF0231" w:rsidP="00DF0231">
      <w:pPr>
        <w:pStyle w:val="1"/>
        <w:tabs>
          <w:tab w:val="clear" w:pos="432"/>
        </w:tabs>
        <w:ind w:left="0" w:firstLine="0"/>
        <w:rPr>
          <w:lang w:val="en-US"/>
        </w:rPr>
      </w:pPr>
      <w:r w:rsidRPr="002D2977">
        <w:rPr>
          <w:lang w:val="en-US"/>
        </w:rPr>
        <w:t>References</w:t>
      </w:r>
    </w:p>
    <w:p w:rsidR="008A46A2" w:rsidRDefault="008A46A2">
      <w:r>
        <w:t xml:space="preserve">[1] </w:t>
      </w:r>
      <w:r w:rsidR="00A70429">
        <w:t xml:space="preserve">R4-2012234 </w:t>
      </w:r>
      <w:r w:rsidR="00A70429" w:rsidRPr="00A70429">
        <w:t>on RLM requirements for IAB-MT</w:t>
      </w:r>
      <w:r w:rsidR="00A70429">
        <w:t xml:space="preserve">, </w:t>
      </w:r>
      <w:r w:rsidR="00A70429" w:rsidRPr="00A70429">
        <w:t>ZTE Corporation</w:t>
      </w:r>
    </w:p>
    <w:p w:rsidR="00BA4C0A" w:rsidRDefault="00C70023">
      <w:r>
        <w:t>[</w:t>
      </w:r>
      <w:r w:rsidR="008A46A2">
        <w:t>2</w:t>
      </w:r>
      <w:r w:rsidR="00CE1CCC">
        <w:t xml:space="preserve">] </w:t>
      </w:r>
      <w:r w:rsidR="00C76B41" w:rsidRPr="00C76B41">
        <w:t>R4-2015510</w:t>
      </w:r>
      <w:bookmarkStart w:id="0" w:name="_GoBack"/>
      <w:bookmarkEnd w:id="0"/>
    </w:p>
    <w:p w:rsidR="00CE1CCC" w:rsidRPr="00C70023" w:rsidRDefault="00CE1CCC">
      <w:r>
        <w:t>[3] TS 38.211</w:t>
      </w:r>
    </w:p>
    <w:sectPr w:rsidR="00CE1CCC" w:rsidRPr="00C7002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401" w:rsidRDefault="00A32401">
      <w:pPr>
        <w:spacing w:after="0"/>
      </w:pPr>
      <w:r>
        <w:separator/>
      </w:r>
    </w:p>
  </w:endnote>
  <w:endnote w:type="continuationSeparator" w:id="0">
    <w:p w:rsidR="00A32401" w:rsidRDefault="00A32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330" w:rsidRDefault="009F533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F5330" w:rsidRDefault="009F533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330" w:rsidRDefault="009F533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76B41">
      <w:rPr>
        <w:rStyle w:val="a5"/>
      </w:rPr>
      <w:t>4</w:t>
    </w:r>
    <w:r>
      <w:rPr>
        <w:rStyle w:val="a5"/>
      </w:rPr>
      <w:fldChar w:fldCharType="end"/>
    </w:r>
  </w:p>
  <w:p w:rsidR="009F5330" w:rsidRDefault="009F533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401" w:rsidRDefault="00A32401">
      <w:pPr>
        <w:spacing w:after="0"/>
      </w:pPr>
      <w:r>
        <w:separator/>
      </w:r>
    </w:p>
  </w:footnote>
  <w:footnote w:type="continuationSeparator" w:id="0">
    <w:p w:rsidR="00A32401" w:rsidRDefault="00A324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8"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33"/>
  </w:num>
  <w:num w:numId="4">
    <w:abstractNumId w:val="37"/>
  </w:num>
  <w:num w:numId="5">
    <w:abstractNumId w:val="26"/>
  </w:num>
  <w:num w:numId="6">
    <w:abstractNumId w:val="13"/>
  </w:num>
  <w:num w:numId="7">
    <w:abstractNumId w:val="23"/>
  </w:num>
  <w:num w:numId="8">
    <w:abstractNumId w:val="4"/>
  </w:num>
  <w:num w:numId="9">
    <w:abstractNumId w:val="12"/>
  </w:num>
  <w:num w:numId="10">
    <w:abstractNumId w:val="7"/>
  </w:num>
  <w:num w:numId="11">
    <w:abstractNumId w:val="15"/>
  </w:num>
  <w:num w:numId="12">
    <w:abstractNumId w:val="18"/>
  </w:num>
  <w:num w:numId="13">
    <w:abstractNumId w:val="17"/>
  </w:num>
  <w:num w:numId="14">
    <w:abstractNumId w:val="14"/>
  </w:num>
  <w:num w:numId="15">
    <w:abstractNumId w:val="32"/>
  </w:num>
  <w:num w:numId="16">
    <w:abstractNumId w:val="6"/>
  </w:num>
  <w:num w:numId="17">
    <w:abstractNumId w:val="5"/>
  </w:num>
  <w:num w:numId="18">
    <w:abstractNumId w:val="16"/>
  </w:num>
  <w:num w:numId="19">
    <w:abstractNumId w:val="31"/>
  </w:num>
  <w:num w:numId="20">
    <w:abstractNumId w:val="28"/>
  </w:num>
  <w:num w:numId="21">
    <w:abstractNumId w:val="3"/>
  </w:num>
  <w:num w:numId="22">
    <w:abstractNumId w:val="9"/>
  </w:num>
  <w:num w:numId="23">
    <w:abstractNumId w:val="20"/>
  </w:num>
  <w:num w:numId="24">
    <w:abstractNumId w:val="19"/>
  </w:num>
  <w:num w:numId="25">
    <w:abstractNumId w:val="25"/>
  </w:num>
  <w:num w:numId="26">
    <w:abstractNumId w:val="35"/>
  </w:num>
  <w:num w:numId="27">
    <w:abstractNumId w:val="29"/>
  </w:num>
  <w:num w:numId="28">
    <w:abstractNumId w:val="36"/>
  </w:num>
  <w:num w:numId="29">
    <w:abstractNumId w:val="22"/>
  </w:num>
  <w:num w:numId="30">
    <w:abstractNumId w:val="8"/>
  </w:num>
  <w:num w:numId="31">
    <w:abstractNumId w:val="10"/>
  </w:num>
  <w:num w:numId="32">
    <w:abstractNumId w:val="0"/>
  </w:num>
  <w:num w:numId="33">
    <w:abstractNumId w:val="24"/>
  </w:num>
  <w:num w:numId="34">
    <w:abstractNumId w:val="38"/>
  </w:num>
  <w:num w:numId="35">
    <w:abstractNumId w:val="11"/>
  </w:num>
  <w:num w:numId="36">
    <w:abstractNumId w:val="27"/>
  </w:num>
  <w:num w:numId="37">
    <w:abstractNumId w:val="30"/>
  </w:num>
  <w:num w:numId="38">
    <w:abstractNumId w:val="34"/>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0249"/>
    <w:rsid w:val="000131D4"/>
    <w:rsid w:val="00014936"/>
    <w:rsid w:val="00017B9A"/>
    <w:rsid w:val="00033F13"/>
    <w:rsid w:val="000344CA"/>
    <w:rsid w:val="0004558E"/>
    <w:rsid w:val="00047676"/>
    <w:rsid w:val="00063E08"/>
    <w:rsid w:val="00067B89"/>
    <w:rsid w:val="00076C0A"/>
    <w:rsid w:val="000903D2"/>
    <w:rsid w:val="00092D80"/>
    <w:rsid w:val="000A1878"/>
    <w:rsid w:val="000A2ED7"/>
    <w:rsid w:val="000A4BCB"/>
    <w:rsid w:val="000A7A19"/>
    <w:rsid w:val="000D2930"/>
    <w:rsid w:val="000E0A8A"/>
    <w:rsid w:val="000E2C03"/>
    <w:rsid w:val="0010016B"/>
    <w:rsid w:val="00100360"/>
    <w:rsid w:val="0011207E"/>
    <w:rsid w:val="001134EE"/>
    <w:rsid w:val="001230FF"/>
    <w:rsid w:val="001365E9"/>
    <w:rsid w:val="00141870"/>
    <w:rsid w:val="0015786B"/>
    <w:rsid w:val="0017747E"/>
    <w:rsid w:val="001A0678"/>
    <w:rsid w:val="001A1E7C"/>
    <w:rsid w:val="001A7FC1"/>
    <w:rsid w:val="001C37ED"/>
    <w:rsid w:val="001D226D"/>
    <w:rsid w:val="001E7174"/>
    <w:rsid w:val="0020033A"/>
    <w:rsid w:val="00216AAB"/>
    <w:rsid w:val="002221AC"/>
    <w:rsid w:val="00222AF7"/>
    <w:rsid w:val="002251EF"/>
    <w:rsid w:val="002328DD"/>
    <w:rsid w:val="00245810"/>
    <w:rsid w:val="00254F38"/>
    <w:rsid w:val="002632E9"/>
    <w:rsid w:val="00272F1F"/>
    <w:rsid w:val="002736F0"/>
    <w:rsid w:val="00282D3C"/>
    <w:rsid w:val="0028572B"/>
    <w:rsid w:val="0028739B"/>
    <w:rsid w:val="00294B79"/>
    <w:rsid w:val="002A235C"/>
    <w:rsid w:val="002A5E54"/>
    <w:rsid w:val="002B1BC6"/>
    <w:rsid w:val="002B45C3"/>
    <w:rsid w:val="002E668C"/>
    <w:rsid w:val="002F579F"/>
    <w:rsid w:val="00304643"/>
    <w:rsid w:val="00311CF9"/>
    <w:rsid w:val="003158EC"/>
    <w:rsid w:val="00321181"/>
    <w:rsid w:val="003233B9"/>
    <w:rsid w:val="00336939"/>
    <w:rsid w:val="00345427"/>
    <w:rsid w:val="00356FB6"/>
    <w:rsid w:val="003622B2"/>
    <w:rsid w:val="003664ED"/>
    <w:rsid w:val="00375BAD"/>
    <w:rsid w:val="0038462A"/>
    <w:rsid w:val="003A5CBC"/>
    <w:rsid w:val="003A5E2B"/>
    <w:rsid w:val="003F762D"/>
    <w:rsid w:val="00401473"/>
    <w:rsid w:val="00415933"/>
    <w:rsid w:val="00430F24"/>
    <w:rsid w:val="00435EBD"/>
    <w:rsid w:val="00451B80"/>
    <w:rsid w:val="00455FD0"/>
    <w:rsid w:val="00463430"/>
    <w:rsid w:val="00466D02"/>
    <w:rsid w:val="00477263"/>
    <w:rsid w:val="0049501A"/>
    <w:rsid w:val="004A678E"/>
    <w:rsid w:val="004A7CF2"/>
    <w:rsid w:val="004B4633"/>
    <w:rsid w:val="004C4868"/>
    <w:rsid w:val="004F0167"/>
    <w:rsid w:val="005235DB"/>
    <w:rsid w:val="0052751E"/>
    <w:rsid w:val="00530EB0"/>
    <w:rsid w:val="005375AA"/>
    <w:rsid w:val="005409B9"/>
    <w:rsid w:val="00545EC2"/>
    <w:rsid w:val="0054734A"/>
    <w:rsid w:val="00557527"/>
    <w:rsid w:val="005A456B"/>
    <w:rsid w:val="005B06FB"/>
    <w:rsid w:val="005B0D68"/>
    <w:rsid w:val="005D049A"/>
    <w:rsid w:val="005D231A"/>
    <w:rsid w:val="005E4CCD"/>
    <w:rsid w:val="005F5231"/>
    <w:rsid w:val="006124E8"/>
    <w:rsid w:val="0061679F"/>
    <w:rsid w:val="00633C2B"/>
    <w:rsid w:val="0068263A"/>
    <w:rsid w:val="00683E0D"/>
    <w:rsid w:val="006D43CD"/>
    <w:rsid w:val="006F27CD"/>
    <w:rsid w:val="00701598"/>
    <w:rsid w:val="00702FA5"/>
    <w:rsid w:val="00712608"/>
    <w:rsid w:val="00713880"/>
    <w:rsid w:val="00714064"/>
    <w:rsid w:val="007200C7"/>
    <w:rsid w:val="00723883"/>
    <w:rsid w:val="00732D90"/>
    <w:rsid w:val="00736D84"/>
    <w:rsid w:val="00766048"/>
    <w:rsid w:val="0077159B"/>
    <w:rsid w:val="007902A8"/>
    <w:rsid w:val="007A37DA"/>
    <w:rsid w:val="007A52D1"/>
    <w:rsid w:val="007B1E18"/>
    <w:rsid w:val="007B3DC0"/>
    <w:rsid w:val="007D0DF7"/>
    <w:rsid w:val="007D3409"/>
    <w:rsid w:val="007D4010"/>
    <w:rsid w:val="007E24AA"/>
    <w:rsid w:val="007E2E8A"/>
    <w:rsid w:val="007E5349"/>
    <w:rsid w:val="007E5F97"/>
    <w:rsid w:val="007E67EC"/>
    <w:rsid w:val="007F2E6A"/>
    <w:rsid w:val="00804945"/>
    <w:rsid w:val="00831C30"/>
    <w:rsid w:val="008408E7"/>
    <w:rsid w:val="008446CE"/>
    <w:rsid w:val="00852630"/>
    <w:rsid w:val="0087326D"/>
    <w:rsid w:val="00873C1C"/>
    <w:rsid w:val="00873F55"/>
    <w:rsid w:val="008766C3"/>
    <w:rsid w:val="00891EAE"/>
    <w:rsid w:val="008921D4"/>
    <w:rsid w:val="00892EAE"/>
    <w:rsid w:val="00893C66"/>
    <w:rsid w:val="008A1C4E"/>
    <w:rsid w:val="008A2B76"/>
    <w:rsid w:val="008A46A2"/>
    <w:rsid w:val="008B4F73"/>
    <w:rsid w:val="008C7B00"/>
    <w:rsid w:val="008D2D3D"/>
    <w:rsid w:val="008D55C5"/>
    <w:rsid w:val="008E2591"/>
    <w:rsid w:val="00914A03"/>
    <w:rsid w:val="00915953"/>
    <w:rsid w:val="00915DEA"/>
    <w:rsid w:val="0091730A"/>
    <w:rsid w:val="00921837"/>
    <w:rsid w:val="0092386A"/>
    <w:rsid w:val="00923CC3"/>
    <w:rsid w:val="00931830"/>
    <w:rsid w:val="009450D8"/>
    <w:rsid w:val="00950820"/>
    <w:rsid w:val="00957098"/>
    <w:rsid w:val="009708D0"/>
    <w:rsid w:val="00972D26"/>
    <w:rsid w:val="009814D6"/>
    <w:rsid w:val="0099102E"/>
    <w:rsid w:val="009968CF"/>
    <w:rsid w:val="009A5118"/>
    <w:rsid w:val="009B2CBC"/>
    <w:rsid w:val="009C4E39"/>
    <w:rsid w:val="009C5BBA"/>
    <w:rsid w:val="009C6CB9"/>
    <w:rsid w:val="009C7D5E"/>
    <w:rsid w:val="009D03C6"/>
    <w:rsid w:val="009D2942"/>
    <w:rsid w:val="009D4189"/>
    <w:rsid w:val="009D75DF"/>
    <w:rsid w:val="009E6763"/>
    <w:rsid w:val="009E6DC8"/>
    <w:rsid w:val="009F5330"/>
    <w:rsid w:val="009F7F10"/>
    <w:rsid w:val="00A1597D"/>
    <w:rsid w:val="00A22790"/>
    <w:rsid w:val="00A26AB0"/>
    <w:rsid w:val="00A32401"/>
    <w:rsid w:val="00A34913"/>
    <w:rsid w:val="00A35F07"/>
    <w:rsid w:val="00A42E3A"/>
    <w:rsid w:val="00A70429"/>
    <w:rsid w:val="00AC2C97"/>
    <w:rsid w:val="00AD65F4"/>
    <w:rsid w:val="00AD69AA"/>
    <w:rsid w:val="00AE3FC3"/>
    <w:rsid w:val="00AE6725"/>
    <w:rsid w:val="00AE6BE0"/>
    <w:rsid w:val="00AF5966"/>
    <w:rsid w:val="00B02A13"/>
    <w:rsid w:val="00B10C6E"/>
    <w:rsid w:val="00B22016"/>
    <w:rsid w:val="00B23292"/>
    <w:rsid w:val="00B26D02"/>
    <w:rsid w:val="00B343A3"/>
    <w:rsid w:val="00B41E6D"/>
    <w:rsid w:val="00B54172"/>
    <w:rsid w:val="00B71C35"/>
    <w:rsid w:val="00B72BEC"/>
    <w:rsid w:val="00B73A82"/>
    <w:rsid w:val="00B76F4D"/>
    <w:rsid w:val="00BA4C0A"/>
    <w:rsid w:val="00BA797A"/>
    <w:rsid w:val="00BB0394"/>
    <w:rsid w:val="00BB2A32"/>
    <w:rsid w:val="00BB6484"/>
    <w:rsid w:val="00BC3920"/>
    <w:rsid w:val="00BC47AB"/>
    <w:rsid w:val="00BD045B"/>
    <w:rsid w:val="00BD0D45"/>
    <w:rsid w:val="00BD2AB1"/>
    <w:rsid w:val="00BD709A"/>
    <w:rsid w:val="00BE1FD4"/>
    <w:rsid w:val="00BE677A"/>
    <w:rsid w:val="00BE6A2E"/>
    <w:rsid w:val="00BF00A7"/>
    <w:rsid w:val="00BF33D9"/>
    <w:rsid w:val="00C11B10"/>
    <w:rsid w:val="00C15E40"/>
    <w:rsid w:val="00C338CA"/>
    <w:rsid w:val="00C460CB"/>
    <w:rsid w:val="00C50A0A"/>
    <w:rsid w:val="00C638D8"/>
    <w:rsid w:val="00C63D6B"/>
    <w:rsid w:val="00C70023"/>
    <w:rsid w:val="00C76B41"/>
    <w:rsid w:val="00C83525"/>
    <w:rsid w:val="00C84418"/>
    <w:rsid w:val="00CA1729"/>
    <w:rsid w:val="00CA1DAE"/>
    <w:rsid w:val="00CC4578"/>
    <w:rsid w:val="00CD0284"/>
    <w:rsid w:val="00CD160F"/>
    <w:rsid w:val="00CE0DA0"/>
    <w:rsid w:val="00CE1CCC"/>
    <w:rsid w:val="00CF030B"/>
    <w:rsid w:val="00CF5CE7"/>
    <w:rsid w:val="00CF5EF5"/>
    <w:rsid w:val="00D00E3E"/>
    <w:rsid w:val="00D13FC8"/>
    <w:rsid w:val="00D3442D"/>
    <w:rsid w:val="00D41D2D"/>
    <w:rsid w:val="00D73373"/>
    <w:rsid w:val="00D828E1"/>
    <w:rsid w:val="00D94E39"/>
    <w:rsid w:val="00DB10D2"/>
    <w:rsid w:val="00DB1DD4"/>
    <w:rsid w:val="00DB5F8C"/>
    <w:rsid w:val="00DB61B3"/>
    <w:rsid w:val="00DD0915"/>
    <w:rsid w:val="00DD1DFF"/>
    <w:rsid w:val="00DF0231"/>
    <w:rsid w:val="00E04C43"/>
    <w:rsid w:val="00E13E91"/>
    <w:rsid w:val="00E16D37"/>
    <w:rsid w:val="00E17E17"/>
    <w:rsid w:val="00E17F78"/>
    <w:rsid w:val="00E21B03"/>
    <w:rsid w:val="00E22D0F"/>
    <w:rsid w:val="00E31284"/>
    <w:rsid w:val="00E345BB"/>
    <w:rsid w:val="00E347E7"/>
    <w:rsid w:val="00E406F2"/>
    <w:rsid w:val="00E415BA"/>
    <w:rsid w:val="00E5666B"/>
    <w:rsid w:val="00E577DD"/>
    <w:rsid w:val="00E60895"/>
    <w:rsid w:val="00E613E1"/>
    <w:rsid w:val="00E72064"/>
    <w:rsid w:val="00E8433A"/>
    <w:rsid w:val="00E91110"/>
    <w:rsid w:val="00E9184C"/>
    <w:rsid w:val="00EA4E79"/>
    <w:rsid w:val="00EA5149"/>
    <w:rsid w:val="00EA6A3A"/>
    <w:rsid w:val="00EB02DF"/>
    <w:rsid w:val="00EC2B04"/>
    <w:rsid w:val="00EE1CF7"/>
    <w:rsid w:val="00EE6F45"/>
    <w:rsid w:val="00EF66B2"/>
    <w:rsid w:val="00F0497C"/>
    <w:rsid w:val="00F076D1"/>
    <w:rsid w:val="00F0770B"/>
    <w:rsid w:val="00F10653"/>
    <w:rsid w:val="00F14670"/>
    <w:rsid w:val="00F1617A"/>
    <w:rsid w:val="00F2033F"/>
    <w:rsid w:val="00F22DF5"/>
    <w:rsid w:val="00F257A3"/>
    <w:rsid w:val="00F303F4"/>
    <w:rsid w:val="00F413E7"/>
    <w:rsid w:val="00F56D2E"/>
    <w:rsid w:val="00F5790A"/>
    <w:rsid w:val="00F609CD"/>
    <w:rsid w:val="00F76B81"/>
    <w:rsid w:val="00FA4943"/>
    <w:rsid w:val="00FB6BD9"/>
    <w:rsid w:val="00FC0F9D"/>
    <w:rsid w:val="00FC3492"/>
    <w:rsid w:val="00FD518E"/>
    <w:rsid w:val="00FE1A35"/>
    <w:rsid w:val="00FE736A"/>
    <w:rsid w:val="00FE7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405DD-22D1-4269-A768-A2A5BC7D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8944</TotalTime>
  <Pages>5</Pages>
  <Words>1575</Words>
  <Characters>8983</Characters>
  <Application>Microsoft Office Word</Application>
  <DocSecurity>0</DocSecurity>
  <Lines>74</Lines>
  <Paragraphs>21</Paragraphs>
  <ScaleCrop>false</ScaleCrop>
  <Company>HUAWEI</Company>
  <LinksUpToDate>false</LinksUpToDate>
  <CharactersWithSpaces>10537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110</cp:revision>
  <dcterms:created xsi:type="dcterms:W3CDTF">2019-09-18T02:52:00Z</dcterms:created>
  <dcterms:modified xsi:type="dcterms:W3CDTF">2020-10-23T11:45:00Z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(3)M6fwCXC04G9klxQLXXX7W3FLqC3Ii0MGq109Vc5kUKSi0yTM4AchuA/FM/74Tj3tPgzJL7dj
euYxHatltAZIlevAhBzn8GETr0ZLKcds8pNO9K2A3/ktYBwTPf+5nt7u48yCGk4vYyi68uKd
6KaKUypkhU9u3nvxVcGhA3EOGUGpIoo4m/HRip9H0dLX6BWCkGsflR8gGCk2YHfE3VYh4quE
MfkqHMgW30ffQPscXQ</vt:lpwstr>
  </property>
  <property fmtid="{D5CDD505-2E9C-101B-9397-08002B2CF9AE}" pid="3" name="_2015_ms_pID_7253431">
    <vt:lpwstr>7lhgoBoGtivAPEASGSciIqZGFpO4Ae0hTSGFvElwvqf8RuSEt/tsdH
ZAYXnBUhOmPfbdfw7lPs8VLDmmkHLnDUMC1JZCCmlIeTuPr9/qX77K1PKM+w9YnxdHav5myS
wMK0LEkybZBbPD2bRjfDncZffo1YMyiji07sAW1gDH7IK6qG3w9Bin7lm0+v1ekX6u/rtsfd
nWvLmyoeBK0GsLRoLRZ5vUmPy51ZEYnhIUIH</vt:lpwstr>
  </property>
  <property fmtid="{D5CDD505-2E9C-101B-9397-08002B2CF9AE}" pid="4" name="_2015_ms_pID_7253432">
    <vt:lpwstr>ScmH78nnYID9nksPBmOW6YM=</vt:lpwstr>
  </property>
</Properties>
</file>