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75AFBB" w14:textId="2495BC24"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3671D">
        <w:rPr>
          <w:noProof w:val="0"/>
          <w:sz w:val="24"/>
        </w:rPr>
        <w:t xml:space="preserve"> #8</w:t>
      </w:r>
      <w:r w:rsidR="00F437DA">
        <w:rPr>
          <w:noProof w:val="0"/>
          <w:sz w:val="24"/>
        </w:rPr>
        <w:t>1</w:t>
      </w:r>
      <w:r w:rsidRPr="0016316A">
        <w:rPr>
          <w:rFonts w:cs="Arial"/>
          <w:bCs/>
          <w:noProof w:val="0"/>
          <w:sz w:val="24"/>
        </w:rPr>
        <w:tab/>
      </w:r>
      <w:r w:rsidR="00E622D3">
        <w:rPr>
          <w:rFonts w:cs="Arial"/>
          <w:bCs/>
          <w:noProof w:val="0"/>
          <w:sz w:val="24"/>
        </w:rPr>
        <w:t>R4</w:t>
      </w:r>
      <w:r w:rsidR="00B3671D">
        <w:rPr>
          <w:rFonts w:cs="Arial"/>
          <w:bCs/>
          <w:noProof w:val="0"/>
          <w:sz w:val="24"/>
        </w:rPr>
        <w:t>-16</w:t>
      </w:r>
      <w:r w:rsidR="00387082">
        <w:rPr>
          <w:rFonts w:cs="Arial"/>
          <w:bCs/>
          <w:noProof w:val="0"/>
          <w:sz w:val="24"/>
        </w:rPr>
        <w:t>09219</w:t>
      </w:r>
    </w:p>
    <w:p w14:paraId="7FE3607D" w14:textId="42CF0C54" w:rsidR="00A45FE2" w:rsidRDefault="00F437DA" w:rsidP="00A45FE2">
      <w:pPr>
        <w:pStyle w:val="Header"/>
        <w:tabs>
          <w:tab w:val="right" w:pos="9639"/>
        </w:tabs>
        <w:rPr>
          <w:noProof w:val="0"/>
          <w:sz w:val="24"/>
        </w:rPr>
      </w:pPr>
      <w:r>
        <w:rPr>
          <w:noProof w:val="0"/>
          <w:sz w:val="24"/>
        </w:rPr>
        <w:t>Reno, Nevada, USA</w:t>
      </w:r>
      <w:r w:rsidR="00B3671D" w:rsidRPr="00B3671D">
        <w:rPr>
          <w:noProof w:val="0"/>
          <w:sz w:val="24"/>
        </w:rPr>
        <w:t xml:space="preserve">, </w:t>
      </w:r>
      <w:r>
        <w:rPr>
          <w:noProof w:val="0"/>
          <w:sz w:val="24"/>
        </w:rPr>
        <w:t>November 14 – 18</w:t>
      </w:r>
      <w:r w:rsidR="00CB69BA">
        <w:rPr>
          <w:noProof w:val="0"/>
          <w:sz w:val="24"/>
        </w:rPr>
        <w:t>,</w:t>
      </w:r>
      <w:r w:rsidR="00B3671D">
        <w:rPr>
          <w:noProof w:val="0"/>
          <w:sz w:val="24"/>
        </w:rPr>
        <w:t xml:space="preserve"> </w:t>
      </w:r>
      <w:r w:rsidR="00B3671D" w:rsidRPr="00B3671D">
        <w:rPr>
          <w:noProof w:val="0"/>
          <w:sz w:val="24"/>
        </w:rPr>
        <w:t>2016 </w:t>
      </w:r>
    </w:p>
    <w:p w14:paraId="702D7FBB" w14:textId="77777777" w:rsidR="00F437DA" w:rsidRDefault="00F437DA" w:rsidP="00A45FE2">
      <w:pPr>
        <w:pStyle w:val="Header"/>
        <w:tabs>
          <w:tab w:val="right" w:pos="9639"/>
        </w:tabs>
        <w:rPr>
          <w:noProof w:val="0"/>
          <w:sz w:val="24"/>
        </w:rPr>
      </w:pP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2C523F2E" w:rsidR="00CD4C7B" w:rsidRPr="00B266B0" w:rsidRDefault="00CD4C7B" w:rsidP="00CD4C7B">
      <w:pPr>
        <w:pStyle w:val="CRCoverPage"/>
        <w:tabs>
          <w:tab w:val="left" w:pos="1985"/>
        </w:tabs>
        <w:rPr>
          <w:rFonts w:cs="Arial"/>
          <w:b/>
          <w:bCs/>
          <w:sz w:val="24"/>
          <w:lang w:eastAsia="ja-JP"/>
        </w:rPr>
      </w:pPr>
      <w:r w:rsidRPr="00840943">
        <w:rPr>
          <w:rFonts w:cs="Arial"/>
          <w:b/>
          <w:bCs/>
          <w:sz w:val="24"/>
        </w:rPr>
        <w:t>Agenda item:</w:t>
      </w:r>
      <w:r w:rsidRPr="00840943">
        <w:rPr>
          <w:rFonts w:cs="Arial"/>
          <w:b/>
          <w:bCs/>
          <w:sz w:val="24"/>
        </w:rPr>
        <w:tab/>
      </w:r>
      <w:r w:rsidR="00FC582B" w:rsidRPr="00840943">
        <w:rPr>
          <w:rFonts w:cs="Arial"/>
          <w:b/>
          <w:bCs/>
          <w:sz w:val="24"/>
        </w:rPr>
        <w:t>11.5.1</w:t>
      </w:r>
    </w:p>
    <w:p w14:paraId="7C0723AD" w14:textId="47D9473D"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38F0AED7" w14:textId="1B354183"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524C2E">
        <w:rPr>
          <w:rFonts w:ascii="Arial" w:hAnsi="Arial" w:cs="Arial"/>
          <w:b/>
          <w:bCs/>
          <w:sz w:val="24"/>
        </w:rPr>
        <w:t xml:space="preserve">Scenarios and assumptions for NR in-band emission, </w:t>
      </w:r>
      <w:r w:rsidR="007D5827">
        <w:rPr>
          <w:rFonts w:ascii="Arial" w:hAnsi="Arial" w:cs="Arial"/>
          <w:b/>
          <w:bCs/>
          <w:sz w:val="24"/>
        </w:rPr>
        <w:t xml:space="preserve">EVM and in-band </w:t>
      </w:r>
      <w:r w:rsidR="00524C2E">
        <w:rPr>
          <w:rFonts w:ascii="Arial" w:hAnsi="Arial" w:cs="Arial"/>
          <w:b/>
          <w:bCs/>
          <w:sz w:val="24"/>
        </w:rPr>
        <w:t xml:space="preserve">selectivity requirements </w:t>
      </w:r>
      <w:r w:rsidR="003E59BE">
        <w:rPr>
          <w:rFonts w:ascii="Arial" w:hAnsi="Arial" w:cs="Arial"/>
          <w:b/>
          <w:bCs/>
          <w:sz w:val="24"/>
        </w:rPr>
        <w:t>with different numerologies</w:t>
      </w:r>
    </w:p>
    <w:p w14:paraId="62346435"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7F190887" w14:textId="1D6125AB" w:rsidR="005711AE" w:rsidRPr="00E245FD" w:rsidRDefault="007D5827" w:rsidP="00171463">
      <w:pPr>
        <w:spacing w:after="0"/>
        <w:rPr>
          <w:bCs/>
          <w:sz w:val="18"/>
          <w:szCs w:val="18"/>
        </w:rPr>
      </w:pPr>
      <w:r>
        <w:rPr>
          <w:bCs/>
          <w:sz w:val="18"/>
          <w:szCs w:val="18"/>
        </w:rPr>
        <w:t>In this cont</w:t>
      </w:r>
      <w:r w:rsidR="003E59BE">
        <w:rPr>
          <w:bCs/>
          <w:sz w:val="18"/>
          <w:szCs w:val="18"/>
        </w:rPr>
        <w:t>ribution we discuss and propose</w:t>
      </w:r>
      <w:r>
        <w:rPr>
          <w:bCs/>
          <w:sz w:val="18"/>
          <w:szCs w:val="18"/>
        </w:rPr>
        <w:t xml:space="preserve"> scenarios and assumptions for</w:t>
      </w:r>
      <w:r w:rsidR="00A62DA8">
        <w:rPr>
          <w:bCs/>
          <w:sz w:val="18"/>
          <w:szCs w:val="18"/>
        </w:rPr>
        <w:t xml:space="preserve"> developing the first phase NR requirements for</w:t>
      </w:r>
      <w:r>
        <w:rPr>
          <w:bCs/>
          <w:sz w:val="18"/>
          <w:szCs w:val="18"/>
          <w:lang w:val="en-US"/>
        </w:rPr>
        <w:t xml:space="preserve"> DL and UL in-band emission, EVM and in-b</w:t>
      </w:r>
      <w:r w:rsidR="003E59BE">
        <w:rPr>
          <w:bCs/>
          <w:sz w:val="18"/>
          <w:szCs w:val="18"/>
          <w:lang w:val="en-US"/>
        </w:rPr>
        <w:t xml:space="preserve">and Rx selectivity requirements when </w:t>
      </w:r>
      <w:r w:rsidR="003E59BE">
        <w:rPr>
          <w:bCs/>
          <w:sz w:val="18"/>
          <w:szCs w:val="18"/>
        </w:rPr>
        <w:t>different numerologies are used in frequency domain and thus, good spectral confinement requirements are needed.</w:t>
      </w:r>
      <w:r w:rsidR="00A41547">
        <w:rPr>
          <w:bCs/>
          <w:sz w:val="18"/>
          <w:szCs w:val="18"/>
        </w:rPr>
        <w:t xml:space="preserve"> The corresponding requirements are discussed and proposed in the contributions [2] – [5]. </w:t>
      </w:r>
    </w:p>
    <w:p w14:paraId="1FA1617C" w14:textId="77777777" w:rsidR="00CD4C7B" w:rsidRPr="006E13D1" w:rsidRDefault="00C608C8" w:rsidP="00CD4C7B">
      <w:pPr>
        <w:pStyle w:val="Heading1"/>
      </w:pPr>
      <w:r>
        <w:t>2</w:t>
      </w:r>
      <w:r>
        <w:tab/>
        <w:t>Discussion</w:t>
      </w:r>
    </w:p>
    <w:p w14:paraId="7FD988D8" w14:textId="417C5ED0" w:rsidR="00450BF1" w:rsidRDefault="00A10F35" w:rsidP="006A28E7">
      <w:pPr>
        <w:spacing w:after="0"/>
        <w:rPr>
          <w:sz w:val="18"/>
          <w:lang w:val="en-US"/>
        </w:rPr>
      </w:pPr>
      <w:r>
        <w:rPr>
          <w:sz w:val="18"/>
        </w:rPr>
        <w:t xml:space="preserve">One of the use cases, where frequency domain multiplexing of different numerologies on the same NR carrier could become relevant, is multiplexing of eMBB and IoT services. </w:t>
      </w:r>
      <w:r w:rsidR="001C75B0">
        <w:rPr>
          <w:sz w:val="18"/>
          <w:lang w:val="en-US"/>
        </w:rPr>
        <w:t xml:space="preserve">Considering the following RAN1#86bis agreements that </w:t>
      </w:r>
      <w:r w:rsidR="000B2938">
        <w:rPr>
          <w:sz w:val="18"/>
          <w:lang w:val="en-US"/>
        </w:rPr>
        <w:t xml:space="preserve">eMBB and URLLC can be multiplexed on the same NR carrier </w:t>
      </w:r>
      <w:r w:rsidR="001C75B0">
        <w:rPr>
          <w:sz w:val="18"/>
          <w:lang w:val="en-US"/>
        </w:rPr>
        <w:t>using the same sub-carrier spacing with the same CP overhead</w:t>
      </w:r>
      <w:r w:rsidR="000B2938">
        <w:rPr>
          <w:sz w:val="18"/>
          <w:lang w:val="en-US"/>
        </w:rPr>
        <w:t xml:space="preserve">, </w:t>
      </w:r>
      <w:r w:rsidR="0091558A">
        <w:rPr>
          <w:sz w:val="18"/>
          <w:lang w:val="en-US"/>
        </w:rPr>
        <w:t>we do not see that</w:t>
      </w:r>
      <w:r>
        <w:rPr>
          <w:sz w:val="18"/>
          <w:lang w:val="en-US"/>
        </w:rPr>
        <w:t xml:space="preserve"> the frequency multiplexing of eMBB and URLLC</w:t>
      </w:r>
      <w:r w:rsidR="0091558A">
        <w:rPr>
          <w:sz w:val="18"/>
          <w:lang w:val="en-US"/>
        </w:rPr>
        <w:t xml:space="preserve"> services</w:t>
      </w:r>
      <w:r w:rsidR="001D443D">
        <w:rPr>
          <w:sz w:val="18"/>
          <w:lang w:val="en-US"/>
        </w:rPr>
        <w:t xml:space="preserve"> to </w:t>
      </w:r>
      <w:r w:rsidR="0091558A">
        <w:rPr>
          <w:sz w:val="18"/>
          <w:lang w:val="en-US"/>
        </w:rPr>
        <w:t>the same NR carrier</w:t>
      </w:r>
      <w:r w:rsidR="001D443D">
        <w:rPr>
          <w:sz w:val="18"/>
          <w:lang w:val="en-US"/>
        </w:rPr>
        <w:t xml:space="preserve"> is needed at least initially in NR</w:t>
      </w:r>
      <w:r w:rsidR="0091558A">
        <w:rPr>
          <w:sz w:val="18"/>
          <w:lang w:val="en-US"/>
        </w:rPr>
        <w:t>.</w:t>
      </w:r>
      <w:r w:rsidR="001D443D">
        <w:rPr>
          <w:sz w:val="18"/>
          <w:lang w:val="en-US"/>
        </w:rPr>
        <w:t xml:space="preserve"> </w:t>
      </w:r>
    </w:p>
    <w:p w14:paraId="294B0BEC" w14:textId="77777777" w:rsidR="00450BF1" w:rsidRDefault="00450BF1" w:rsidP="006A28E7">
      <w:pPr>
        <w:spacing w:after="0"/>
        <w:rPr>
          <w:sz w:val="18"/>
          <w:lang w:val="en-US"/>
        </w:rPr>
      </w:pPr>
    </w:p>
    <w:p w14:paraId="747B1FC3" w14:textId="77777777" w:rsidR="00450BF1" w:rsidRPr="00BB31E4" w:rsidRDefault="00450BF1" w:rsidP="00450BF1">
      <w:pPr>
        <w:spacing w:after="0"/>
        <w:ind w:left="284"/>
        <w:rPr>
          <w:rFonts w:ascii="Times" w:eastAsia="MS Mincho" w:hAnsi="Times"/>
          <w:i/>
          <w:sz w:val="18"/>
          <w:szCs w:val="18"/>
          <w:lang w:val="en-US" w:eastAsia="ja-JP"/>
        </w:rPr>
      </w:pPr>
      <w:r w:rsidRPr="00BB31E4">
        <w:rPr>
          <w:rFonts w:ascii="Times" w:eastAsia="MS Mincho" w:hAnsi="Times" w:hint="eastAsia"/>
          <w:i/>
          <w:sz w:val="18"/>
          <w:szCs w:val="18"/>
          <w:highlight w:val="green"/>
          <w:lang w:val="en-US" w:eastAsia="ja-JP"/>
        </w:rPr>
        <w:t>Agreements:</w:t>
      </w:r>
    </w:p>
    <w:p w14:paraId="327E7453" w14:textId="77777777" w:rsidR="00450BF1" w:rsidRPr="00BB31E4" w:rsidRDefault="00450BF1" w:rsidP="00450BF1">
      <w:pPr>
        <w:numPr>
          <w:ilvl w:val="0"/>
          <w:numId w:val="28"/>
        </w:numPr>
        <w:overflowPunct w:val="0"/>
        <w:autoSpaceDE w:val="0"/>
        <w:autoSpaceDN w:val="0"/>
        <w:adjustRightInd w:val="0"/>
        <w:spacing w:after="0"/>
        <w:ind w:left="1004"/>
        <w:contextualSpacing/>
        <w:textAlignment w:val="baseline"/>
        <w:rPr>
          <w:rFonts w:eastAsia="MS Mincho"/>
          <w:i/>
          <w:sz w:val="18"/>
          <w:szCs w:val="18"/>
          <w:lang w:val="en-US" w:eastAsia="ja-JP"/>
        </w:rPr>
      </w:pPr>
      <w:r w:rsidRPr="00BB31E4">
        <w:rPr>
          <w:rFonts w:eastAsia="MS Mincho"/>
          <w:i/>
          <w:sz w:val="18"/>
          <w:szCs w:val="18"/>
          <w:lang w:val="en-US" w:eastAsia="ja-JP"/>
        </w:rPr>
        <w:t xml:space="preserve">From network perspective, multiplexing </w:t>
      </w:r>
      <w:r w:rsidRPr="00BB31E4">
        <w:rPr>
          <w:rFonts w:eastAsia="MS Mincho" w:hint="eastAsia"/>
          <w:i/>
          <w:sz w:val="18"/>
          <w:szCs w:val="18"/>
          <w:lang w:val="en-US" w:eastAsia="ja-JP"/>
        </w:rPr>
        <w:t xml:space="preserve">of transmissions with different latency and/or reliability requirements for eMBB/URLLC </w:t>
      </w:r>
      <w:r w:rsidRPr="00BB31E4">
        <w:rPr>
          <w:rFonts w:eastAsia="MS Mincho"/>
          <w:i/>
          <w:sz w:val="18"/>
          <w:szCs w:val="18"/>
          <w:lang w:val="en-US" w:eastAsia="ja-JP"/>
        </w:rPr>
        <w:t xml:space="preserve">in DL is supported by  </w:t>
      </w:r>
    </w:p>
    <w:p w14:paraId="384170FD" w14:textId="77777777" w:rsidR="00450BF1" w:rsidRPr="00BB31E4" w:rsidRDefault="00450BF1" w:rsidP="00450BF1">
      <w:pPr>
        <w:numPr>
          <w:ilvl w:val="1"/>
          <w:numId w:val="28"/>
        </w:numPr>
        <w:overflowPunct w:val="0"/>
        <w:autoSpaceDE w:val="0"/>
        <w:autoSpaceDN w:val="0"/>
        <w:adjustRightInd w:val="0"/>
        <w:spacing w:after="0"/>
        <w:ind w:left="1724"/>
        <w:contextualSpacing/>
        <w:textAlignment w:val="baseline"/>
        <w:rPr>
          <w:rFonts w:eastAsia="MS Mincho"/>
          <w:i/>
          <w:sz w:val="18"/>
          <w:szCs w:val="18"/>
          <w:lang w:val="en-US" w:eastAsia="ja-JP"/>
        </w:rPr>
      </w:pPr>
      <w:r w:rsidRPr="00BB31E4">
        <w:rPr>
          <w:rFonts w:eastAsia="MS Mincho"/>
          <w:i/>
          <w:sz w:val="18"/>
          <w:szCs w:val="18"/>
          <w:lang w:val="en-US" w:eastAsia="ja-JP"/>
        </w:rPr>
        <w:t xml:space="preserve">Using </w:t>
      </w:r>
      <w:r w:rsidRPr="00BB31E4">
        <w:rPr>
          <w:rFonts w:eastAsia="MS Mincho" w:hint="eastAsia"/>
          <w:i/>
          <w:sz w:val="18"/>
          <w:szCs w:val="18"/>
          <w:lang w:val="en-US" w:eastAsia="ja-JP"/>
        </w:rPr>
        <w:t xml:space="preserve">the </w:t>
      </w:r>
      <w:r w:rsidRPr="00BB31E4">
        <w:rPr>
          <w:rFonts w:eastAsia="MS Mincho"/>
          <w:i/>
          <w:sz w:val="18"/>
          <w:szCs w:val="18"/>
          <w:lang w:val="en-US" w:eastAsia="ja-JP"/>
        </w:rPr>
        <w:t>same sub-carrier spacing</w:t>
      </w:r>
      <w:r w:rsidRPr="00BB31E4">
        <w:rPr>
          <w:rFonts w:eastAsia="MS Mincho" w:hint="eastAsia"/>
          <w:i/>
          <w:sz w:val="18"/>
          <w:szCs w:val="18"/>
          <w:lang w:val="en-US" w:eastAsia="ja-JP"/>
        </w:rPr>
        <w:t xml:space="preserve"> with the same CP overhead</w:t>
      </w:r>
    </w:p>
    <w:p w14:paraId="419875C6" w14:textId="77777777" w:rsidR="00450BF1" w:rsidRPr="00BB31E4" w:rsidRDefault="00450BF1" w:rsidP="00450BF1">
      <w:pPr>
        <w:numPr>
          <w:ilvl w:val="2"/>
          <w:numId w:val="28"/>
        </w:numPr>
        <w:overflowPunct w:val="0"/>
        <w:autoSpaceDE w:val="0"/>
        <w:autoSpaceDN w:val="0"/>
        <w:adjustRightInd w:val="0"/>
        <w:spacing w:after="0"/>
        <w:ind w:left="2444"/>
        <w:contextualSpacing/>
        <w:textAlignment w:val="baseline"/>
        <w:rPr>
          <w:rFonts w:eastAsia="MS Mincho"/>
          <w:i/>
          <w:sz w:val="18"/>
          <w:szCs w:val="18"/>
          <w:lang w:val="en-US" w:eastAsia="ja-JP"/>
        </w:rPr>
      </w:pPr>
      <w:r w:rsidRPr="00BB31E4">
        <w:rPr>
          <w:rFonts w:eastAsia="MS Mincho" w:hint="eastAsia"/>
          <w:i/>
          <w:sz w:val="18"/>
          <w:szCs w:val="18"/>
          <w:lang w:val="en-US" w:eastAsia="ja-JP"/>
        </w:rPr>
        <w:t>FFS: different CP overhead</w:t>
      </w:r>
    </w:p>
    <w:p w14:paraId="10EAFAEF" w14:textId="77777777" w:rsidR="00450BF1" w:rsidRPr="00BB31E4" w:rsidRDefault="00450BF1" w:rsidP="00450BF1">
      <w:pPr>
        <w:numPr>
          <w:ilvl w:val="1"/>
          <w:numId w:val="28"/>
        </w:numPr>
        <w:overflowPunct w:val="0"/>
        <w:autoSpaceDE w:val="0"/>
        <w:autoSpaceDN w:val="0"/>
        <w:adjustRightInd w:val="0"/>
        <w:spacing w:after="0"/>
        <w:ind w:left="1724"/>
        <w:contextualSpacing/>
        <w:textAlignment w:val="baseline"/>
        <w:rPr>
          <w:rFonts w:eastAsia="MS Mincho"/>
          <w:i/>
          <w:sz w:val="18"/>
          <w:szCs w:val="18"/>
          <w:lang w:val="en-US" w:eastAsia="ja-JP"/>
        </w:rPr>
      </w:pPr>
      <w:r w:rsidRPr="00BB31E4">
        <w:rPr>
          <w:rFonts w:eastAsia="MS Mincho"/>
          <w:i/>
          <w:sz w:val="18"/>
          <w:szCs w:val="18"/>
          <w:lang w:val="en-US" w:eastAsia="ja-JP"/>
        </w:rPr>
        <w:t>Using different sub-carrier spacing</w:t>
      </w:r>
      <w:r w:rsidRPr="00BB31E4">
        <w:rPr>
          <w:rFonts w:eastAsia="MS Mincho" w:hint="eastAsia"/>
          <w:i/>
          <w:sz w:val="18"/>
          <w:szCs w:val="18"/>
          <w:lang w:val="en-US" w:eastAsia="ja-JP"/>
        </w:rPr>
        <w:t xml:space="preserve"> </w:t>
      </w:r>
    </w:p>
    <w:p w14:paraId="21A959AD" w14:textId="77777777" w:rsidR="00450BF1" w:rsidRPr="00BB31E4" w:rsidRDefault="00450BF1" w:rsidP="00450BF1">
      <w:pPr>
        <w:numPr>
          <w:ilvl w:val="2"/>
          <w:numId w:val="28"/>
        </w:numPr>
        <w:overflowPunct w:val="0"/>
        <w:autoSpaceDE w:val="0"/>
        <w:autoSpaceDN w:val="0"/>
        <w:adjustRightInd w:val="0"/>
        <w:spacing w:after="0"/>
        <w:ind w:left="2444"/>
        <w:contextualSpacing/>
        <w:textAlignment w:val="baseline"/>
        <w:rPr>
          <w:rFonts w:eastAsia="MS Mincho"/>
          <w:i/>
          <w:sz w:val="18"/>
          <w:szCs w:val="18"/>
          <w:lang w:val="en-US" w:eastAsia="ja-JP"/>
        </w:rPr>
      </w:pPr>
      <w:r w:rsidRPr="00BB31E4">
        <w:rPr>
          <w:rFonts w:eastAsia="MS Mincho" w:hint="eastAsia"/>
          <w:i/>
          <w:sz w:val="18"/>
          <w:szCs w:val="18"/>
          <w:lang w:val="en-US" w:eastAsia="ja-JP"/>
        </w:rPr>
        <w:t>FFS: CP overhead</w:t>
      </w:r>
    </w:p>
    <w:p w14:paraId="78E1F3D2" w14:textId="77777777" w:rsidR="00450BF1" w:rsidRPr="00BB31E4" w:rsidRDefault="00450BF1" w:rsidP="00450BF1">
      <w:pPr>
        <w:numPr>
          <w:ilvl w:val="1"/>
          <w:numId w:val="28"/>
        </w:numPr>
        <w:overflowPunct w:val="0"/>
        <w:autoSpaceDE w:val="0"/>
        <w:autoSpaceDN w:val="0"/>
        <w:adjustRightInd w:val="0"/>
        <w:spacing w:after="0"/>
        <w:ind w:left="1724" w:hanging="357"/>
        <w:contextualSpacing/>
        <w:textAlignment w:val="baseline"/>
        <w:rPr>
          <w:rFonts w:eastAsia="MS Mincho"/>
          <w:i/>
          <w:sz w:val="18"/>
          <w:szCs w:val="18"/>
          <w:lang w:val="en-US" w:eastAsia="ja-JP"/>
        </w:rPr>
      </w:pPr>
      <w:r w:rsidRPr="00BB31E4">
        <w:rPr>
          <w:rFonts w:eastAsia="MS Mincho" w:hint="eastAsia"/>
          <w:i/>
          <w:sz w:val="18"/>
          <w:szCs w:val="18"/>
          <w:lang w:val="en-US" w:eastAsia="ja-JP"/>
        </w:rPr>
        <w:t>NR supports b</w:t>
      </w:r>
      <w:r w:rsidRPr="00BB31E4">
        <w:rPr>
          <w:rFonts w:eastAsia="MS Mincho"/>
          <w:i/>
          <w:sz w:val="18"/>
          <w:szCs w:val="18"/>
          <w:lang w:val="en-US" w:eastAsia="ja-JP"/>
        </w:rPr>
        <w:t>oth approaches</w:t>
      </w:r>
      <w:r w:rsidRPr="00BB31E4">
        <w:rPr>
          <w:rFonts w:eastAsia="MS Mincho" w:hint="eastAsia"/>
          <w:i/>
          <w:sz w:val="18"/>
          <w:szCs w:val="18"/>
          <w:lang w:val="en-US" w:eastAsia="ja-JP"/>
        </w:rPr>
        <w:t xml:space="preserve"> by specification</w:t>
      </w:r>
    </w:p>
    <w:p w14:paraId="0F53C56A" w14:textId="77777777" w:rsidR="00450BF1" w:rsidRPr="00BB31E4" w:rsidRDefault="00450BF1" w:rsidP="00450BF1">
      <w:pPr>
        <w:numPr>
          <w:ilvl w:val="0"/>
          <w:numId w:val="28"/>
        </w:numPr>
        <w:overflowPunct w:val="0"/>
        <w:autoSpaceDE w:val="0"/>
        <w:autoSpaceDN w:val="0"/>
        <w:adjustRightInd w:val="0"/>
        <w:spacing w:after="0"/>
        <w:ind w:left="1004" w:hanging="357"/>
        <w:contextualSpacing/>
        <w:textAlignment w:val="baseline"/>
        <w:rPr>
          <w:rFonts w:eastAsia="MS Mincho"/>
          <w:i/>
          <w:sz w:val="18"/>
          <w:szCs w:val="18"/>
          <w:lang w:val="en-US" w:eastAsia="ja-JP"/>
        </w:rPr>
      </w:pPr>
      <w:r w:rsidRPr="00BB31E4">
        <w:rPr>
          <w:rFonts w:eastAsia="MS Mincho"/>
          <w:i/>
          <w:sz w:val="18"/>
          <w:szCs w:val="18"/>
          <w:lang w:eastAsia="ja-JP"/>
        </w:rPr>
        <w:t xml:space="preserve">NR should </w:t>
      </w:r>
      <w:r w:rsidRPr="00BB31E4">
        <w:rPr>
          <w:rFonts w:eastAsia="MS Mincho" w:hint="eastAsia"/>
          <w:i/>
          <w:sz w:val="18"/>
          <w:szCs w:val="18"/>
          <w:lang w:eastAsia="ja-JP"/>
        </w:rPr>
        <w:t>support</w:t>
      </w:r>
      <w:r w:rsidRPr="00BB31E4">
        <w:rPr>
          <w:rFonts w:eastAsia="MS Mincho"/>
          <w:i/>
          <w:sz w:val="18"/>
          <w:szCs w:val="18"/>
          <w:lang w:eastAsia="ja-JP"/>
        </w:rPr>
        <w:t xml:space="preserve"> dynamic resource sharing between </w:t>
      </w:r>
      <w:r w:rsidRPr="00BB31E4">
        <w:rPr>
          <w:rFonts w:eastAsia="MS Mincho" w:hint="eastAsia"/>
          <w:i/>
          <w:sz w:val="18"/>
          <w:szCs w:val="18"/>
          <w:lang w:val="en-US" w:eastAsia="ja-JP"/>
        </w:rPr>
        <w:t>different latency and/or reliability requirements for eMBB/URLLC</w:t>
      </w:r>
      <w:r w:rsidRPr="00BB31E4">
        <w:rPr>
          <w:rFonts w:eastAsia="MS Mincho"/>
          <w:i/>
          <w:sz w:val="18"/>
          <w:szCs w:val="18"/>
          <w:lang w:eastAsia="ja-JP"/>
        </w:rPr>
        <w:t xml:space="preserve"> in DL </w:t>
      </w:r>
    </w:p>
    <w:p w14:paraId="1BC92C62" w14:textId="77777777" w:rsidR="00450BF1" w:rsidRDefault="00450BF1" w:rsidP="00450BF1">
      <w:pPr>
        <w:spacing w:after="0"/>
        <w:rPr>
          <w:sz w:val="18"/>
          <w:lang w:val="en-US"/>
        </w:rPr>
      </w:pPr>
    </w:p>
    <w:p w14:paraId="3F15329A" w14:textId="77777777" w:rsidR="00450BF1" w:rsidRDefault="00450BF1" w:rsidP="006A28E7">
      <w:pPr>
        <w:spacing w:after="0"/>
        <w:rPr>
          <w:sz w:val="18"/>
          <w:lang w:val="en-US"/>
        </w:rPr>
      </w:pPr>
    </w:p>
    <w:p w14:paraId="0DBFF861" w14:textId="529EDB31" w:rsidR="00AB4D6C" w:rsidRPr="00BB31E4" w:rsidRDefault="001D443D" w:rsidP="006A28E7">
      <w:pPr>
        <w:spacing w:after="0"/>
        <w:rPr>
          <w:sz w:val="18"/>
          <w:lang w:val="en-US"/>
        </w:rPr>
      </w:pPr>
      <w:r w:rsidRPr="00BB31E4">
        <w:rPr>
          <w:sz w:val="18"/>
          <w:lang w:val="en-US"/>
        </w:rPr>
        <w:t>On the other hand, RAN#73 down-prioritized</w:t>
      </w:r>
      <w:r w:rsidR="00487DA4" w:rsidRPr="00BB31E4">
        <w:rPr>
          <w:sz w:val="18"/>
          <w:lang w:val="en-US"/>
        </w:rPr>
        <w:t xml:space="preserve"> mIoT work in the NR study apart from the forward compatibility aspects [6].</w:t>
      </w:r>
      <w:r w:rsidRPr="00BB31E4">
        <w:rPr>
          <w:sz w:val="18"/>
          <w:lang w:val="en-US"/>
        </w:rPr>
        <w:t xml:space="preserve"> </w:t>
      </w:r>
      <w:r w:rsidR="0091558A" w:rsidRPr="00BB31E4">
        <w:rPr>
          <w:sz w:val="18"/>
          <w:lang w:val="en-US"/>
        </w:rPr>
        <w:t xml:space="preserve"> </w:t>
      </w:r>
      <w:r w:rsidR="00487DA4" w:rsidRPr="00BB31E4">
        <w:rPr>
          <w:sz w:val="18"/>
          <w:lang w:val="en-US"/>
        </w:rPr>
        <w:t xml:space="preserve">In order to ensure forward compatibility for mIoT, </w:t>
      </w:r>
      <w:r w:rsidR="0091558A" w:rsidRPr="00BB31E4">
        <w:rPr>
          <w:sz w:val="18"/>
          <w:lang w:val="en-US"/>
        </w:rPr>
        <w:t xml:space="preserve">we </w:t>
      </w:r>
      <w:r w:rsidR="000B2938" w:rsidRPr="00BB31E4">
        <w:rPr>
          <w:sz w:val="18"/>
          <w:lang w:val="en-US"/>
        </w:rPr>
        <w:t>see t</w:t>
      </w:r>
      <w:r w:rsidR="0091558A" w:rsidRPr="00BB31E4">
        <w:rPr>
          <w:sz w:val="18"/>
          <w:lang w:val="en-US"/>
        </w:rPr>
        <w:t xml:space="preserve">hat it would be beneficial if </w:t>
      </w:r>
      <w:r w:rsidR="000B2938" w:rsidRPr="00BB31E4">
        <w:rPr>
          <w:sz w:val="18"/>
          <w:lang w:val="en-US"/>
        </w:rPr>
        <w:t xml:space="preserve">RAN4 </w:t>
      </w:r>
      <w:r w:rsidR="0091558A" w:rsidRPr="00BB31E4">
        <w:rPr>
          <w:sz w:val="18"/>
          <w:lang w:val="en-US"/>
        </w:rPr>
        <w:t xml:space="preserve">also </w:t>
      </w:r>
      <w:r w:rsidR="000B2938" w:rsidRPr="00BB31E4">
        <w:rPr>
          <w:sz w:val="18"/>
          <w:lang w:val="en-US"/>
        </w:rPr>
        <w:t>focus</w:t>
      </w:r>
      <w:r w:rsidR="00AB4D6C" w:rsidRPr="00BB31E4">
        <w:rPr>
          <w:sz w:val="18"/>
          <w:lang w:val="en-US"/>
        </w:rPr>
        <w:t>e</w:t>
      </w:r>
      <w:r w:rsidR="0091558A" w:rsidRPr="00BB31E4">
        <w:rPr>
          <w:sz w:val="18"/>
          <w:lang w:val="en-US"/>
        </w:rPr>
        <w:t>d</w:t>
      </w:r>
      <w:r w:rsidR="000B2938" w:rsidRPr="00BB31E4">
        <w:rPr>
          <w:sz w:val="18"/>
          <w:lang w:val="en-US"/>
        </w:rPr>
        <w:t xml:space="preserve"> on </w:t>
      </w:r>
      <w:r w:rsidR="00487DA4" w:rsidRPr="00BB31E4">
        <w:rPr>
          <w:sz w:val="18"/>
          <w:lang w:val="en-US"/>
        </w:rPr>
        <w:t xml:space="preserve">frequency domain service multiplexing of </w:t>
      </w:r>
      <w:r w:rsidR="000B2938" w:rsidRPr="00BB31E4">
        <w:rPr>
          <w:sz w:val="18"/>
          <w:lang w:val="en-US"/>
        </w:rPr>
        <w:t xml:space="preserve">eMBB and mIoT </w:t>
      </w:r>
      <w:r w:rsidR="00487DA4" w:rsidRPr="00BB31E4">
        <w:rPr>
          <w:sz w:val="18"/>
          <w:lang w:val="en-US"/>
        </w:rPr>
        <w:t xml:space="preserve">services </w:t>
      </w:r>
      <w:r w:rsidR="000B2938" w:rsidRPr="00BB31E4">
        <w:rPr>
          <w:sz w:val="18"/>
          <w:lang w:val="en-US"/>
        </w:rPr>
        <w:t xml:space="preserve">when developing </w:t>
      </w:r>
      <w:r w:rsidR="00450BF1" w:rsidRPr="00BB31E4">
        <w:rPr>
          <w:sz w:val="18"/>
          <w:lang w:val="en-US"/>
        </w:rPr>
        <w:t xml:space="preserve">DL and UL </w:t>
      </w:r>
      <w:r w:rsidR="000B2938" w:rsidRPr="00BB31E4">
        <w:rPr>
          <w:sz w:val="18"/>
          <w:lang w:val="en-US"/>
        </w:rPr>
        <w:t>in-band emission</w:t>
      </w:r>
      <w:r w:rsidR="0091558A" w:rsidRPr="00BB31E4">
        <w:rPr>
          <w:sz w:val="18"/>
          <w:lang w:val="en-US"/>
        </w:rPr>
        <w:t>, EVM and Rx selectivity</w:t>
      </w:r>
      <w:r w:rsidR="000B2938" w:rsidRPr="00BB31E4">
        <w:rPr>
          <w:sz w:val="18"/>
          <w:lang w:val="en-US"/>
        </w:rPr>
        <w:t xml:space="preserve"> requirements for different numerologies on the same NR carrier.</w:t>
      </w:r>
      <w:r w:rsidR="0091558A" w:rsidRPr="00BB31E4">
        <w:rPr>
          <w:sz w:val="18"/>
          <w:lang w:val="en-US"/>
        </w:rPr>
        <w:t xml:space="preserve"> </w:t>
      </w:r>
      <w:r w:rsidR="00450BF1" w:rsidRPr="00BB31E4">
        <w:rPr>
          <w:sz w:val="18"/>
          <w:lang w:val="en-US"/>
        </w:rPr>
        <w:t xml:space="preserve">Furthermore, typically </w:t>
      </w:r>
      <w:r w:rsidR="00C4125C" w:rsidRPr="00BB31E4">
        <w:rPr>
          <w:sz w:val="18"/>
          <w:lang w:val="en-US"/>
        </w:rPr>
        <w:t>for mIoT deployments like NB-IoT and eMTC coverage and even extended coverage is important. We see that the same would be case for NR based mIoT as well. Thus, w</w:t>
      </w:r>
      <w:r w:rsidR="0091558A" w:rsidRPr="00BB31E4">
        <w:rPr>
          <w:sz w:val="18"/>
          <w:lang w:val="en-US"/>
        </w:rPr>
        <w:t xml:space="preserve">e expect that </w:t>
      </w:r>
      <w:r w:rsidR="00C4125C" w:rsidRPr="00BB31E4">
        <w:rPr>
          <w:sz w:val="18"/>
          <w:lang w:val="en-US"/>
        </w:rPr>
        <w:t xml:space="preserve">service multiplexing of </w:t>
      </w:r>
      <w:r w:rsidR="00AB4D6C" w:rsidRPr="00BB31E4">
        <w:rPr>
          <w:sz w:val="18"/>
          <w:lang w:val="en-US"/>
        </w:rPr>
        <w:t>eMBB and ultra low cost, low power and extended coverag</w:t>
      </w:r>
      <w:r w:rsidR="000C27B8" w:rsidRPr="00BB31E4">
        <w:rPr>
          <w:sz w:val="18"/>
          <w:lang w:val="en-US"/>
        </w:rPr>
        <w:t xml:space="preserve">e mIoT </w:t>
      </w:r>
      <w:r w:rsidR="0091558A" w:rsidRPr="00BB31E4">
        <w:rPr>
          <w:sz w:val="18"/>
          <w:lang w:val="en-US"/>
        </w:rPr>
        <w:t>service</w:t>
      </w:r>
      <w:r w:rsidR="00C4125C" w:rsidRPr="00BB31E4">
        <w:rPr>
          <w:sz w:val="18"/>
          <w:lang w:val="en-US"/>
        </w:rPr>
        <w:t xml:space="preserve">s on the same carrier are more likely to </w:t>
      </w:r>
      <w:r w:rsidR="0091558A" w:rsidRPr="00BB31E4">
        <w:rPr>
          <w:sz w:val="18"/>
          <w:lang w:val="en-US"/>
        </w:rPr>
        <w:t xml:space="preserve">benefit from </w:t>
      </w:r>
      <w:r w:rsidR="00AB4D6C" w:rsidRPr="00BB31E4">
        <w:rPr>
          <w:sz w:val="18"/>
          <w:lang w:val="en-US"/>
        </w:rPr>
        <w:t>different numero</w:t>
      </w:r>
      <w:r w:rsidR="0091558A" w:rsidRPr="00BB31E4">
        <w:rPr>
          <w:sz w:val="18"/>
          <w:lang w:val="en-US"/>
        </w:rPr>
        <w:t>logies</w:t>
      </w:r>
      <w:r w:rsidR="00C4125C" w:rsidRPr="00BB31E4">
        <w:rPr>
          <w:sz w:val="18"/>
          <w:lang w:val="en-US"/>
        </w:rPr>
        <w:t xml:space="preserve"> in frequency domain rather than </w:t>
      </w:r>
      <w:r w:rsidR="00A21A31" w:rsidRPr="00BB31E4">
        <w:rPr>
          <w:sz w:val="18"/>
          <w:lang w:val="en-US"/>
        </w:rPr>
        <w:t>e.g. eMBB and URLLC</w:t>
      </w:r>
      <w:r w:rsidR="00C4125C" w:rsidRPr="00BB31E4">
        <w:rPr>
          <w:sz w:val="18"/>
          <w:lang w:val="en-US"/>
        </w:rPr>
        <w:t xml:space="preserve"> multiplexing</w:t>
      </w:r>
      <w:r w:rsidR="0091558A" w:rsidRPr="00BB31E4">
        <w:rPr>
          <w:sz w:val="18"/>
          <w:lang w:val="en-US"/>
        </w:rPr>
        <w:t xml:space="preserve">. </w:t>
      </w:r>
    </w:p>
    <w:p w14:paraId="0979A8A1" w14:textId="77777777" w:rsidR="001C75B0" w:rsidRPr="00BB31E4" w:rsidRDefault="001C75B0" w:rsidP="006A28E7">
      <w:pPr>
        <w:spacing w:after="0"/>
        <w:rPr>
          <w:sz w:val="18"/>
        </w:rPr>
      </w:pPr>
    </w:p>
    <w:p w14:paraId="5D578D9A" w14:textId="5B4E1D8A" w:rsidR="00662621" w:rsidRPr="00BB31E4" w:rsidRDefault="001C6371" w:rsidP="006A28E7">
      <w:pPr>
        <w:spacing w:after="0"/>
        <w:rPr>
          <w:b/>
          <w:sz w:val="18"/>
        </w:rPr>
      </w:pPr>
      <w:r w:rsidRPr="00BB31E4">
        <w:rPr>
          <w:b/>
          <w:sz w:val="18"/>
        </w:rPr>
        <w:t>Proposal 1</w:t>
      </w:r>
      <w:r w:rsidR="00AF474E" w:rsidRPr="00BB31E4">
        <w:rPr>
          <w:b/>
          <w:sz w:val="18"/>
        </w:rPr>
        <w:t xml:space="preserve">: Develop </w:t>
      </w:r>
      <w:r w:rsidR="0091558A" w:rsidRPr="00BB31E4">
        <w:rPr>
          <w:b/>
          <w:sz w:val="18"/>
        </w:rPr>
        <w:t xml:space="preserve">NR </w:t>
      </w:r>
      <w:r w:rsidR="00FF3059" w:rsidRPr="00BB31E4">
        <w:rPr>
          <w:b/>
          <w:sz w:val="18"/>
        </w:rPr>
        <w:t xml:space="preserve">DL and UL </w:t>
      </w:r>
      <w:r w:rsidR="00AF474E" w:rsidRPr="00BB31E4">
        <w:rPr>
          <w:b/>
          <w:sz w:val="18"/>
        </w:rPr>
        <w:t>in-band emission</w:t>
      </w:r>
      <w:r w:rsidR="0091558A" w:rsidRPr="00BB31E4">
        <w:rPr>
          <w:b/>
          <w:sz w:val="18"/>
        </w:rPr>
        <w:t xml:space="preserve">, EVM and in-band selectivity </w:t>
      </w:r>
      <w:r w:rsidR="00AF474E" w:rsidRPr="00BB31E4">
        <w:rPr>
          <w:b/>
          <w:sz w:val="18"/>
        </w:rPr>
        <w:t>requiremen</w:t>
      </w:r>
      <w:r w:rsidR="0091558A" w:rsidRPr="00BB31E4">
        <w:rPr>
          <w:b/>
          <w:sz w:val="18"/>
        </w:rPr>
        <w:t xml:space="preserve">ts with different numerologies </w:t>
      </w:r>
      <w:r w:rsidR="00FF3059" w:rsidRPr="00BB31E4">
        <w:rPr>
          <w:b/>
          <w:sz w:val="18"/>
        </w:rPr>
        <w:t xml:space="preserve">on the same NR Carrier </w:t>
      </w:r>
      <w:r w:rsidR="0091558A" w:rsidRPr="00BB31E4">
        <w:rPr>
          <w:b/>
          <w:sz w:val="18"/>
        </w:rPr>
        <w:t xml:space="preserve">for eMBB and mIoT </w:t>
      </w:r>
      <w:r w:rsidR="00FF3059" w:rsidRPr="00BB31E4">
        <w:rPr>
          <w:b/>
          <w:sz w:val="18"/>
        </w:rPr>
        <w:t xml:space="preserve">frequency domain service multiplexing </w:t>
      </w:r>
      <w:r w:rsidR="0091558A" w:rsidRPr="00BB31E4">
        <w:rPr>
          <w:b/>
          <w:sz w:val="18"/>
        </w:rPr>
        <w:t>deployment scenario</w:t>
      </w:r>
      <w:r w:rsidR="00690C58" w:rsidRPr="00BB31E4">
        <w:rPr>
          <w:b/>
          <w:sz w:val="18"/>
        </w:rPr>
        <w:t xml:space="preserve"> </w:t>
      </w:r>
    </w:p>
    <w:p w14:paraId="44480BEB" w14:textId="77777777" w:rsidR="00AF474E" w:rsidRPr="00BB31E4" w:rsidRDefault="00AF474E" w:rsidP="006A28E7">
      <w:pPr>
        <w:spacing w:after="0"/>
        <w:rPr>
          <w:sz w:val="18"/>
        </w:rPr>
      </w:pPr>
    </w:p>
    <w:p w14:paraId="75B70EE0" w14:textId="63DF0767" w:rsidR="00497A23" w:rsidRPr="00BB31E4" w:rsidRDefault="00497A23" w:rsidP="006A28E7">
      <w:pPr>
        <w:spacing w:after="0"/>
        <w:rPr>
          <w:sz w:val="18"/>
        </w:rPr>
      </w:pPr>
      <w:r w:rsidRPr="00BB31E4">
        <w:rPr>
          <w:sz w:val="18"/>
        </w:rPr>
        <w:t>The RAN1 specifications are expected to support</w:t>
      </w:r>
      <w:r w:rsidR="001C6371" w:rsidRPr="00BB31E4">
        <w:rPr>
          <w:sz w:val="18"/>
        </w:rPr>
        <w:t xml:space="preserve"> number of sub-bands within one NR carrier but we </w:t>
      </w:r>
      <w:r w:rsidR="00106238" w:rsidRPr="00BB31E4">
        <w:rPr>
          <w:sz w:val="18"/>
        </w:rPr>
        <w:t xml:space="preserve">do </w:t>
      </w:r>
      <w:r w:rsidR="001C6371" w:rsidRPr="00BB31E4">
        <w:rPr>
          <w:sz w:val="18"/>
        </w:rPr>
        <w:t>not see that it is necessary to define overly complicated requirement scenario for validating sufficiently good in-band spectral confinement. In our view two different sub-blocks within one NR carrier; one for eMBB and another for mIoT would be sufficient, at least initially.</w:t>
      </w:r>
    </w:p>
    <w:p w14:paraId="48077F8F" w14:textId="77777777" w:rsidR="00FF3059" w:rsidRPr="00BB31E4" w:rsidRDefault="00FF3059" w:rsidP="006A28E7">
      <w:pPr>
        <w:spacing w:after="0"/>
        <w:rPr>
          <w:sz w:val="18"/>
        </w:rPr>
      </w:pPr>
    </w:p>
    <w:p w14:paraId="3474418D" w14:textId="77777777" w:rsidR="00ED229C" w:rsidRPr="00BB31E4" w:rsidRDefault="00ED229C" w:rsidP="00BB31E4">
      <w:pPr>
        <w:keepNext/>
        <w:spacing w:after="0"/>
        <w:jc w:val="center"/>
      </w:pPr>
      <w:r w:rsidRPr="00BB31E4">
        <w:rPr>
          <w:noProof/>
          <w:sz w:val="18"/>
          <w:lang w:val="en-US"/>
        </w:rPr>
        <w:lastRenderedPageBreak/>
        <w:drawing>
          <wp:inline distT="0" distB="0" distL="0" distR="0" wp14:anchorId="1ED45D1A" wp14:editId="5E2A2939">
            <wp:extent cx="5794520" cy="13996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64094" cy="1416447"/>
                    </a:xfrm>
                    <a:prstGeom prst="rect">
                      <a:avLst/>
                    </a:prstGeom>
                    <a:noFill/>
                  </pic:spPr>
                </pic:pic>
              </a:graphicData>
            </a:graphic>
          </wp:inline>
        </w:drawing>
      </w:r>
    </w:p>
    <w:p w14:paraId="63460BEB" w14:textId="6BAFB067" w:rsidR="00ED229C" w:rsidRPr="00BB31E4" w:rsidRDefault="00ED229C" w:rsidP="00BB31E4">
      <w:pPr>
        <w:pStyle w:val="Caption"/>
        <w:jc w:val="center"/>
      </w:pPr>
      <w:r w:rsidRPr="00BB31E4">
        <w:t xml:space="preserve">Figure </w:t>
      </w:r>
      <w:r w:rsidR="00B83683">
        <w:fldChar w:fldCharType="begin"/>
      </w:r>
      <w:r w:rsidR="00B83683">
        <w:instrText xml:space="preserve"> SEQ Figure \* ARABIC </w:instrText>
      </w:r>
      <w:r w:rsidR="00B83683">
        <w:fldChar w:fldCharType="separate"/>
      </w:r>
      <w:r w:rsidRPr="00BB31E4">
        <w:rPr>
          <w:noProof/>
        </w:rPr>
        <w:t>1</w:t>
      </w:r>
      <w:r w:rsidR="00B83683">
        <w:rPr>
          <w:noProof/>
        </w:rPr>
        <w:fldChar w:fldCharType="end"/>
      </w:r>
      <w:r w:rsidRPr="00BB31E4">
        <w:t>: Frequency service multiplexing of mIoT and eMBB services with different numerologies on the same NR carrier</w:t>
      </w:r>
    </w:p>
    <w:p w14:paraId="184516ED" w14:textId="77777777" w:rsidR="001C6371" w:rsidRPr="00BB31E4" w:rsidRDefault="001C6371" w:rsidP="006A28E7">
      <w:pPr>
        <w:spacing w:after="0"/>
        <w:rPr>
          <w:sz w:val="18"/>
        </w:rPr>
      </w:pPr>
    </w:p>
    <w:p w14:paraId="5AABC6F8" w14:textId="79E79D89" w:rsidR="00743256" w:rsidRPr="00BB31E4" w:rsidRDefault="003E6A5A" w:rsidP="006A28E7">
      <w:pPr>
        <w:spacing w:after="0"/>
        <w:rPr>
          <w:sz w:val="18"/>
        </w:rPr>
      </w:pPr>
      <w:r w:rsidRPr="00BB31E4">
        <w:rPr>
          <w:sz w:val="18"/>
        </w:rPr>
        <w:t xml:space="preserve">If it is seen necessary and NR deployment scenarios support, more than two sub-blocks within one NR carrier can be considered in a later phase. </w:t>
      </w:r>
      <w:r w:rsidR="001C6371" w:rsidRPr="00BB31E4">
        <w:rPr>
          <w:sz w:val="18"/>
        </w:rPr>
        <w:t>However, also in long run</w:t>
      </w:r>
      <w:r w:rsidR="00486525" w:rsidRPr="00BB31E4">
        <w:rPr>
          <w:sz w:val="18"/>
        </w:rPr>
        <w:t xml:space="preserve"> it would seem attractive to minimize the number of sub-blocks with different numerologies </w:t>
      </w:r>
      <w:r w:rsidR="001C6371" w:rsidRPr="00BB31E4">
        <w:rPr>
          <w:sz w:val="18"/>
        </w:rPr>
        <w:t>i</w:t>
      </w:r>
      <w:r w:rsidRPr="00BB31E4">
        <w:rPr>
          <w:sz w:val="18"/>
        </w:rPr>
        <w:t>n order to avoid wasting subcarriers to guard band</w:t>
      </w:r>
      <w:r w:rsidR="00486525" w:rsidRPr="00BB31E4">
        <w:rPr>
          <w:sz w:val="18"/>
        </w:rPr>
        <w:t>s</w:t>
      </w:r>
      <w:r w:rsidRPr="00BB31E4">
        <w:rPr>
          <w:sz w:val="18"/>
        </w:rPr>
        <w:t xml:space="preserve"> between different sub-blocks</w:t>
      </w:r>
      <w:r w:rsidR="00486525" w:rsidRPr="00BB31E4">
        <w:rPr>
          <w:sz w:val="18"/>
        </w:rPr>
        <w:t>.</w:t>
      </w:r>
      <w:r w:rsidRPr="00BB31E4">
        <w:rPr>
          <w:sz w:val="18"/>
        </w:rPr>
        <w:t xml:space="preserve"> </w:t>
      </w:r>
    </w:p>
    <w:p w14:paraId="2A91F3F4" w14:textId="77777777" w:rsidR="001C6371" w:rsidRPr="00BB31E4" w:rsidRDefault="001C6371" w:rsidP="006A28E7">
      <w:pPr>
        <w:spacing w:after="0"/>
        <w:rPr>
          <w:sz w:val="18"/>
        </w:rPr>
      </w:pPr>
    </w:p>
    <w:p w14:paraId="0C926DDD" w14:textId="0ED5C6B1" w:rsidR="001C6371" w:rsidRPr="00BB31E4" w:rsidRDefault="001C6371" w:rsidP="001C6371">
      <w:pPr>
        <w:spacing w:after="0"/>
        <w:rPr>
          <w:b/>
          <w:sz w:val="18"/>
          <w:lang w:val="en-US"/>
        </w:rPr>
      </w:pPr>
      <w:r w:rsidRPr="00BB31E4">
        <w:rPr>
          <w:b/>
          <w:sz w:val="18"/>
        </w:rPr>
        <w:t>Proposal 2: Define two different sub-blocks with one NR carrier; one for eMBB and another for mIoT</w:t>
      </w:r>
    </w:p>
    <w:p w14:paraId="546979F6" w14:textId="77777777" w:rsidR="003E6A5A" w:rsidRPr="00BB31E4" w:rsidRDefault="003E6A5A" w:rsidP="006A28E7">
      <w:pPr>
        <w:spacing w:after="0"/>
        <w:rPr>
          <w:sz w:val="18"/>
        </w:rPr>
      </w:pPr>
    </w:p>
    <w:p w14:paraId="6F70D989" w14:textId="16CAFC55" w:rsidR="001C6371" w:rsidRPr="00BB31E4" w:rsidRDefault="001C6371" w:rsidP="006A28E7">
      <w:pPr>
        <w:spacing w:after="0"/>
        <w:rPr>
          <w:sz w:val="18"/>
          <w:lang w:val="en-US"/>
        </w:rPr>
      </w:pPr>
      <w:r w:rsidRPr="00BB31E4">
        <w:rPr>
          <w:sz w:val="18"/>
          <w:lang w:val="en-US"/>
        </w:rPr>
        <w:t xml:space="preserve">As mIoT deployments typically target for extended coverage, we see that frequency bands below 6 GHz seem suitable starting point for in-band emission requirements with different numerologies. </w:t>
      </w:r>
    </w:p>
    <w:p w14:paraId="57565ADF" w14:textId="77777777" w:rsidR="001C6371" w:rsidRPr="00BB31E4" w:rsidRDefault="001C6371" w:rsidP="006A28E7">
      <w:pPr>
        <w:spacing w:after="0"/>
        <w:rPr>
          <w:sz w:val="18"/>
        </w:rPr>
      </w:pPr>
    </w:p>
    <w:p w14:paraId="24C33088" w14:textId="0E5E058C" w:rsidR="00743256" w:rsidRPr="00BB31E4" w:rsidRDefault="001C6371" w:rsidP="006A28E7">
      <w:pPr>
        <w:spacing w:after="0"/>
        <w:rPr>
          <w:sz w:val="18"/>
        </w:rPr>
      </w:pPr>
      <w:r w:rsidRPr="00BB31E4">
        <w:rPr>
          <w:b/>
          <w:sz w:val="18"/>
        </w:rPr>
        <w:t>Proposal 3</w:t>
      </w:r>
      <w:r w:rsidR="0048759B" w:rsidRPr="00BB31E4">
        <w:rPr>
          <w:b/>
          <w:sz w:val="18"/>
        </w:rPr>
        <w:t>: Develop</w:t>
      </w:r>
      <w:r w:rsidR="00FF3059" w:rsidRPr="00BB31E4">
        <w:rPr>
          <w:b/>
          <w:sz w:val="18"/>
        </w:rPr>
        <w:t xml:space="preserve"> first</w:t>
      </w:r>
      <w:r w:rsidR="0048759B" w:rsidRPr="00BB31E4">
        <w:rPr>
          <w:b/>
          <w:sz w:val="18"/>
        </w:rPr>
        <w:t xml:space="preserve"> the in-band requirements with different numerologies in FDM domain within</w:t>
      </w:r>
      <w:r w:rsidR="00690C58" w:rsidRPr="00BB31E4">
        <w:rPr>
          <w:b/>
          <w:sz w:val="18"/>
        </w:rPr>
        <w:t xml:space="preserve"> one NR carrier</w:t>
      </w:r>
      <w:r w:rsidR="00743256" w:rsidRPr="00BB31E4">
        <w:rPr>
          <w:b/>
          <w:sz w:val="18"/>
        </w:rPr>
        <w:t xml:space="preserve"> for frequency bands below 6 GHz </w:t>
      </w:r>
      <w:r w:rsidR="00690C58" w:rsidRPr="00BB31E4">
        <w:rPr>
          <w:b/>
          <w:sz w:val="18"/>
        </w:rPr>
        <w:t>first.</w:t>
      </w:r>
      <w:r w:rsidR="0048759B" w:rsidRPr="00BB31E4">
        <w:rPr>
          <w:b/>
          <w:sz w:val="18"/>
        </w:rPr>
        <w:t xml:space="preserve"> Later on need and applicability of extending requirements on higher frequencies could be studied.</w:t>
      </w:r>
    </w:p>
    <w:p w14:paraId="7249A182" w14:textId="77777777" w:rsidR="00E811ED" w:rsidRPr="00BB31E4" w:rsidRDefault="00E811ED" w:rsidP="006A28E7">
      <w:pPr>
        <w:spacing w:after="0"/>
        <w:rPr>
          <w:sz w:val="18"/>
        </w:rPr>
      </w:pPr>
    </w:p>
    <w:p w14:paraId="0137E32E" w14:textId="46A98A7F" w:rsidR="00467F50" w:rsidRPr="00BB31E4" w:rsidRDefault="00467F50" w:rsidP="006A28E7">
      <w:pPr>
        <w:spacing w:after="0"/>
        <w:rPr>
          <w:sz w:val="18"/>
        </w:rPr>
      </w:pPr>
      <w:r w:rsidRPr="00BB31E4">
        <w:rPr>
          <w:sz w:val="18"/>
        </w:rPr>
        <w:t>In the first phase of NR, mIoT can be provided using the existing LTE based solutions like NB-IoT or eMTC. T</w:t>
      </w:r>
      <w:r w:rsidR="003B070C" w:rsidRPr="00BB31E4">
        <w:rPr>
          <w:sz w:val="18"/>
        </w:rPr>
        <w:t xml:space="preserve">herefore, it would seem natural </w:t>
      </w:r>
      <w:r w:rsidRPr="00BB31E4">
        <w:rPr>
          <w:sz w:val="18"/>
        </w:rPr>
        <w:t xml:space="preserve">that </w:t>
      </w:r>
      <w:r w:rsidR="003E59BE" w:rsidRPr="00BB31E4">
        <w:rPr>
          <w:sz w:val="18"/>
        </w:rPr>
        <w:t xml:space="preserve">the one of the </w:t>
      </w:r>
      <w:r w:rsidRPr="00BB31E4">
        <w:rPr>
          <w:sz w:val="18"/>
        </w:rPr>
        <w:t xml:space="preserve">sub-block would use 15 kHz sub-carrier spacing and </w:t>
      </w:r>
      <w:r w:rsidR="003B070C" w:rsidRPr="00BB31E4">
        <w:rPr>
          <w:sz w:val="18"/>
        </w:rPr>
        <w:t>another</w:t>
      </w:r>
      <w:r w:rsidR="007E0578" w:rsidRPr="00BB31E4">
        <w:rPr>
          <w:sz w:val="18"/>
        </w:rPr>
        <w:t xml:space="preserve"> one with</w:t>
      </w:r>
      <w:r w:rsidR="003B070C" w:rsidRPr="00BB31E4">
        <w:rPr>
          <w:sz w:val="18"/>
        </w:rPr>
        <w:t xml:space="preserve"> </w:t>
      </w:r>
      <w:r w:rsidR="007E0578" w:rsidRPr="00BB31E4">
        <w:rPr>
          <w:sz w:val="18"/>
        </w:rPr>
        <w:t xml:space="preserve">larger subcarrier spacing </w:t>
      </w:r>
      <w:r w:rsidR="003B070C" w:rsidRPr="00BB31E4">
        <w:rPr>
          <w:sz w:val="18"/>
        </w:rPr>
        <w:t xml:space="preserve">e.g. </w:t>
      </w:r>
      <w:r w:rsidRPr="00BB31E4">
        <w:rPr>
          <w:sz w:val="18"/>
        </w:rPr>
        <w:t>60 kHz.</w:t>
      </w:r>
      <w:r w:rsidR="007E0578" w:rsidRPr="00BB31E4">
        <w:rPr>
          <w:sz w:val="18"/>
        </w:rPr>
        <w:t xml:space="preserve"> In the end all the sub-carrier spacing combinations could be considered in the requirements if use case scenarios justify that but it might be good to start from one scenario first. This would help that all interested companies focus on the same case</w:t>
      </w:r>
      <w:r w:rsidR="001D65BD" w:rsidRPr="00BB31E4">
        <w:rPr>
          <w:sz w:val="18"/>
        </w:rPr>
        <w:t xml:space="preserve"> in their studies and simulations.</w:t>
      </w:r>
      <w:r w:rsidR="007E0578" w:rsidRPr="00BB31E4">
        <w:rPr>
          <w:sz w:val="18"/>
        </w:rPr>
        <w:t xml:space="preserve"> Also if seen necessary</w:t>
      </w:r>
      <w:r w:rsidR="001D65BD" w:rsidRPr="00BB31E4">
        <w:rPr>
          <w:sz w:val="18"/>
        </w:rPr>
        <w:t>,</w:t>
      </w:r>
      <w:r w:rsidR="007E0578" w:rsidRPr="00BB31E4">
        <w:rPr>
          <w:sz w:val="18"/>
        </w:rPr>
        <w:t xml:space="preserve"> NB-IoT or eMTC could also be considered in t</w:t>
      </w:r>
      <w:r w:rsidR="001D65BD" w:rsidRPr="00BB31E4">
        <w:rPr>
          <w:sz w:val="18"/>
        </w:rPr>
        <w:t>he requirement setting and test cases</w:t>
      </w:r>
      <w:r w:rsidR="007E0578" w:rsidRPr="00BB31E4">
        <w:rPr>
          <w:sz w:val="18"/>
        </w:rPr>
        <w:t>, but then it is important to consider UE and BS support for these features in the requirement setting</w:t>
      </w:r>
      <w:r w:rsidR="001D65BD" w:rsidRPr="00BB31E4">
        <w:rPr>
          <w:sz w:val="18"/>
        </w:rPr>
        <w:t>. Not all NR UEs and BS can be assumed to support NB-IoT and eMTC but in the test equipment NB-IoT and eMTC could be verified as victim system or used as interfering system.</w:t>
      </w:r>
    </w:p>
    <w:p w14:paraId="5DE34916" w14:textId="77777777" w:rsidR="00467F50" w:rsidRPr="00BB31E4" w:rsidRDefault="00467F50" w:rsidP="006A28E7">
      <w:pPr>
        <w:spacing w:after="0"/>
        <w:rPr>
          <w:sz w:val="18"/>
        </w:rPr>
      </w:pPr>
    </w:p>
    <w:p w14:paraId="0E174CB0" w14:textId="034958B9" w:rsidR="00467F50" w:rsidRPr="00BB31E4" w:rsidRDefault="00467F50" w:rsidP="006A28E7">
      <w:pPr>
        <w:spacing w:after="0"/>
        <w:rPr>
          <w:b/>
          <w:sz w:val="18"/>
        </w:rPr>
      </w:pPr>
      <w:r w:rsidRPr="00BB31E4">
        <w:rPr>
          <w:b/>
          <w:sz w:val="18"/>
        </w:rPr>
        <w:t xml:space="preserve">Proposal </w:t>
      </w:r>
      <w:r w:rsidR="003629B9" w:rsidRPr="00BB31E4">
        <w:rPr>
          <w:b/>
          <w:sz w:val="18"/>
        </w:rPr>
        <w:t>4</w:t>
      </w:r>
      <w:r w:rsidR="00E72AF7" w:rsidRPr="00BB31E4">
        <w:rPr>
          <w:b/>
          <w:sz w:val="18"/>
        </w:rPr>
        <w:t>: Develop mixed numerology in-band requirements using</w:t>
      </w:r>
      <w:r w:rsidR="003B070C" w:rsidRPr="00BB31E4">
        <w:rPr>
          <w:b/>
          <w:sz w:val="18"/>
        </w:rPr>
        <w:t xml:space="preserve"> sub-blocks with</w:t>
      </w:r>
      <w:r w:rsidR="00E72AF7" w:rsidRPr="00BB31E4">
        <w:rPr>
          <w:b/>
          <w:sz w:val="18"/>
        </w:rPr>
        <w:t xml:space="preserve"> 15 kHz</w:t>
      </w:r>
      <w:r w:rsidR="003B070C" w:rsidRPr="00BB31E4">
        <w:rPr>
          <w:b/>
          <w:sz w:val="18"/>
        </w:rPr>
        <w:t xml:space="preserve"> and 60 kHz </w:t>
      </w:r>
      <w:r w:rsidR="00E72AF7" w:rsidRPr="00BB31E4">
        <w:rPr>
          <w:b/>
          <w:sz w:val="18"/>
        </w:rPr>
        <w:t>subcarrier spacing</w:t>
      </w:r>
      <w:r w:rsidR="003B070C" w:rsidRPr="00BB31E4">
        <w:rPr>
          <w:b/>
          <w:sz w:val="18"/>
        </w:rPr>
        <w:t>s</w:t>
      </w:r>
      <w:r w:rsidR="001D65BD" w:rsidRPr="00BB31E4">
        <w:rPr>
          <w:b/>
          <w:sz w:val="18"/>
        </w:rPr>
        <w:t xml:space="preserve"> first. </w:t>
      </w:r>
    </w:p>
    <w:p w14:paraId="1F55555E" w14:textId="77777777" w:rsidR="003629B9" w:rsidRPr="00BB31E4" w:rsidRDefault="003629B9" w:rsidP="006A28E7">
      <w:pPr>
        <w:spacing w:after="0"/>
        <w:rPr>
          <w:b/>
          <w:sz w:val="18"/>
        </w:rPr>
      </w:pPr>
    </w:p>
    <w:p w14:paraId="1FEA1147" w14:textId="0169A630" w:rsidR="00451636" w:rsidRPr="00BB31E4" w:rsidRDefault="001F6410" w:rsidP="00451636">
      <w:pPr>
        <w:spacing w:after="0"/>
        <w:rPr>
          <w:sz w:val="18"/>
        </w:rPr>
      </w:pPr>
      <w:r w:rsidRPr="00BB31E4">
        <w:rPr>
          <w:sz w:val="18"/>
        </w:rPr>
        <w:t xml:space="preserve">In eMBB and mIoT service multiplexing scenarios it would seem best to allocate quite a bit wider bandwidth for eMBB and narrower bandwidth for mIoT. Wider and narrower bandwidth sub-blocks in the requirements would also help in ensuring that both cases will work well. </w:t>
      </w:r>
      <w:r w:rsidR="00451636" w:rsidRPr="00BB31E4">
        <w:rPr>
          <w:sz w:val="18"/>
        </w:rPr>
        <w:t>As frequency bands below 6 GHz are the main focus for frequency domain service multiplexing with different numerologies, t</w:t>
      </w:r>
      <w:r w:rsidRPr="00BB31E4">
        <w:rPr>
          <w:sz w:val="18"/>
        </w:rPr>
        <w:t xml:space="preserve">he total NR carrier could be </w:t>
      </w:r>
      <w:r w:rsidR="00451636" w:rsidRPr="00BB31E4">
        <w:rPr>
          <w:sz w:val="18"/>
        </w:rPr>
        <w:t>e.g. in the order of</w:t>
      </w:r>
      <w:r w:rsidRPr="00BB31E4">
        <w:rPr>
          <w:sz w:val="18"/>
        </w:rPr>
        <w:t xml:space="preserve"> 80 MHz</w:t>
      </w:r>
      <w:r w:rsidR="00451636" w:rsidRPr="00BB31E4">
        <w:rPr>
          <w:sz w:val="18"/>
        </w:rPr>
        <w:t xml:space="preserve">. </w:t>
      </w:r>
      <w:r w:rsidRPr="00BB31E4">
        <w:rPr>
          <w:sz w:val="18"/>
        </w:rPr>
        <w:t>1- 4 PRBs could be allocated to mIoT and the rest for eMBB and guard band.</w:t>
      </w:r>
      <w:r w:rsidR="00451636" w:rsidRPr="00BB31E4">
        <w:rPr>
          <w:sz w:val="18"/>
        </w:rPr>
        <w:t xml:space="preserve"> 1-4 PRBs for mIoT would would correspond e.g. to 1-4 NB-IoT channels allocated to mIoT.</w:t>
      </w:r>
    </w:p>
    <w:p w14:paraId="05072900" w14:textId="71CB8976" w:rsidR="001F6410" w:rsidRPr="00BB31E4" w:rsidRDefault="001F6410" w:rsidP="006A28E7">
      <w:pPr>
        <w:spacing w:after="0"/>
        <w:rPr>
          <w:sz w:val="18"/>
        </w:rPr>
      </w:pPr>
    </w:p>
    <w:p w14:paraId="27B8B737" w14:textId="44FBF872" w:rsidR="003629B9" w:rsidRPr="00BB31E4" w:rsidRDefault="003629B9" w:rsidP="006A28E7">
      <w:pPr>
        <w:spacing w:after="0"/>
        <w:rPr>
          <w:b/>
          <w:sz w:val="18"/>
        </w:rPr>
      </w:pPr>
      <w:r w:rsidRPr="00BB31E4">
        <w:rPr>
          <w:b/>
          <w:sz w:val="18"/>
        </w:rPr>
        <w:t xml:space="preserve">Proposal 5: Use 80 MHz bandwidth for NR carrier, which is divided to </w:t>
      </w:r>
      <w:r w:rsidR="00786853" w:rsidRPr="00BB31E4">
        <w:rPr>
          <w:b/>
          <w:sz w:val="18"/>
        </w:rPr>
        <w:t>1-4</w:t>
      </w:r>
      <w:r w:rsidRPr="00BB31E4">
        <w:rPr>
          <w:b/>
          <w:sz w:val="18"/>
        </w:rPr>
        <w:t xml:space="preserve"> PRB wide </w:t>
      </w:r>
      <w:r w:rsidR="00786853" w:rsidRPr="00BB31E4">
        <w:rPr>
          <w:b/>
          <w:sz w:val="18"/>
        </w:rPr>
        <w:t>sub-block</w:t>
      </w:r>
      <w:r w:rsidR="00FD07EB" w:rsidRPr="00BB31E4">
        <w:rPr>
          <w:b/>
          <w:sz w:val="18"/>
        </w:rPr>
        <w:t>s</w:t>
      </w:r>
      <w:r w:rsidR="00786853" w:rsidRPr="00BB31E4">
        <w:rPr>
          <w:b/>
          <w:sz w:val="18"/>
        </w:rPr>
        <w:t xml:space="preserve"> representing mIoT deployment and the rest for eMBB and needed guard band</w:t>
      </w:r>
    </w:p>
    <w:p w14:paraId="1B9C4073" w14:textId="77777777" w:rsidR="005D4960" w:rsidRPr="00BB31E4" w:rsidRDefault="005D4960" w:rsidP="006A28E7">
      <w:pPr>
        <w:spacing w:after="0"/>
        <w:rPr>
          <w:b/>
          <w:sz w:val="18"/>
        </w:rPr>
      </w:pPr>
    </w:p>
    <w:p w14:paraId="5758A08E" w14:textId="66903F5B" w:rsidR="00786853" w:rsidRPr="00BB31E4" w:rsidRDefault="00786853" w:rsidP="006A28E7">
      <w:pPr>
        <w:spacing w:after="0"/>
        <w:rPr>
          <w:sz w:val="18"/>
        </w:rPr>
      </w:pPr>
      <w:r w:rsidRPr="00BB31E4">
        <w:rPr>
          <w:sz w:val="18"/>
        </w:rPr>
        <w:t>Both non-standalone and standalone NR deployment scenarios should be considered. In case of non-standalone NR 10 MHz LTE carrier could be used as PCell.</w:t>
      </w:r>
    </w:p>
    <w:p w14:paraId="48FA982F" w14:textId="77777777" w:rsidR="00357FD7" w:rsidRPr="00BB31E4" w:rsidRDefault="00357FD7" w:rsidP="006A28E7">
      <w:pPr>
        <w:spacing w:after="0"/>
        <w:rPr>
          <w:sz w:val="18"/>
        </w:rPr>
      </w:pPr>
    </w:p>
    <w:p w14:paraId="4FBFC9C0" w14:textId="221D93AA" w:rsidR="00CD4C7B" w:rsidRPr="00BB31E4" w:rsidRDefault="00C608C8" w:rsidP="00CD4C7B">
      <w:pPr>
        <w:pStyle w:val="Heading1"/>
      </w:pPr>
      <w:r w:rsidRPr="00BB31E4">
        <w:t>3</w:t>
      </w:r>
      <w:r w:rsidRPr="00BB31E4">
        <w:tab/>
        <w:t>Conclusion</w:t>
      </w:r>
      <w:r w:rsidR="00F909AE" w:rsidRPr="00BB31E4">
        <w:t>s</w:t>
      </w:r>
    </w:p>
    <w:p w14:paraId="296775AA" w14:textId="77777777" w:rsidR="005252D5" w:rsidRPr="00BB31E4" w:rsidRDefault="005252D5" w:rsidP="00E245FD">
      <w:pPr>
        <w:pStyle w:val="ListParagraph"/>
        <w:rPr>
          <w:b/>
          <w:sz w:val="18"/>
          <w:lang w:val="en-US"/>
        </w:rPr>
      </w:pPr>
    </w:p>
    <w:p w14:paraId="0C899C36" w14:textId="69DF11D6" w:rsidR="00EC39A8" w:rsidRPr="00BB31E4" w:rsidRDefault="00EC39A8" w:rsidP="00EC39A8">
      <w:pPr>
        <w:spacing w:after="0"/>
        <w:rPr>
          <w:bCs/>
          <w:sz w:val="18"/>
          <w:szCs w:val="18"/>
        </w:rPr>
      </w:pPr>
      <w:r w:rsidRPr="00BB31E4">
        <w:rPr>
          <w:bCs/>
          <w:sz w:val="18"/>
          <w:szCs w:val="18"/>
        </w:rPr>
        <w:t>In this contribution we have discussed scenarios and assumptions for developing the first phase NR requirements for</w:t>
      </w:r>
      <w:r w:rsidRPr="00BB31E4">
        <w:rPr>
          <w:bCs/>
          <w:sz w:val="18"/>
          <w:szCs w:val="18"/>
          <w:lang w:val="en-US"/>
        </w:rPr>
        <w:t xml:space="preserve"> DL and UL in-band emission, EVM and in-band Rx selectivity requirements in case of </w:t>
      </w:r>
      <w:r w:rsidRPr="00BB31E4">
        <w:rPr>
          <w:bCs/>
          <w:sz w:val="18"/>
          <w:szCs w:val="18"/>
        </w:rPr>
        <w:t>different numerologies within on NR carrier. The corresponding requirements are discussed and proposed in the contributions [2] – [5]. In the do</w:t>
      </w:r>
      <w:r w:rsidR="00FD07EB" w:rsidRPr="00BB31E4">
        <w:rPr>
          <w:bCs/>
          <w:sz w:val="18"/>
          <w:szCs w:val="18"/>
        </w:rPr>
        <w:t>cument we propose the following assumptions for the requirement development:</w:t>
      </w:r>
    </w:p>
    <w:p w14:paraId="2993DDEA" w14:textId="77777777" w:rsidR="00FD07EB" w:rsidRPr="00BB31E4" w:rsidRDefault="00FD07EB" w:rsidP="00EC39A8">
      <w:pPr>
        <w:spacing w:after="0"/>
        <w:rPr>
          <w:bCs/>
          <w:sz w:val="18"/>
          <w:szCs w:val="18"/>
        </w:rPr>
      </w:pPr>
    </w:p>
    <w:p w14:paraId="4A1FE2AD" w14:textId="77777777" w:rsidR="00FD07EB" w:rsidRPr="00BB31E4" w:rsidRDefault="00FD07EB" w:rsidP="00FD07EB">
      <w:pPr>
        <w:spacing w:after="0"/>
        <w:rPr>
          <w:b/>
          <w:sz w:val="18"/>
        </w:rPr>
      </w:pPr>
      <w:r w:rsidRPr="00BB31E4">
        <w:rPr>
          <w:b/>
          <w:sz w:val="18"/>
        </w:rPr>
        <w:t>Proposal 1: Develop NR DL and UL in-band emission,  E</w:t>
      </w:r>
      <w:bookmarkStart w:id="1" w:name="_GoBack"/>
      <w:bookmarkEnd w:id="1"/>
      <w:r w:rsidRPr="00BB31E4">
        <w:rPr>
          <w:b/>
          <w:sz w:val="18"/>
        </w:rPr>
        <w:t xml:space="preserve">VM and in-band selectivity requirements with different numerologies on the same NR Carrier for eMBB and mIoT frequency domain service multiplexing deployment scenario </w:t>
      </w:r>
    </w:p>
    <w:p w14:paraId="25B3DCA5" w14:textId="77777777" w:rsidR="00FD07EB" w:rsidRPr="00BB31E4" w:rsidRDefault="00FD07EB" w:rsidP="00FD07EB">
      <w:pPr>
        <w:spacing w:after="0"/>
        <w:rPr>
          <w:b/>
          <w:sz w:val="18"/>
        </w:rPr>
      </w:pPr>
    </w:p>
    <w:p w14:paraId="7A9E4B18" w14:textId="77777777" w:rsidR="00FD07EB" w:rsidRPr="00BB31E4" w:rsidRDefault="00FD07EB" w:rsidP="00FD07EB">
      <w:pPr>
        <w:spacing w:after="0"/>
        <w:rPr>
          <w:b/>
          <w:sz w:val="18"/>
          <w:lang w:val="en-US"/>
        </w:rPr>
      </w:pPr>
      <w:r w:rsidRPr="00BB31E4">
        <w:rPr>
          <w:b/>
          <w:sz w:val="18"/>
        </w:rPr>
        <w:t>Proposal 2: Define two different sub-blocks with one NR carrier; one for eMBB and another for mIoT</w:t>
      </w:r>
    </w:p>
    <w:p w14:paraId="16273EBB" w14:textId="77777777" w:rsidR="00FD07EB" w:rsidRPr="00BB31E4" w:rsidRDefault="00FD07EB" w:rsidP="00FD07EB">
      <w:pPr>
        <w:spacing w:after="0"/>
        <w:rPr>
          <w:b/>
          <w:sz w:val="18"/>
          <w:lang w:val="en-US"/>
        </w:rPr>
      </w:pPr>
    </w:p>
    <w:p w14:paraId="473963C4" w14:textId="77777777" w:rsidR="00FD07EB" w:rsidRPr="00BB31E4" w:rsidRDefault="00FD07EB" w:rsidP="00FD07EB">
      <w:pPr>
        <w:spacing w:after="0"/>
        <w:rPr>
          <w:sz w:val="18"/>
        </w:rPr>
      </w:pPr>
      <w:r w:rsidRPr="00BB31E4">
        <w:rPr>
          <w:b/>
          <w:sz w:val="18"/>
        </w:rPr>
        <w:lastRenderedPageBreak/>
        <w:t>Proposal 3: Develop first the in-band requirements with different numerologies in FDM domain within one NR carrier for frequency bands below 6 GHz first. Later on need and applicability of extending requirements on higher frequencies could be studied.</w:t>
      </w:r>
    </w:p>
    <w:p w14:paraId="0EE02007" w14:textId="77777777" w:rsidR="00FD07EB" w:rsidRPr="00BB31E4" w:rsidRDefault="00FD07EB" w:rsidP="00FD07EB">
      <w:pPr>
        <w:spacing w:after="0"/>
        <w:rPr>
          <w:b/>
          <w:sz w:val="18"/>
        </w:rPr>
      </w:pPr>
    </w:p>
    <w:p w14:paraId="66677F8D" w14:textId="615302FB" w:rsidR="00FD07EB" w:rsidRPr="00BB31E4" w:rsidRDefault="00FD07EB" w:rsidP="00FD07EB">
      <w:pPr>
        <w:spacing w:after="0"/>
        <w:rPr>
          <w:b/>
          <w:sz w:val="18"/>
        </w:rPr>
      </w:pPr>
      <w:r w:rsidRPr="00BB31E4">
        <w:rPr>
          <w:b/>
          <w:sz w:val="18"/>
        </w:rPr>
        <w:t xml:space="preserve">Proposal 4: Develop mixed numerology in-band requirements using sub-blocks with 15 kHz and 60 kHz subcarrier spacings first. </w:t>
      </w:r>
    </w:p>
    <w:p w14:paraId="5AEE4675" w14:textId="77777777" w:rsidR="00FD07EB" w:rsidRPr="00BB31E4" w:rsidRDefault="00FD07EB" w:rsidP="00FD07EB">
      <w:pPr>
        <w:spacing w:after="0"/>
        <w:rPr>
          <w:b/>
          <w:sz w:val="18"/>
        </w:rPr>
      </w:pPr>
    </w:p>
    <w:p w14:paraId="48A64C85" w14:textId="0211DB23" w:rsidR="00FD07EB" w:rsidRPr="00BB31E4" w:rsidRDefault="00FD07EB" w:rsidP="00FD07EB">
      <w:pPr>
        <w:spacing w:after="0"/>
        <w:rPr>
          <w:b/>
          <w:sz w:val="18"/>
        </w:rPr>
      </w:pPr>
      <w:r w:rsidRPr="00BB31E4">
        <w:rPr>
          <w:b/>
          <w:sz w:val="18"/>
        </w:rPr>
        <w:t>Proposal 5: Use 80 MHz bandwidth for NR carrier, which is divided to 1-4 PRB wide sub-blocks representing mIoT deployment and the rest for eMBB and needed guard band</w:t>
      </w:r>
    </w:p>
    <w:p w14:paraId="28B530DA" w14:textId="77777777" w:rsidR="00FD07EB" w:rsidRPr="00BB31E4" w:rsidRDefault="00FD07EB" w:rsidP="00EC39A8">
      <w:pPr>
        <w:spacing w:after="0"/>
        <w:rPr>
          <w:bCs/>
          <w:sz w:val="18"/>
          <w:szCs w:val="18"/>
        </w:rPr>
      </w:pPr>
    </w:p>
    <w:p w14:paraId="2F9F4793" w14:textId="77777777" w:rsidR="00EC39A8" w:rsidRPr="00BB31E4" w:rsidRDefault="00EC39A8" w:rsidP="00E245FD">
      <w:pPr>
        <w:pStyle w:val="ListParagraph"/>
        <w:rPr>
          <w:b/>
          <w:sz w:val="18"/>
          <w:lang w:val="en-GB"/>
        </w:rPr>
      </w:pPr>
    </w:p>
    <w:p w14:paraId="61C16FC4" w14:textId="77777777" w:rsidR="00CD4C7B" w:rsidRPr="00BB31E4" w:rsidRDefault="00CD4C7B" w:rsidP="00CD4C7B">
      <w:pPr>
        <w:pStyle w:val="Heading1"/>
      </w:pPr>
      <w:r w:rsidRPr="00BB31E4">
        <w:t>References</w:t>
      </w:r>
    </w:p>
    <w:p w14:paraId="54E9A0DF" w14:textId="77777777" w:rsidR="00171463" w:rsidRPr="00BB31E4" w:rsidRDefault="00171463" w:rsidP="00171463">
      <w:pPr>
        <w:numPr>
          <w:ilvl w:val="0"/>
          <w:numId w:val="4"/>
        </w:numPr>
        <w:overflowPunct w:val="0"/>
        <w:autoSpaceDE w:val="0"/>
        <w:autoSpaceDN w:val="0"/>
        <w:adjustRightInd w:val="0"/>
        <w:textAlignment w:val="baseline"/>
        <w:rPr>
          <w:sz w:val="18"/>
          <w:lang w:eastAsia="zh-CN"/>
        </w:rPr>
      </w:pPr>
      <w:r w:rsidRPr="00BB31E4">
        <w:rPr>
          <w:sz w:val="18"/>
          <w:lang w:eastAsia="zh-CN"/>
        </w:rPr>
        <w:t>RP-160671, “Study on New Radio Access Technology”, NTT DOCOMO</w:t>
      </w:r>
      <w:r w:rsidR="00CD7510" w:rsidRPr="00BB31E4">
        <w:rPr>
          <w:sz w:val="18"/>
          <w:lang w:eastAsia="zh-CN"/>
        </w:rPr>
        <w:t>, INC.</w:t>
      </w:r>
    </w:p>
    <w:p w14:paraId="51B06CBC" w14:textId="0C00AB0C" w:rsidR="00387082" w:rsidRPr="00BB31E4" w:rsidRDefault="00387082" w:rsidP="00387082">
      <w:pPr>
        <w:numPr>
          <w:ilvl w:val="0"/>
          <w:numId w:val="4"/>
        </w:numPr>
        <w:overflowPunct w:val="0"/>
        <w:autoSpaceDE w:val="0"/>
        <w:autoSpaceDN w:val="0"/>
        <w:adjustRightInd w:val="0"/>
        <w:textAlignment w:val="baseline"/>
        <w:rPr>
          <w:sz w:val="18"/>
          <w:lang w:eastAsia="zh-CN"/>
        </w:rPr>
      </w:pPr>
      <w:r w:rsidRPr="00BB31E4">
        <w:rPr>
          <w:sz w:val="18"/>
          <w:lang w:eastAsia="zh-CN"/>
        </w:rPr>
        <w:t xml:space="preserve">R4-1609221, “NR UL in-band emissions and EVM requirements at UE TX”, </w:t>
      </w:r>
      <w:r w:rsidRPr="00BB31E4">
        <w:rPr>
          <w:sz w:val="18"/>
          <w:lang w:eastAsia="zh-CN"/>
        </w:rPr>
        <w:tab/>
        <w:t>Nokia, Alcatel-Lucent Shanghai Bell</w:t>
      </w:r>
    </w:p>
    <w:p w14:paraId="784842CF" w14:textId="6EE6216B" w:rsidR="00387082" w:rsidRPr="00BB31E4" w:rsidRDefault="00387082" w:rsidP="00387082">
      <w:pPr>
        <w:numPr>
          <w:ilvl w:val="0"/>
          <w:numId w:val="4"/>
        </w:numPr>
        <w:overflowPunct w:val="0"/>
        <w:autoSpaceDE w:val="0"/>
        <w:autoSpaceDN w:val="0"/>
        <w:adjustRightInd w:val="0"/>
        <w:textAlignment w:val="baseline"/>
        <w:rPr>
          <w:sz w:val="18"/>
          <w:lang w:eastAsia="zh-CN"/>
        </w:rPr>
      </w:pPr>
      <w:r w:rsidRPr="00BB31E4">
        <w:rPr>
          <w:sz w:val="18"/>
          <w:lang w:eastAsia="zh-CN"/>
        </w:rPr>
        <w:t>R4-1609223, “NR UL selectivity requirements at BS RX”, Nokia, Alcatel-Lucent Shanghai Bell</w:t>
      </w:r>
    </w:p>
    <w:p w14:paraId="0737E93A" w14:textId="2A3F014A" w:rsidR="00387082" w:rsidRPr="00BB31E4" w:rsidRDefault="00387082" w:rsidP="00387082">
      <w:pPr>
        <w:numPr>
          <w:ilvl w:val="0"/>
          <w:numId w:val="4"/>
        </w:numPr>
        <w:overflowPunct w:val="0"/>
        <w:autoSpaceDE w:val="0"/>
        <w:autoSpaceDN w:val="0"/>
        <w:adjustRightInd w:val="0"/>
        <w:textAlignment w:val="baseline"/>
        <w:rPr>
          <w:sz w:val="18"/>
          <w:lang w:eastAsia="zh-CN"/>
        </w:rPr>
      </w:pPr>
      <w:r w:rsidRPr="00BB31E4">
        <w:rPr>
          <w:sz w:val="18"/>
          <w:lang w:eastAsia="zh-CN"/>
        </w:rPr>
        <w:t>R4-1609225, “NR DL in-band EVM and emission requirements at BS TX”, Nokia, Alcatel-Lucent Shanghai Bell</w:t>
      </w:r>
    </w:p>
    <w:p w14:paraId="10C27AD5" w14:textId="117700AA" w:rsidR="0027345D" w:rsidRPr="00BB31E4" w:rsidRDefault="00387082" w:rsidP="00387082">
      <w:pPr>
        <w:numPr>
          <w:ilvl w:val="0"/>
          <w:numId w:val="4"/>
        </w:numPr>
        <w:overflowPunct w:val="0"/>
        <w:autoSpaceDE w:val="0"/>
        <w:autoSpaceDN w:val="0"/>
        <w:adjustRightInd w:val="0"/>
        <w:textAlignment w:val="baseline"/>
        <w:rPr>
          <w:sz w:val="18"/>
          <w:lang w:eastAsia="zh-CN"/>
        </w:rPr>
      </w:pPr>
      <w:r w:rsidRPr="00BB31E4">
        <w:rPr>
          <w:sz w:val="18"/>
          <w:lang w:eastAsia="zh-CN"/>
        </w:rPr>
        <w:t>R4-1609227, “NR DL selectivity requirements at UE RX”, Nokia, Alcatel-Lucent Shanghai Bell</w:t>
      </w:r>
    </w:p>
    <w:p w14:paraId="689E001B" w14:textId="4F0ACFCF" w:rsidR="00BF00E1" w:rsidRPr="00BB31E4" w:rsidRDefault="00BF00E1" w:rsidP="00BF00E1">
      <w:pPr>
        <w:numPr>
          <w:ilvl w:val="0"/>
          <w:numId w:val="4"/>
        </w:numPr>
        <w:overflowPunct w:val="0"/>
        <w:autoSpaceDE w:val="0"/>
        <w:autoSpaceDN w:val="0"/>
        <w:adjustRightInd w:val="0"/>
        <w:textAlignment w:val="baseline"/>
        <w:rPr>
          <w:sz w:val="18"/>
          <w:lang w:eastAsia="zh-CN"/>
        </w:rPr>
      </w:pPr>
      <w:r w:rsidRPr="00BB31E4">
        <w:rPr>
          <w:sz w:val="18"/>
          <w:lang w:eastAsia="zh-CN"/>
        </w:rPr>
        <w:t>RP-161914, “Outcome from prioritization discussion for New Radio Access Technology SI”, RAN2 chair (Intel), RAN1 chair (NTT DOCOMO), RAN3 chair (Huawei), RAN4 chair (Samsung)</w:t>
      </w: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F615B" w14:textId="77777777" w:rsidR="00B83683" w:rsidRDefault="00B83683">
      <w:r>
        <w:separator/>
      </w:r>
    </w:p>
  </w:endnote>
  <w:endnote w:type="continuationSeparator" w:id="0">
    <w:p w14:paraId="3F004C82" w14:textId="77777777" w:rsidR="00B83683" w:rsidRDefault="00B83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36DF48" w14:textId="77777777" w:rsidR="00B83683" w:rsidRDefault="00B83683">
      <w:r>
        <w:separator/>
      </w:r>
    </w:p>
  </w:footnote>
  <w:footnote w:type="continuationSeparator" w:id="0">
    <w:p w14:paraId="654B2CFF" w14:textId="77777777" w:rsidR="00B83683" w:rsidRDefault="00B836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46DA0"/>
    <w:multiLevelType w:val="hybridMultilevel"/>
    <w:tmpl w:val="C1A2EC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4"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9"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3"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1"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14"/>
    <w:lvlOverride w:ilvl="0">
      <w:startOverride w:val="1"/>
    </w:lvlOverride>
    <w:lvlOverride w:ilvl="1"/>
    <w:lvlOverride w:ilvl="2"/>
    <w:lvlOverride w:ilvl="3"/>
    <w:lvlOverride w:ilvl="4"/>
    <w:lvlOverride w:ilvl="5"/>
    <w:lvlOverride w:ilvl="6"/>
    <w:lvlOverride w:ilvl="7"/>
    <w:lvlOverride w:ilvl="8"/>
  </w:num>
  <w:num w:numId="6">
    <w:abstractNumId w:val="7"/>
  </w:num>
  <w:num w:numId="7">
    <w:abstractNumId w:val="3"/>
  </w:num>
  <w:num w:numId="8">
    <w:abstractNumId w:val="19"/>
  </w:num>
  <w:num w:numId="9">
    <w:abstractNumId w:val="5"/>
  </w:num>
  <w:num w:numId="10">
    <w:abstractNumId w:val="13"/>
  </w:num>
  <w:num w:numId="11">
    <w:abstractNumId w:val="4"/>
  </w:num>
  <w:num w:numId="12">
    <w:abstractNumId w:val="24"/>
  </w:num>
  <w:num w:numId="13">
    <w:abstractNumId w:val="19"/>
  </w:num>
  <w:num w:numId="14">
    <w:abstractNumId w:val="25"/>
  </w:num>
  <w:num w:numId="15">
    <w:abstractNumId w:val="15"/>
  </w:num>
  <w:num w:numId="16">
    <w:abstractNumId w:val="17"/>
  </w:num>
  <w:num w:numId="17">
    <w:abstractNumId w:val="16"/>
  </w:num>
  <w:num w:numId="18">
    <w:abstractNumId w:val="6"/>
  </w:num>
  <w:num w:numId="19">
    <w:abstractNumId w:val="12"/>
  </w:num>
  <w:num w:numId="20">
    <w:abstractNumId w:val="20"/>
  </w:num>
  <w:num w:numId="21">
    <w:abstractNumId w:val="9"/>
  </w:num>
  <w:num w:numId="22">
    <w:abstractNumId w:val="8"/>
  </w:num>
  <w:num w:numId="23">
    <w:abstractNumId w:val="22"/>
  </w:num>
  <w:num w:numId="24">
    <w:abstractNumId w:val="21"/>
  </w:num>
  <w:num w:numId="25">
    <w:abstractNumId w:val="11"/>
  </w:num>
  <w:num w:numId="26">
    <w:abstractNumId w:val="18"/>
  </w:num>
  <w:num w:numId="27">
    <w:abstractNumId w:val="23"/>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938"/>
    <w:rsid w:val="0001145D"/>
    <w:rsid w:val="00017313"/>
    <w:rsid w:val="000300D0"/>
    <w:rsid w:val="000305C8"/>
    <w:rsid w:val="00030689"/>
    <w:rsid w:val="00033397"/>
    <w:rsid w:val="000365B5"/>
    <w:rsid w:val="00040095"/>
    <w:rsid w:val="00053614"/>
    <w:rsid w:val="00054B37"/>
    <w:rsid w:val="000667FA"/>
    <w:rsid w:val="00071628"/>
    <w:rsid w:val="00071FFA"/>
    <w:rsid w:val="000721A4"/>
    <w:rsid w:val="00073190"/>
    <w:rsid w:val="0007527A"/>
    <w:rsid w:val="00080512"/>
    <w:rsid w:val="00081167"/>
    <w:rsid w:val="000830B8"/>
    <w:rsid w:val="00090468"/>
    <w:rsid w:val="00091B51"/>
    <w:rsid w:val="00092463"/>
    <w:rsid w:val="00097704"/>
    <w:rsid w:val="000A1A7C"/>
    <w:rsid w:val="000A4929"/>
    <w:rsid w:val="000B120E"/>
    <w:rsid w:val="000B2938"/>
    <w:rsid w:val="000B6232"/>
    <w:rsid w:val="000B6309"/>
    <w:rsid w:val="000B7BCF"/>
    <w:rsid w:val="000C02E7"/>
    <w:rsid w:val="000C250C"/>
    <w:rsid w:val="000C27B8"/>
    <w:rsid w:val="000C3813"/>
    <w:rsid w:val="000C522B"/>
    <w:rsid w:val="000C5373"/>
    <w:rsid w:val="000C5CB1"/>
    <w:rsid w:val="000D4E52"/>
    <w:rsid w:val="000D58AB"/>
    <w:rsid w:val="000D64D4"/>
    <w:rsid w:val="000D771B"/>
    <w:rsid w:val="000E07E9"/>
    <w:rsid w:val="000F583D"/>
    <w:rsid w:val="000F7070"/>
    <w:rsid w:val="00103E62"/>
    <w:rsid w:val="00105C1B"/>
    <w:rsid w:val="00106238"/>
    <w:rsid w:val="00135404"/>
    <w:rsid w:val="00147B64"/>
    <w:rsid w:val="001509A1"/>
    <w:rsid w:val="00156982"/>
    <w:rsid w:val="00171463"/>
    <w:rsid w:val="00172D1A"/>
    <w:rsid w:val="001741A0"/>
    <w:rsid w:val="00176E94"/>
    <w:rsid w:val="0018168F"/>
    <w:rsid w:val="00183421"/>
    <w:rsid w:val="001842C2"/>
    <w:rsid w:val="00184951"/>
    <w:rsid w:val="0018583D"/>
    <w:rsid w:val="001863F5"/>
    <w:rsid w:val="00194CD0"/>
    <w:rsid w:val="00194E93"/>
    <w:rsid w:val="001A2A06"/>
    <w:rsid w:val="001B49C9"/>
    <w:rsid w:val="001B7DA9"/>
    <w:rsid w:val="001C5CCF"/>
    <w:rsid w:val="001C6371"/>
    <w:rsid w:val="001C75B0"/>
    <w:rsid w:val="001D2D88"/>
    <w:rsid w:val="001D3BFF"/>
    <w:rsid w:val="001D443D"/>
    <w:rsid w:val="001D65BD"/>
    <w:rsid w:val="001D662B"/>
    <w:rsid w:val="001D68E2"/>
    <w:rsid w:val="001E5E16"/>
    <w:rsid w:val="001E7664"/>
    <w:rsid w:val="001F168B"/>
    <w:rsid w:val="001F36CE"/>
    <w:rsid w:val="001F6410"/>
    <w:rsid w:val="001F7831"/>
    <w:rsid w:val="00201C2F"/>
    <w:rsid w:val="00204045"/>
    <w:rsid w:val="00211D93"/>
    <w:rsid w:val="00217539"/>
    <w:rsid w:val="0022028F"/>
    <w:rsid w:val="002220DD"/>
    <w:rsid w:val="0022606D"/>
    <w:rsid w:val="00231A80"/>
    <w:rsid w:val="00234E78"/>
    <w:rsid w:val="00241B8E"/>
    <w:rsid w:val="00245034"/>
    <w:rsid w:val="002519DA"/>
    <w:rsid w:val="00256F2C"/>
    <w:rsid w:val="002710CA"/>
    <w:rsid w:val="0027345D"/>
    <w:rsid w:val="002747EC"/>
    <w:rsid w:val="00274E7B"/>
    <w:rsid w:val="00283F97"/>
    <w:rsid w:val="00284494"/>
    <w:rsid w:val="002845F1"/>
    <w:rsid w:val="002855BF"/>
    <w:rsid w:val="0028563D"/>
    <w:rsid w:val="00290BB8"/>
    <w:rsid w:val="002949B1"/>
    <w:rsid w:val="00297BF5"/>
    <w:rsid w:val="002C52AF"/>
    <w:rsid w:val="002C7FDB"/>
    <w:rsid w:val="002D3588"/>
    <w:rsid w:val="002F0779"/>
    <w:rsid w:val="002F0D22"/>
    <w:rsid w:val="0030003D"/>
    <w:rsid w:val="00304A8D"/>
    <w:rsid w:val="00316195"/>
    <w:rsid w:val="003161B4"/>
    <w:rsid w:val="003172DC"/>
    <w:rsid w:val="003226A8"/>
    <w:rsid w:val="00322FA8"/>
    <w:rsid w:val="00325B90"/>
    <w:rsid w:val="00326069"/>
    <w:rsid w:val="00352D97"/>
    <w:rsid w:val="0035462D"/>
    <w:rsid w:val="0035791B"/>
    <w:rsid w:val="00357FD7"/>
    <w:rsid w:val="003629B9"/>
    <w:rsid w:val="00367759"/>
    <w:rsid w:val="00370277"/>
    <w:rsid w:val="00376ABD"/>
    <w:rsid w:val="00384421"/>
    <w:rsid w:val="00387082"/>
    <w:rsid w:val="00391384"/>
    <w:rsid w:val="00394576"/>
    <w:rsid w:val="003A4E98"/>
    <w:rsid w:val="003A5A3E"/>
    <w:rsid w:val="003B070C"/>
    <w:rsid w:val="003B0D89"/>
    <w:rsid w:val="003C0494"/>
    <w:rsid w:val="003C21BD"/>
    <w:rsid w:val="003C4E37"/>
    <w:rsid w:val="003C6FD7"/>
    <w:rsid w:val="003D2698"/>
    <w:rsid w:val="003D403D"/>
    <w:rsid w:val="003D6E96"/>
    <w:rsid w:val="003E16BE"/>
    <w:rsid w:val="003E59BE"/>
    <w:rsid w:val="003E648B"/>
    <w:rsid w:val="003E6A5A"/>
    <w:rsid w:val="00401855"/>
    <w:rsid w:val="004066C0"/>
    <w:rsid w:val="00414F32"/>
    <w:rsid w:val="0043021C"/>
    <w:rsid w:val="00432EA4"/>
    <w:rsid w:val="004337BD"/>
    <w:rsid w:val="00442797"/>
    <w:rsid w:val="00445AB5"/>
    <w:rsid w:val="00450BF1"/>
    <w:rsid w:val="00451636"/>
    <w:rsid w:val="0045347A"/>
    <w:rsid w:val="004551C1"/>
    <w:rsid w:val="00466118"/>
    <w:rsid w:val="00467F50"/>
    <w:rsid w:val="00476542"/>
    <w:rsid w:val="00477455"/>
    <w:rsid w:val="00481014"/>
    <w:rsid w:val="004813D0"/>
    <w:rsid w:val="004819E2"/>
    <w:rsid w:val="00482066"/>
    <w:rsid w:val="0048229C"/>
    <w:rsid w:val="00486525"/>
    <w:rsid w:val="0048759B"/>
    <w:rsid w:val="00487DA4"/>
    <w:rsid w:val="00497A23"/>
    <w:rsid w:val="004A0324"/>
    <w:rsid w:val="004A20E8"/>
    <w:rsid w:val="004A26DA"/>
    <w:rsid w:val="004A4285"/>
    <w:rsid w:val="004A51E7"/>
    <w:rsid w:val="004B4FB4"/>
    <w:rsid w:val="004D2FAA"/>
    <w:rsid w:val="004D3578"/>
    <w:rsid w:val="004D380D"/>
    <w:rsid w:val="004E12B1"/>
    <w:rsid w:val="004E213A"/>
    <w:rsid w:val="00503171"/>
    <w:rsid w:val="00506060"/>
    <w:rsid w:val="00507AF5"/>
    <w:rsid w:val="0051369E"/>
    <w:rsid w:val="0051469E"/>
    <w:rsid w:val="005151D2"/>
    <w:rsid w:val="00524C2E"/>
    <w:rsid w:val="005252D5"/>
    <w:rsid w:val="00534DA0"/>
    <w:rsid w:val="005376E1"/>
    <w:rsid w:val="00540EF4"/>
    <w:rsid w:val="00543E6C"/>
    <w:rsid w:val="00545EAB"/>
    <w:rsid w:val="00546DC4"/>
    <w:rsid w:val="00546DCA"/>
    <w:rsid w:val="00547A4C"/>
    <w:rsid w:val="00565087"/>
    <w:rsid w:val="0056573F"/>
    <w:rsid w:val="005711AE"/>
    <w:rsid w:val="0059000D"/>
    <w:rsid w:val="00592A31"/>
    <w:rsid w:val="005935C6"/>
    <w:rsid w:val="005A16DC"/>
    <w:rsid w:val="005A1848"/>
    <w:rsid w:val="005A504B"/>
    <w:rsid w:val="005B0554"/>
    <w:rsid w:val="005B2EA4"/>
    <w:rsid w:val="005B3245"/>
    <w:rsid w:val="005C0FDB"/>
    <w:rsid w:val="005C1BF3"/>
    <w:rsid w:val="005C2293"/>
    <w:rsid w:val="005D343C"/>
    <w:rsid w:val="005D4960"/>
    <w:rsid w:val="005D6168"/>
    <w:rsid w:val="005E36B0"/>
    <w:rsid w:val="005E5F83"/>
    <w:rsid w:val="005F5C79"/>
    <w:rsid w:val="00600984"/>
    <w:rsid w:val="006028B1"/>
    <w:rsid w:val="00611566"/>
    <w:rsid w:val="00616F25"/>
    <w:rsid w:val="00625433"/>
    <w:rsid w:val="00633780"/>
    <w:rsid w:val="00633831"/>
    <w:rsid w:val="00637734"/>
    <w:rsid w:val="0064349F"/>
    <w:rsid w:val="00646D99"/>
    <w:rsid w:val="006475B9"/>
    <w:rsid w:val="006516F9"/>
    <w:rsid w:val="00654974"/>
    <w:rsid w:val="006550E8"/>
    <w:rsid w:val="00656910"/>
    <w:rsid w:val="0066204B"/>
    <w:rsid w:val="00662621"/>
    <w:rsid w:val="00664B16"/>
    <w:rsid w:val="00665F61"/>
    <w:rsid w:val="006776D1"/>
    <w:rsid w:val="006806B5"/>
    <w:rsid w:val="0068143A"/>
    <w:rsid w:val="00685F26"/>
    <w:rsid w:val="006866F8"/>
    <w:rsid w:val="006900CE"/>
    <w:rsid w:val="00690C58"/>
    <w:rsid w:val="006A0B35"/>
    <w:rsid w:val="006A28E7"/>
    <w:rsid w:val="006B19D5"/>
    <w:rsid w:val="006B19D6"/>
    <w:rsid w:val="006B6C1A"/>
    <w:rsid w:val="006C060B"/>
    <w:rsid w:val="006C115F"/>
    <w:rsid w:val="006C2F98"/>
    <w:rsid w:val="006C48CB"/>
    <w:rsid w:val="006C66D8"/>
    <w:rsid w:val="006C7481"/>
    <w:rsid w:val="006D1E24"/>
    <w:rsid w:val="006D6055"/>
    <w:rsid w:val="006F3924"/>
    <w:rsid w:val="006F6A2C"/>
    <w:rsid w:val="00701254"/>
    <w:rsid w:val="00702306"/>
    <w:rsid w:val="007054E8"/>
    <w:rsid w:val="007064D2"/>
    <w:rsid w:val="007201A8"/>
    <w:rsid w:val="007202FD"/>
    <w:rsid w:val="00726ECF"/>
    <w:rsid w:val="00734A5B"/>
    <w:rsid w:val="00743256"/>
    <w:rsid w:val="00744E76"/>
    <w:rsid w:val="00745BD6"/>
    <w:rsid w:val="00745DF4"/>
    <w:rsid w:val="00751E84"/>
    <w:rsid w:val="007546F4"/>
    <w:rsid w:val="00754703"/>
    <w:rsid w:val="00755597"/>
    <w:rsid w:val="00755CCE"/>
    <w:rsid w:val="00757D40"/>
    <w:rsid w:val="00763A99"/>
    <w:rsid w:val="00772D0D"/>
    <w:rsid w:val="00773A5C"/>
    <w:rsid w:val="00781F0F"/>
    <w:rsid w:val="00783CF8"/>
    <w:rsid w:val="00785A41"/>
    <w:rsid w:val="00786853"/>
    <w:rsid w:val="0078727C"/>
    <w:rsid w:val="00794703"/>
    <w:rsid w:val="007A0D95"/>
    <w:rsid w:val="007A2E8D"/>
    <w:rsid w:val="007A6DD5"/>
    <w:rsid w:val="007A7A31"/>
    <w:rsid w:val="007B18D8"/>
    <w:rsid w:val="007B5E5E"/>
    <w:rsid w:val="007C095F"/>
    <w:rsid w:val="007C20EA"/>
    <w:rsid w:val="007C367C"/>
    <w:rsid w:val="007D4B8E"/>
    <w:rsid w:val="007D5827"/>
    <w:rsid w:val="007E0578"/>
    <w:rsid w:val="007E0E7C"/>
    <w:rsid w:val="007E2C59"/>
    <w:rsid w:val="007E3F64"/>
    <w:rsid w:val="007E5ACF"/>
    <w:rsid w:val="007F3BC4"/>
    <w:rsid w:val="00801BFD"/>
    <w:rsid w:val="008028A4"/>
    <w:rsid w:val="00803572"/>
    <w:rsid w:val="008068B6"/>
    <w:rsid w:val="00806CC4"/>
    <w:rsid w:val="00814B79"/>
    <w:rsid w:val="00816D4D"/>
    <w:rsid w:val="00823F2B"/>
    <w:rsid w:val="008268CE"/>
    <w:rsid w:val="008314F0"/>
    <w:rsid w:val="00833BD5"/>
    <w:rsid w:val="00834AD1"/>
    <w:rsid w:val="008353F8"/>
    <w:rsid w:val="00840943"/>
    <w:rsid w:val="00843BD9"/>
    <w:rsid w:val="008531D2"/>
    <w:rsid w:val="00855460"/>
    <w:rsid w:val="008610FC"/>
    <w:rsid w:val="0086539A"/>
    <w:rsid w:val="00865FF5"/>
    <w:rsid w:val="008663F0"/>
    <w:rsid w:val="0086716D"/>
    <w:rsid w:val="008717A7"/>
    <w:rsid w:val="0087443D"/>
    <w:rsid w:val="008768CA"/>
    <w:rsid w:val="00877F26"/>
    <w:rsid w:val="00880559"/>
    <w:rsid w:val="00881B80"/>
    <w:rsid w:val="00883564"/>
    <w:rsid w:val="008840FF"/>
    <w:rsid w:val="00884944"/>
    <w:rsid w:val="00886976"/>
    <w:rsid w:val="00886E81"/>
    <w:rsid w:val="00892794"/>
    <w:rsid w:val="008930EB"/>
    <w:rsid w:val="008A1F7A"/>
    <w:rsid w:val="008A7413"/>
    <w:rsid w:val="008B0648"/>
    <w:rsid w:val="008B2259"/>
    <w:rsid w:val="008B5129"/>
    <w:rsid w:val="008B7A6D"/>
    <w:rsid w:val="008C3221"/>
    <w:rsid w:val="008D7B95"/>
    <w:rsid w:val="008E4342"/>
    <w:rsid w:val="008F32DB"/>
    <w:rsid w:val="0090235E"/>
    <w:rsid w:val="0090271F"/>
    <w:rsid w:val="009037EA"/>
    <w:rsid w:val="00914F32"/>
    <w:rsid w:val="0091558A"/>
    <w:rsid w:val="0091687F"/>
    <w:rsid w:val="00916B4F"/>
    <w:rsid w:val="009175D3"/>
    <w:rsid w:val="00921AE5"/>
    <w:rsid w:val="00931061"/>
    <w:rsid w:val="00933DF8"/>
    <w:rsid w:val="00933E02"/>
    <w:rsid w:val="009368F7"/>
    <w:rsid w:val="00937E12"/>
    <w:rsid w:val="00942EC2"/>
    <w:rsid w:val="00961B32"/>
    <w:rsid w:val="009664FF"/>
    <w:rsid w:val="00974BB0"/>
    <w:rsid w:val="00977040"/>
    <w:rsid w:val="009802BA"/>
    <w:rsid w:val="00980D60"/>
    <w:rsid w:val="00983994"/>
    <w:rsid w:val="00987003"/>
    <w:rsid w:val="009905B5"/>
    <w:rsid w:val="0099504E"/>
    <w:rsid w:val="009957D3"/>
    <w:rsid w:val="00997F3F"/>
    <w:rsid w:val="009B04B1"/>
    <w:rsid w:val="009B07CD"/>
    <w:rsid w:val="009C0FC4"/>
    <w:rsid w:val="009C229E"/>
    <w:rsid w:val="009C3AFC"/>
    <w:rsid w:val="009C3F19"/>
    <w:rsid w:val="009C6446"/>
    <w:rsid w:val="009C7434"/>
    <w:rsid w:val="009C7F1A"/>
    <w:rsid w:val="009D3E41"/>
    <w:rsid w:val="009D547F"/>
    <w:rsid w:val="009E6120"/>
    <w:rsid w:val="009E7A4D"/>
    <w:rsid w:val="009F1CA2"/>
    <w:rsid w:val="009F62EC"/>
    <w:rsid w:val="009F6E12"/>
    <w:rsid w:val="00A06A73"/>
    <w:rsid w:val="00A10F02"/>
    <w:rsid w:val="00A10F35"/>
    <w:rsid w:val="00A122CF"/>
    <w:rsid w:val="00A14B2B"/>
    <w:rsid w:val="00A21A31"/>
    <w:rsid w:val="00A325B1"/>
    <w:rsid w:val="00A36BCE"/>
    <w:rsid w:val="00A41547"/>
    <w:rsid w:val="00A41AF6"/>
    <w:rsid w:val="00A45FE2"/>
    <w:rsid w:val="00A47851"/>
    <w:rsid w:val="00A53724"/>
    <w:rsid w:val="00A558DF"/>
    <w:rsid w:val="00A5684F"/>
    <w:rsid w:val="00A575A8"/>
    <w:rsid w:val="00A62DA8"/>
    <w:rsid w:val="00A70614"/>
    <w:rsid w:val="00A70BEF"/>
    <w:rsid w:val="00A7177C"/>
    <w:rsid w:val="00A73D42"/>
    <w:rsid w:val="00A82346"/>
    <w:rsid w:val="00A92BF2"/>
    <w:rsid w:val="00A9671C"/>
    <w:rsid w:val="00AA31D3"/>
    <w:rsid w:val="00AA5E39"/>
    <w:rsid w:val="00AB21D9"/>
    <w:rsid w:val="00AB4D6C"/>
    <w:rsid w:val="00AC22FF"/>
    <w:rsid w:val="00AC4BFF"/>
    <w:rsid w:val="00AC4CB8"/>
    <w:rsid w:val="00AD0ACD"/>
    <w:rsid w:val="00AE040B"/>
    <w:rsid w:val="00AE1560"/>
    <w:rsid w:val="00AE1D78"/>
    <w:rsid w:val="00AF3271"/>
    <w:rsid w:val="00AF474E"/>
    <w:rsid w:val="00B00D9F"/>
    <w:rsid w:val="00B00FC1"/>
    <w:rsid w:val="00B05FE9"/>
    <w:rsid w:val="00B075FF"/>
    <w:rsid w:val="00B07A03"/>
    <w:rsid w:val="00B106C3"/>
    <w:rsid w:val="00B151BE"/>
    <w:rsid w:val="00B15449"/>
    <w:rsid w:val="00B1576F"/>
    <w:rsid w:val="00B21FDB"/>
    <w:rsid w:val="00B22A1E"/>
    <w:rsid w:val="00B35A7C"/>
    <w:rsid w:val="00B3671D"/>
    <w:rsid w:val="00B36A57"/>
    <w:rsid w:val="00B37D83"/>
    <w:rsid w:val="00B403B3"/>
    <w:rsid w:val="00B407B7"/>
    <w:rsid w:val="00B419A4"/>
    <w:rsid w:val="00B41E66"/>
    <w:rsid w:val="00B421F2"/>
    <w:rsid w:val="00B47FD1"/>
    <w:rsid w:val="00B52126"/>
    <w:rsid w:val="00B55E03"/>
    <w:rsid w:val="00B62C44"/>
    <w:rsid w:val="00B643EA"/>
    <w:rsid w:val="00B65110"/>
    <w:rsid w:val="00B729FF"/>
    <w:rsid w:val="00B75553"/>
    <w:rsid w:val="00B7710D"/>
    <w:rsid w:val="00B83683"/>
    <w:rsid w:val="00B84530"/>
    <w:rsid w:val="00B858DB"/>
    <w:rsid w:val="00B85923"/>
    <w:rsid w:val="00B93022"/>
    <w:rsid w:val="00B958F1"/>
    <w:rsid w:val="00B9597D"/>
    <w:rsid w:val="00B96C86"/>
    <w:rsid w:val="00BA0577"/>
    <w:rsid w:val="00BA247D"/>
    <w:rsid w:val="00BB17FC"/>
    <w:rsid w:val="00BB2E05"/>
    <w:rsid w:val="00BB31E4"/>
    <w:rsid w:val="00BB5AD8"/>
    <w:rsid w:val="00BB69DD"/>
    <w:rsid w:val="00BC4D65"/>
    <w:rsid w:val="00BC7898"/>
    <w:rsid w:val="00BD0A57"/>
    <w:rsid w:val="00BE5542"/>
    <w:rsid w:val="00BE749D"/>
    <w:rsid w:val="00BF00E1"/>
    <w:rsid w:val="00BF021E"/>
    <w:rsid w:val="00BF4D83"/>
    <w:rsid w:val="00BF5DC7"/>
    <w:rsid w:val="00BF7487"/>
    <w:rsid w:val="00C013D6"/>
    <w:rsid w:val="00C10CB9"/>
    <w:rsid w:val="00C12B51"/>
    <w:rsid w:val="00C16CAB"/>
    <w:rsid w:val="00C21472"/>
    <w:rsid w:val="00C2422B"/>
    <w:rsid w:val="00C33045"/>
    <w:rsid w:val="00C33079"/>
    <w:rsid w:val="00C4125C"/>
    <w:rsid w:val="00C50588"/>
    <w:rsid w:val="00C522DE"/>
    <w:rsid w:val="00C523F4"/>
    <w:rsid w:val="00C545DC"/>
    <w:rsid w:val="00C57DCA"/>
    <w:rsid w:val="00C608C8"/>
    <w:rsid w:val="00C60F8F"/>
    <w:rsid w:val="00C659DA"/>
    <w:rsid w:val="00C67C94"/>
    <w:rsid w:val="00C70261"/>
    <w:rsid w:val="00C71034"/>
    <w:rsid w:val="00C737CC"/>
    <w:rsid w:val="00C83A13"/>
    <w:rsid w:val="00C905FB"/>
    <w:rsid w:val="00C91888"/>
    <w:rsid w:val="00C92312"/>
    <w:rsid w:val="00CA3D0C"/>
    <w:rsid w:val="00CA7F1B"/>
    <w:rsid w:val="00CB4FB2"/>
    <w:rsid w:val="00CB69BA"/>
    <w:rsid w:val="00CB7E17"/>
    <w:rsid w:val="00CC126A"/>
    <w:rsid w:val="00CC1E29"/>
    <w:rsid w:val="00CC559E"/>
    <w:rsid w:val="00CD4C7B"/>
    <w:rsid w:val="00CD4DA4"/>
    <w:rsid w:val="00CD7510"/>
    <w:rsid w:val="00CE0A31"/>
    <w:rsid w:val="00CE1DFE"/>
    <w:rsid w:val="00CE2626"/>
    <w:rsid w:val="00CE4AA6"/>
    <w:rsid w:val="00CE58A8"/>
    <w:rsid w:val="00CF14BD"/>
    <w:rsid w:val="00CF18E5"/>
    <w:rsid w:val="00CF7C46"/>
    <w:rsid w:val="00D0150E"/>
    <w:rsid w:val="00D203BA"/>
    <w:rsid w:val="00D20564"/>
    <w:rsid w:val="00D30C3E"/>
    <w:rsid w:val="00D338A9"/>
    <w:rsid w:val="00D50815"/>
    <w:rsid w:val="00D5329B"/>
    <w:rsid w:val="00D70829"/>
    <w:rsid w:val="00D70CC2"/>
    <w:rsid w:val="00D738D6"/>
    <w:rsid w:val="00D80795"/>
    <w:rsid w:val="00D83270"/>
    <w:rsid w:val="00D842FC"/>
    <w:rsid w:val="00D87E00"/>
    <w:rsid w:val="00D9134D"/>
    <w:rsid w:val="00D93803"/>
    <w:rsid w:val="00D94F9F"/>
    <w:rsid w:val="00D95CF9"/>
    <w:rsid w:val="00D96D11"/>
    <w:rsid w:val="00D97702"/>
    <w:rsid w:val="00DA3EDB"/>
    <w:rsid w:val="00DA7A03"/>
    <w:rsid w:val="00DB1818"/>
    <w:rsid w:val="00DB5C8B"/>
    <w:rsid w:val="00DC1D94"/>
    <w:rsid w:val="00DC309B"/>
    <w:rsid w:val="00DC4DA2"/>
    <w:rsid w:val="00DD650B"/>
    <w:rsid w:val="00DF0FDB"/>
    <w:rsid w:val="00DF416E"/>
    <w:rsid w:val="00DF59E1"/>
    <w:rsid w:val="00DF739E"/>
    <w:rsid w:val="00E001D3"/>
    <w:rsid w:val="00E03893"/>
    <w:rsid w:val="00E1575F"/>
    <w:rsid w:val="00E16739"/>
    <w:rsid w:val="00E223B2"/>
    <w:rsid w:val="00E245FD"/>
    <w:rsid w:val="00E275A4"/>
    <w:rsid w:val="00E33458"/>
    <w:rsid w:val="00E4045F"/>
    <w:rsid w:val="00E53962"/>
    <w:rsid w:val="00E5474E"/>
    <w:rsid w:val="00E6140C"/>
    <w:rsid w:val="00E622D3"/>
    <w:rsid w:val="00E62835"/>
    <w:rsid w:val="00E63184"/>
    <w:rsid w:val="00E67834"/>
    <w:rsid w:val="00E72AF7"/>
    <w:rsid w:val="00E743E5"/>
    <w:rsid w:val="00E7504C"/>
    <w:rsid w:val="00E77645"/>
    <w:rsid w:val="00E779F0"/>
    <w:rsid w:val="00E77E70"/>
    <w:rsid w:val="00E80B82"/>
    <w:rsid w:val="00E811ED"/>
    <w:rsid w:val="00E85882"/>
    <w:rsid w:val="00E915F0"/>
    <w:rsid w:val="00E92666"/>
    <w:rsid w:val="00E92AC9"/>
    <w:rsid w:val="00E93DCB"/>
    <w:rsid w:val="00E9454B"/>
    <w:rsid w:val="00EA05AE"/>
    <w:rsid w:val="00EA07EA"/>
    <w:rsid w:val="00EA399D"/>
    <w:rsid w:val="00EA50F9"/>
    <w:rsid w:val="00EB2948"/>
    <w:rsid w:val="00EC39A8"/>
    <w:rsid w:val="00EC4A25"/>
    <w:rsid w:val="00ED0CE4"/>
    <w:rsid w:val="00ED229C"/>
    <w:rsid w:val="00EE0F99"/>
    <w:rsid w:val="00EE4C68"/>
    <w:rsid w:val="00EE4D8F"/>
    <w:rsid w:val="00EE61A4"/>
    <w:rsid w:val="00EF6B50"/>
    <w:rsid w:val="00F01491"/>
    <w:rsid w:val="00F025A2"/>
    <w:rsid w:val="00F07388"/>
    <w:rsid w:val="00F078C8"/>
    <w:rsid w:val="00F110DD"/>
    <w:rsid w:val="00F139BA"/>
    <w:rsid w:val="00F168B8"/>
    <w:rsid w:val="00F2026E"/>
    <w:rsid w:val="00F2210A"/>
    <w:rsid w:val="00F360F1"/>
    <w:rsid w:val="00F37743"/>
    <w:rsid w:val="00F40C4F"/>
    <w:rsid w:val="00F419F4"/>
    <w:rsid w:val="00F437DA"/>
    <w:rsid w:val="00F54A3D"/>
    <w:rsid w:val="00F57A8E"/>
    <w:rsid w:val="00F61B3C"/>
    <w:rsid w:val="00F653B8"/>
    <w:rsid w:val="00F6613D"/>
    <w:rsid w:val="00F743A2"/>
    <w:rsid w:val="00F746ED"/>
    <w:rsid w:val="00F76F8F"/>
    <w:rsid w:val="00F81833"/>
    <w:rsid w:val="00F826F8"/>
    <w:rsid w:val="00F82E70"/>
    <w:rsid w:val="00F83E7E"/>
    <w:rsid w:val="00F86180"/>
    <w:rsid w:val="00F909AE"/>
    <w:rsid w:val="00F9595C"/>
    <w:rsid w:val="00F95998"/>
    <w:rsid w:val="00F9789D"/>
    <w:rsid w:val="00FA1266"/>
    <w:rsid w:val="00FA5190"/>
    <w:rsid w:val="00FA7EDB"/>
    <w:rsid w:val="00FB5B7B"/>
    <w:rsid w:val="00FB66B2"/>
    <w:rsid w:val="00FB7208"/>
    <w:rsid w:val="00FC1192"/>
    <w:rsid w:val="00FC562B"/>
    <w:rsid w:val="00FC582B"/>
    <w:rsid w:val="00FC6C6F"/>
    <w:rsid w:val="00FD00C4"/>
    <w:rsid w:val="00FD03D1"/>
    <w:rsid w:val="00FD07EB"/>
    <w:rsid w:val="00FD1732"/>
    <w:rsid w:val="00FD4976"/>
    <w:rsid w:val="00FD5DB4"/>
    <w:rsid w:val="00FE2651"/>
    <w:rsid w:val="00FF30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A8882-0F01-46E6-B12D-014413514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1211</Words>
  <Characters>6909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8104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Tuomo S</cp:lastModifiedBy>
  <cp:revision>2</cp:revision>
  <dcterms:created xsi:type="dcterms:W3CDTF">2016-11-04T19:30:00Z</dcterms:created>
  <dcterms:modified xsi:type="dcterms:W3CDTF">2016-11-04T19:30:00Z</dcterms:modified>
</cp:coreProperties>
</file>