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1D01B9">
      <w:pPr>
        <w:pStyle w:val="CRCoverPage"/>
        <w:tabs>
          <w:tab w:val="right" w:pos="9639"/>
          <w:tab w:val="right" w:pos="13323"/>
        </w:tabs>
        <w:spacing w:after="0"/>
        <w:rPr>
          <w:rFonts w:cs="Arial"/>
          <w:b/>
          <w:noProof/>
          <w:sz w:val="24"/>
          <w:szCs w:val="24"/>
        </w:rPr>
      </w:pPr>
      <w:r>
        <w:rPr>
          <w:rFonts w:cs="Arial"/>
          <w:b/>
          <w:noProof/>
          <w:sz w:val="24"/>
          <w:szCs w:val="24"/>
        </w:rPr>
        <w:t>3GPP TSG RAN</w:t>
      </w:r>
      <w:r w:rsidR="009E07BE">
        <w:rPr>
          <w:rFonts w:cs="Arial"/>
          <w:b/>
          <w:noProof/>
          <w:sz w:val="24"/>
          <w:szCs w:val="24"/>
        </w:rPr>
        <w:t>4</w:t>
      </w:r>
      <w:r>
        <w:rPr>
          <w:rFonts w:cs="Arial"/>
          <w:b/>
          <w:noProof/>
          <w:sz w:val="24"/>
          <w:szCs w:val="24"/>
        </w:rPr>
        <w:t xml:space="preserve"> Meeting #</w:t>
      </w:r>
      <w:r w:rsidR="00563C58">
        <w:rPr>
          <w:rFonts w:cs="Arial"/>
          <w:b/>
          <w:noProof/>
          <w:sz w:val="24"/>
          <w:szCs w:val="24"/>
        </w:rPr>
        <w:t>80bis</w:t>
      </w:r>
      <w:r>
        <w:rPr>
          <w:rFonts w:cs="Arial"/>
          <w:b/>
          <w:noProof/>
          <w:sz w:val="24"/>
          <w:szCs w:val="24"/>
        </w:rPr>
        <w:tab/>
      </w:r>
      <w:r w:rsidR="00C02D41">
        <w:rPr>
          <w:rFonts w:cs="Arial"/>
          <w:b/>
          <w:noProof/>
          <w:sz w:val="24"/>
          <w:szCs w:val="24"/>
        </w:rPr>
        <w:t>R</w:t>
      </w:r>
      <w:r w:rsidR="009E07BE">
        <w:rPr>
          <w:rFonts w:cs="Arial"/>
          <w:b/>
          <w:noProof/>
          <w:sz w:val="24"/>
          <w:szCs w:val="24"/>
        </w:rPr>
        <w:t>4</w:t>
      </w:r>
      <w:r w:rsidR="00C02D41">
        <w:rPr>
          <w:rFonts w:cs="Arial"/>
          <w:b/>
          <w:noProof/>
          <w:sz w:val="24"/>
          <w:szCs w:val="24"/>
        </w:rPr>
        <w:t>-16</w:t>
      </w:r>
      <w:r w:rsidR="002E6F78">
        <w:rPr>
          <w:rFonts w:cs="Arial"/>
          <w:b/>
          <w:noProof/>
          <w:sz w:val="24"/>
          <w:szCs w:val="24"/>
        </w:rPr>
        <w:t>8827</w:t>
      </w:r>
      <w:bookmarkStart w:id="0" w:name="_GoBack"/>
      <w:bookmarkEnd w:id="0"/>
    </w:p>
    <w:p w:rsidR="001D01B9" w:rsidRDefault="00697680" w:rsidP="001D01B9">
      <w:pPr>
        <w:pStyle w:val="CRCoverPage"/>
        <w:tabs>
          <w:tab w:val="right" w:pos="9639"/>
          <w:tab w:val="right" w:pos="13323"/>
        </w:tabs>
        <w:spacing w:after="0"/>
        <w:jc w:val="right"/>
        <w:rPr>
          <w:rFonts w:cs="Arial"/>
          <w:b/>
          <w:noProof/>
          <w:sz w:val="24"/>
          <w:szCs w:val="24"/>
        </w:rPr>
      </w:pPr>
      <w:r>
        <w:rPr>
          <w:rFonts w:cs="Arial"/>
          <w:b/>
          <w:noProof/>
          <w:sz w:val="24"/>
          <w:szCs w:val="24"/>
        </w:rPr>
        <w:t>Ljublj</w:t>
      </w:r>
      <w:r w:rsidR="009E07BE">
        <w:rPr>
          <w:rFonts w:cs="Arial"/>
          <w:b/>
          <w:noProof/>
          <w:sz w:val="24"/>
          <w:szCs w:val="24"/>
        </w:rPr>
        <w:t>ana, Slovenia</w:t>
      </w:r>
      <w:r w:rsidR="001D01B9" w:rsidRPr="0033775D">
        <w:rPr>
          <w:rFonts w:cs="Arial"/>
          <w:b/>
          <w:noProof/>
          <w:sz w:val="24"/>
          <w:szCs w:val="24"/>
        </w:rPr>
        <w:t xml:space="preserve">, </w:t>
      </w:r>
      <w:r>
        <w:rPr>
          <w:rFonts w:cs="Arial"/>
          <w:b/>
          <w:noProof/>
          <w:sz w:val="24"/>
          <w:szCs w:val="24"/>
        </w:rPr>
        <w:t>1</w:t>
      </w:r>
      <w:r w:rsidR="0046436B">
        <w:rPr>
          <w:rFonts w:cs="Arial"/>
          <w:b/>
          <w:noProof/>
          <w:sz w:val="24"/>
          <w:szCs w:val="24"/>
        </w:rPr>
        <w:t>0</w:t>
      </w:r>
      <w:r w:rsidR="001D01B9" w:rsidRPr="008B769D">
        <w:rPr>
          <w:rFonts w:cs="Arial"/>
          <w:b/>
          <w:noProof/>
          <w:sz w:val="24"/>
          <w:szCs w:val="24"/>
          <w:vertAlign w:val="superscript"/>
        </w:rPr>
        <w:t>th</w:t>
      </w:r>
      <w:r w:rsidR="001D01B9" w:rsidRPr="0033775D">
        <w:rPr>
          <w:rFonts w:cs="Arial"/>
          <w:b/>
          <w:noProof/>
          <w:sz w:val="24"/>
          <w:szCs w:val="24"/>
        </w:rPr>
        <w:t xml:space="preserve"> – </w:t>
      </w:r>
      <w:r w:rsidR="0046436B">
        <w:rPr>
          <w:rFonts w:cs="Arial"/>
          <w:b/>
          <w:noProof/>
          <w:sz w:val="24"/>
          <w:szCs w:val="24"/>
        </w:rPr>
        <w:t>14</w:t>
      </w:r>
      <w:r w:rsidR="0046436B" w:rsidRPr="0046436B">
        <w:rPr>
          <w:rFonts w:cs="Arial"/>
          <w:b/>
          <w:noProof/>
          <w:sz w:val="24"/>
          <w:szCs w:val="24"/>
          <w:vertAlign w:val="superscript"/>
        </w:rPr>
        <w:t>th</w:t>
      </w:r>
      <w:r w:rsidR="0046436B">
        <w:rPr>
          <w:rFonts w:cs="Arial"/>
          <w:b/>
          <w:noProof/>
          <w:sz w:val="24"/>
          <w:szCs w:val="24"/>
        </w:rPr>
        <w:t xml:space="preserve"> </w:t>
      </w:r>
      <w:r w:rsidR="009E07BE">
        <w:rPr>
          <w:rFonts w:cs="Arial"/>
          <w:b/>
          <w:noProof/>
          <w:sz w:val="24"/>
          <w:szCs w:val="24"/>
        </w:rPr>
        <w:t>October</w:t>
      </w:r>
      <w:r w:rsidR="00E70DFF">
        <w:rPr>
          <w:rFonts w:cs="Arial"/>
          <w:b/>
          <w:noProof/>
          <w:sz w:val="24"/>
          <w:szCs w:val="24"/>
        </w:rPr>
        <w:t>,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7356AC">
        <w:rPr>
          <w:rFonts w:ascii="Arial" w:hAnsi="Arial"/>
          <w:sz w:val="22"/>
        </w:rPr>
        <w:t>V2V</w:t>
      </w:r>
      <w:r w:rsidR="00563C58">
        <w:rPr>
          <w:rFonts w:ascii="Arial" w:hAnsi="Arial"/>
          <w:sz w:val="22"/>
        </w:rPr>
        <w:t xml:space="preserve"> RF requirements for Europe</w:t>
      </w:r>
      <w:r w:rsidR="00563C58">
        <w:rPr>
          <w:rFonts w:ascii="Arial" w:hAnsi="Arial" w:cs="Arial"/>
          <w:sz w:val="24"/>
          <w:szCs w:val="24"/>
        </w:rPr>
        <w:t>an region</w:t>
      </w:r>
      <w:r w:rsidR="007356AC">
        <w:rPr>
          <w:rFonts w:ascii="Arial" w:hAnsi="Arial" w:cs="Arial"/>
          <w:sz w:val="24"/>
          <w:szCs w:val="24"/>
        </w:rPr>
        <w:t xml:space="preserve"> (under V2X WI)</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05115A">
        <w:rPr>
          <w:rFonts w:ascii="Arial" w:hAnsi="Arial"/>
          <w:sz w:val="24"/>
        </w:rPr>
        <w:t>8.20.2</w:t>
      </w:r>
      <w:r w:rsidR="007356AC">
        <w:rPr>
          <w:rFonts w:ascii="Arial" w:hAnsi="Arial"/>
          <w:sz w:val="24"/>
        </w:rPr>
        <w:t xml:space="preserve"> (V2X)</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510476">
        <w:rPr>
          <w:rFonts w:ascii="Arial" w:hAnsi="Arial"/>
          <w:sz w:val="24"/>
        </w:rPr>
        <w:t>Approval</w:t>
      </w:r>
    </w:p>
    <w:p w:rsidR="001D01B9" w:rsidRPr="00CC27F5" w:rsidRDefault="001D01B9" w:rsidP="001D01B9">
      <w:pPr>
        <w:pStyle w:val="Heading1"/>
        <w:jc w:val="both"/>
      </w:pPr>
      <w:r>
        <w:t>1</w:t>
      </w:r>
      <w:r>
        <w:tab/>
        <w:t>Introduction</w:t>
      </w:r>
    </w:p>
    <w:p w:rsidR="00510476" w:rsidRDefault="009E07BE" w:rsidP="00112205">
      <w:pPr>
        <w:jc w:val="both"/>
      </w:pPr>
      <w:r w:rsidRPr="00112205">
        <w:t>At RAN</w:t>
      </w:r>
      <w:r w:rsidR="0005115A">
        <w:t>#</w:t>
      </w:r>
      <w:r w:rsidRPr="00112205">
        <w:t xml:space="preserve">73, the LTE V2V work item was completed, and the V2X work item was revised </w:t>
      </w:r>
      <w:r w:rsidRPr="00112205">
        <w:rPr>
          <w:lang w:val="en-US"/>
        </w:rPr>
        <w:t xml:space="preserve">[1] </w:t>
      </w:r>
      <w:r w:rsidRPr="00112205">
        <w:t xml:space="preserve">to include some additional objectives relevant for V2V. </w:t>
      </w:r>
      <w:r w:rsidR="00510476">
        <w:t>One extremely important objective to enable V2V to be a success in Europe is copied below:</w:t>
      </w:r>
    </w:p>
    <w:p w:rsidR="00510476" w:rsidRPr="009E07BE" w:rsidRDefault="00510476" w:rsidP="00510476">
      <w:pPr>
        <w:adjustRightInd/>
        <w:ind w:left="360"/>
        <w:jc w:val="both"/>
        <w:textAlignment w:val="auto"/>
        <w:rPr>
          <w:i/>
          <w:lang w:eastAsia="ja-JP"/>
        </w:rPr>
      </w:pPr>
      <w:r w:rsidRPr="009E07BE">
        <w:rPr>
          <w:i/>
          <w:lang w:eastAsia="ko-KR"/>
        </w:rPr>
        <w:t xml:space="preserve">“7) To specify UE RF requirements including those for SL operation for licensed spectrum and for </w:t>
      </w:r>
      <w:proofErr w:type="gramStart"/>
      <w:r w:rsidRPr="009E07BE">
        <w:rPr>
          <w:i/>
          <w:lang w:eastAsia="ko-KR"/>
        </w:rPr>
        <w:t>regional</w:t>
      </w:r>
      <w:proofErr w:type="gramEnd"/>
      <w:r w:rsidRPr="009E07BE">
        <w:rPr>
          <w:i/>
          <w:lang w:eastAsia="ko-KR"/>
        </w:rPr>
        <w:t xml:space="preserve"> regulations [RAN4]”</w:t>
      </w:r>
    </w:p>
    <w:p w:rsidR="00510476" w:rsidRDefault="00510476" w:rsidP="00510476">
      <w:pPr>
        <w:jc w:val="both"/>
      </w:pPr>
      <w:r>
        <w:t xml:space="preserve">The rationale </w:t>
      </w:r>
      <w:r w:rsidR="00FB0B5B">
        <w:t xml:space="preserve">of the final part of </w:t>
      </w:r>
      <w:r>
        <w:t xml:space="preserve"> this objective is to ensure that the minimum RF requirements for a LTE-V2V device is able to comply with the corresponding </w:t>
      </w:r>
      <w:proofErr w:type="spellStart"/>
      <w:r>
        <w:t>Tx</w:t>
      </w:r>
      <w:proofErr w:type="spellEnd"/>
      <w:r>
        <w:t xml:space="preserve"> and Rx requirements in ETSI EN 302 571 (the European Harmonised Standard for ITS equipment operating in 5.9GHz frequency range).</w:t>
      </w:r>
    </w:p>
    <w:p w:rsidR="001D01B9" w:rsidRDefault="00510476" w:rsidP="00E76313">
      <w:pPr>
        <w:pStyle w:val="Header"/>
        <w:jc w:val="both"/>
        <w:rPr>
          <w:rFonts w:ascii="Times New Roman" w:hAnsi="Times New Roman"/>
          <w:b w:val="0"/>
          <w:noProof w:val="0"/>
          <w:sz w:val="20"/>
          <w:lang w:val="en-GB"/>
        </w:rPr>
      </w:pPr>
      <w:r>
        <w:rPr>
          <w:rFonts w:ascii="Times New Roman" w:hAnsi="Times New Roman"/>
          <w:b w:val="0"/>
          <w:noProof w:val="0"/>
          <w:sz w:val="20"/>
          <w:lang w:val="en-GB"/>
        </w:rPr>
        <w:t>The aim of the present document is to highlight what RAN4 should do in order to clearly demonstrate compliance to EN 302 571</w:t>
      </w:r>
      <w:r w:rsidR="00112205">
        <w:rPr>
          <w:rFonts w:ascii="Times New Roman" w:hAnsi="Times New Roman"/>
          <w:b w:val="0"/>
          <w:noProof w:val="0"/>
          <w:sz w:val="20"/>
          <w:lang w:val="en-GB"/>
        </w:rPr>
        <w:t>.</w:t>
      </w:r>
    </w:p>
    <w:p w:rsidR="00986BE4" w:rsidRPr="003A738E" w:rsidRDefault="00986BE4" w:rsidP="00E76313">
      <w:pPr>
        <w:pStyle w:val="Header"/>
        <w:jc w:val="both"/>
        <w:rPr>
          <w:rFonts w:ascii="Times New Roman" w:hAnsi="Times New Roman"/>
          <w:b w:val="0"/>
          <w:noProof w:val="0"/>
          <w:sz w:val="6"/>
          <w:szCs w:val="6"/>
          <w:lang w:val="en-GB"/>
        </w:rPr>
      </w:pPr>
    </w:p>
    <w:p w:rsidR="009E07BE" w:rsidRDefault="009E07BE" w:rsidP="00E76313">
      <w:pPr>
        <w:jc w:val="both"/>
      </w:pPr>
    </w:p>
    <w:p w:rsidR="00B25EB4" w:rsidRDefault="00112205" w:rsidP="00E76313">
      <w:pPr>
        <w:pStyle w:val="Heading1"/>
        <w:jc w:val="both"/>
      </w:pPr>
      <w:r>
        <w:t>2</w:t>
      </w:r>
      <w:r w:rsidR="00B25EB4">
        <w:tab/>
      </w:r>
      <w:r w:rsidR="00510476">
        <w:t xml:space="preserve">Discussion </w:t>
      </w:r>
    </w:p>
    <w:p w:rsidR="00EC3EA4" w:rsidRDefault="00505CE5" w:rsidP="00E76313">
      <w:pPr>
        <w:jc w:val="both"/>
      </w:pPr>
      <w:r>
        <w:t>We believe that it is important that 3GPP can (as transparently as possible) demonstrate that LTE-V2V is compliant with regional requirements for 5.9GHz in Europe. The following are some</w:t>
      </w:r>
      <w:r w:rsidR="009A7CFE">
        <w:t xml:space="preserve"> areas </w:t>
      </w:r>
      <w:r>
        <w:t xml:space="preserve">of concern </w:t>
      </w:r>
      <w:r w:rsidR="009A7CFE">
        <w:t>where RAN4 V2V minimum requirements are not aligned with the EN 302 571</w:t>
      </w:r>
      <w:r>
        <w:t>.</w:t>
      </w:r>
    </w:p>
    <w:p w:rsidR="00EC3EA4" w:rsidRDefault="009A7CFE" w:rsidP="009A7CFE">
      <w:pPr>
        <w:spacing w:before="120"/>
        <w:jc w:val="both"/>
      </w:pPr>
      <w:r w:rsidRPr="009A7CFE">
        <w:rPr>
          <w:b/>
          <w:u w:val="single"/>
        </w:rPr>
        <w:t xml:space="preserve">In-band </w:t>
      </w:r>
      <w:r w:rsidR="00505CE5">
        <w:rPr>
          <w:b/>
          <w:u w:val="single"/>
        </w:rPr>
        <w:t xml:space="preserve">Rx </w:t>
      </w:r>
      <w:r w:rsidRPr="009A7CFE">
        <w:rPr>
          <w:b/>
          <w:u w:val="single"/>
        </w:rPr>
        <w:t>blocking</w:t>
      </w:r>
      <w:r w:rsidRPr="00E74A00">
        <w:rPr>
          <w:b/>
        </w:rPr>
        <w:t>:</w:t>
      </w:r>
      <w:r>
        <w:t xml:space="preserve"> The in-band Rx blocking level within RAN4 for LTE-V2V is more relaxed than the requirement in the EN 302 571 section 4.2.7 (also copied below) for receiver blocking. This has been acknowledged in previous RAN4 meetings.</w:t>
      </w:r>
    </w:p>
    <w:p w:rsidR="009A7CFE" w:rsidRDefault="009A7CFE" w:rsidP="00E74A00">
      <w:pPr>
        <w:spacing w:before="120"/>
        <w:ind w:left="708"/>
        <w:jc w:val="both"/>
      </w:pPr>
      <w:r w:rsidRPr="00E74A00">
        <w:rPr>
          <w:u w:val="single"/>
        </w:rPr>
        <w:t>How to resolve this</w:t>
      </w:r>
      <w:r w:rsidRPr="00E74A00">
        <w:t>?</w:t>
      </w:r>
      <w:r>
        <w:t xml:space="preserve"> It is important for LTE-V2V to be able to meet the </w:t>
      </w:r>
      <w:r w:rsidR="00E74A00">
        <w:t xml:space="preserve">EN 302 571 Rx </w:t>
      </w:r>
      <w:r>
        <w:t>blocking requirement in the short t</w:t>
      </w:r>
      <w:r w:rsidR="00E74A00">
        <w:t>erm, and we propose that 3GPP does what it needs to achieve that. Further discussions may occur later in ETSI on how appropriate the values are.</w:t>
      </w:r>
    </w:p>
    <w:p w:rsidR="00E74A00" w:rsidRDefault="00E74A00" w:rsidP="00E74A00">
      <w:pPr>
        <w:spacing w:before="120"/>
        <w:jc w:val="both"/>
      </w:pPr>
      <w:r>
        <w:rPr>
          <w:b/>
          <w:u w:val="single"/>
        </w:rPr>
        <w:t>Alignment of test configurations and test coverage of 3GPP specs with EN 302 571</w:t>
      </w:r>
      <w:r w:rsidRPr="00E74A00">
        <w:rPr>
          <w:b/>
        </w:rPr>
        <w:t>:</w:t>
      </w:r>
      <w:r>
        <w:t xml:space="preserve"> There are a few issues here:</w:t>
      </w:r>
    </w:p>
    <w:p w:rsidR="00E74A00" w:rsidRDefault="009A7CFE" w:rsidP="00505CE5">
      <w:pPr>
        <w:pStyle w:val="ListParagraph"/>
        <w:numPr>
          <w:ilvl w:val="0"/>
          <w:numId w:val="17"/>
        </w:numPr>
        <w:spacing w:before="120" w:after="120"/>
        <w:ind w:hanging="357"/>
        <w:contextualSpacing w:val="0"/>
        <w:jc w:val="both"/>
      </w:pPr>
      <w:r>
        <w:t xml:space="preserve">LTE-V2V supports both 16QAM and QPSK modulation, but only Rx sensitivity requirements for QPSK are defined. EN 302 571 defines </w:t>
      </w:r>
      <w:r w:rsidR="00E74A00">
        <w:t xml:space="preserve">Rx sensitivity </w:t>
      </w:r>
      <w:r>
        <w:t xml:space="preserve">requirements </w:t>
      </w:r>
      <w:r w:rsidR="00E74A00">
        <w:t>and requires compliance for all of the modulation schemes used to transmit data by the ITS equipment, and this includes</w:t>
      </w:r>
      <w:r>
        <w:t xml:space="preserve"> 16QAM</w:t>
      </w:r>
      <w:r w:rsidR="00E74A00">
        <w:t>.</w:t>
      </w:r>
    </w:p>
    <w:p w:rsidR="00505CE5" w:rsidRDefault="00E74A00" w:rsidP="00505CE5">
      <w:pPr>
        <w:pStyle w:val="ListParagraph"/>
        <w:numPr>
          <w:ilvl w:val="0"/>
          <w:numId w:val="17"/>
        </w:numPr>
        <w:spacing w:before="120" w:after="120"/>
        <w:ind w:hanging="357"/>
        <w:contextualSpacing w:val="0"/>
        <w:jc w:val="both"/>
      </w:pPr>
      <w:r>
        <w:t xml:space="preserve">The MCS and reliability metrics defined in EN 302 571 </w:t>
      </w:r>
      <w:r w:rsidR="00A9435D">
        <w:t xml:space="preserve">(section 4.2.7 and 4.2.8 – see Annex) </w:t>
      </w:r>
      <w:r>
        <w:t>do not align with the corresponding MCS and reliability metric used for 3GPP LTE-V2V te</w:t>
      </w:r>
      <w:r w:rsidR="00505CE5">
        <w:t>sting of Rx sensitivity and ACS. In particular:</w:t>
      </w:r>
    </w:p>
    <w:p w:rsidR="00E74A00" w:rsidRDefault="00505CE5" w:rsidP="00505CE5">
      <w:pPr>
        <w:pStyle w:val="ListParagraph"/>
        <w:numPr>
          <w:ilvl w:val="1"/>
          <w:numId w:val="17"/>
        </w:numPr>
        <w:spacing w:before="120" w:after="120"/>
        <w:ind w:hanging="357"/>
        <w:contextualSpacing w:val="0"/>
        <w:jc w:val="both"/>
      </w:pPr>
      <w:r>
        <w:t>3GPP does not verify Rx sensitivity for 16QAM, but EN 302 571 requires compliance for 16QAM if supported by LTE-V2V devices.</w:t>
      </w:r>
    </w:p>
    <w:p w:rsidR="00505CE5" w:rsidRDefault="00505CE5" w:rsidP="00505CE5">
      <w:pPr>
        <w:pStyle w:val="ListParagraph"/>
        <w:numPr>
          <w:ilvl w:val="1"/>
          <w:numId w:val="17"/>
        </w:numPr>
        <w:spacing w:before="120" w:after="120"/>
        <w:ind w:hanging="357"/>
        <w:contextualSpacing w:val="0"/>
        <w:jc w:val="both"/>
      </w:pPr>
      <w:r>
        <w:t>3GPP uses a reliability metric of 95% throughput, whereas EN 302 571 uses Packet Error Rate = 10%.</w:t>
      </w:r>
    </w:p>
    <w:p w:rsidR="00505CE5" w:rsidRDefault="00E74A00" w:rsidP="00505CE5">
      <w:pPr>
        <w:spacing w:before="120"/>
        <w:ind w:left="708"/>
        <w:jc w:val="both"/>
      </w:pPr>
      <w:r w:rsidRPr="00505CE5">
        <w:rPr>
          <w:u w:val="single"/>
        </w:rPr>
        <w:lastRenderedPageBreak/>
        <w:t xml:space="preserve">How to resolve </w:t>
      </w:r>
      <w:r w:rsidR="00505CE5" w:rsidRPr="00505CE5">
        <w:rPr>
          <w:u w:val="single"/>
        </w:rPr>
        <w:t>these issues</w:t>
      </w:r>
      <w:r>
        <w:t xml:space="preserve">? </w:t>
      </w:r>
      <w:r w:rsidR="00505CE5">
        <w:t xml:space="preserve">We propose that “additional requirements </w:t>
      </w:r>
      <w:r w:rsidR="00A9435D">
        <w:t xml:space="preserve">for Europe” </w:t>
      </w:r>
      <w:r w:rsidR="00505CE5">
        <w:t>and</w:t>
      </w:r>
      <w:r w:rsidR="00A9435D">
        <w:t xml:space="preserve"> corresponding Reference Measurement Channels</w:t>
      </w:r>
      <w:r w:rsidR="00505CE5">
        <w:t xml:space="preserve"> are </w:t>
      </w:r>
      <w:r w:rsidR="00A9435D">
        <w:t>added</w:t>
      </w:r>
      <w:r w:rsidR="00505CE5">
        <w:t xml:space="preserve"> in </w:t>
      </w:r>
      <w:r w:rsidR="00A9435D">
        <w:t>the following areas within 3GPP specifications</w:t>
      </w:r>
      <w:r w:rsidR="00505CE5">
        <w:t>:</w:t>
      </w:r>
    </w:p>
    <w:p w:rsidR="00505CE5" w:rsidRDefault="00505CE5" w:rsidP="00505CE5">
      <w:pPr>
        <w:pStyle w:val="ListParagraph"/>
        <w:numPr>
          <w:ilvl w:val="0"/>
          <w:numId w:val="18"/>
        </w:numPr>
        <w:spacing w:before="120"/>
        <w:jc w:val="both"/>
      </w:pPr>
      <w:r>
        <w:t xml:space="preserve">Rx sensitivity for 16QAM modulation is verified </w:t>
      </w:r>
    </w:p>
    <w:p w:rsidR="00871B80" w:rsidRDefault="00505CE5" w:rsidP="00505CE5">
      <w:pPr>
        <w:pStyle w:val="ListParagraph"/>
        <w:numPr>
          <w:ilvl w:val="0"/>
          <w:numId w:val="18"/>
        </w:numPr>
        <w:spacing w:before="120"/>
        <w:jc w:val="both"/>
      </w:pPr>
      <w:r>
        <w:t>Coding rates defined by the EN 302 571 are verified</w:t>
      </w:r>
      <w:r w:rsidR="00A9435D">
        <w:t xml:space="preserve"> for Rx sensitivity and ACS</w:t>
      </w:r>
    </w:p>
    <w:p w:rsidR="00505CE5" w:rsidRDefault="00A9435D" w:rsidP="00505CE5">
      <w:pPr>
        <w:pStyle w:val="ListParagraph"/>
        <w:numPr>
          <w:ilvl w:val="0"/>
          <w:numId w:val="18"/>
        </w:numPr>
        <w:spacing w:before="120"/>
        <w:jc w:val="both"/>
      </w:pPr>
      <w:r>
        <w:t>EITHER requirements are defined for a 10% PER, OR a</w:t>
      </w:r>
      <w:r w:rsidR="00505CE5">
        <w:t xml:space="preserve"> clear understanding </w:t>
      </w:r>
      <w:r>
        <w:t xml:space="preserve">is </w:t>
      </w:r>
      <w:r w:rsidR="00505CE5">
        <w:t xml:space="preserve">provided </w:t>
      </w:r>
      <w:r>
        <w:t>in the 3GPP specifications</w:t>
      </w:r>
      <w:r w:rsidR="00505CE5">
        <w:t xml:space="preserve"> about how 95% throughput corresponds to 10% PER in terms of performance.</w:t>
      </w:r>
    </w:p>
    <w:p w:rsidR="00A9435D" w:rsidRDefault="00A9435D" w:rsidP="00A9435D">
      <w:pPr>
        <w:spacing w:before="120"/>
        <w:ind w:left="708"/>
        <w:jc w:val="both"/>
      </w:pPr>
      <w:r>
        <w:t xml:space="preserve">NOTE1: There may be other requirements where similar alignment is needed, and the same principles would be applicable for those. </w:t>
      </w:r>
    </w:p>
    <w:p w:rsidR="00A9435D" w:rsidRDefault="00A9435D" w:rsidP="00A9435D">
      <w:pPr>
        <w:spacing w:before="120"/>
        <w:jc w:val="both"/>
      </w:pPr>
    </w:p>
    <w:p w:rsidR="0038137A" w:rsidRDefault="00480968" w:rsidP="00E76313">
      <w:pPr>
        <w:pStyle w:val="Heading1"/>
        <w:jc w:val="both"/>
      </w:pPr>
      <w:r>
        <w:t>3</w:t>
      </w:r>
      <w:r w:rsidR="0038137A">
        <w:tab/>
      </w:r>
      <w:r>
        <w:t>Proposal</w:t>
      </w:r>
    </w:p>
    <w:p w:rsidR="0038137A" w:rsidRDefault="00A9435D" w:rsidP="00E76313">
      <w:pPr>
        <w:jc w:val="both"/>
      </w:pPr>
      <w:r>
        <w:t xml:space="preserve">We believe it is important for the 3GPP community to ensure that LTE-V2V can be deployed successfully in 5.9GHz frequency band in Europe. Being able to easily demonstrate that equipment compliant to 3GPP LTE-V2V </w:t>
      </w:r>
      <w:r w:rsidR="0005115A">
        <w:t xml:space="preserve">specifications </w:t>
      </w:r>
      <w:r>
        <w:t>is also compliant to EN 302 571 will help this</w:t>
      </w:r>
      <w:r w:rsidR="0005115A">
        <w:t xml:space="preserve">, and reduce the need for independent testing within the industry. </w:t>
      </w:r>
    </w:p>
    <w:p w:rsidR="0005115A" w:rsidRDefault="0005115A" w:rsidP="00E76313">
      <w:pPr>
        <w:jc w:val="both"/>
      </w:pPr>
      <w:r>
        <w:t>RAN4 is requested to discuss the issues raised in this paper, and agree on how to ensure such alignment to European regional requirements by the next RAN4 meeting.</w:t>
      </w:r>
    </w:p>
    <w:p w:rsidR="00DC43D5" w:rsidRDefault="00DC43D5" w:rsidP="00E76313">
      <w:pPr>
        <w:jc w:val="both"/>
      </w:pPr>
    </w:p>
    <w:p w:rsidR="00DC43D5" w:rsidRDefault="00A9435D" w:rsidP="00DC43D5">
      <w:pPr>
        <w:pStyle w:val="Heading1"/>
      </w:pPr>
      <w:r>
        <w:t>4</w:t>
      </w:r>
      <w:r w:rsidR="00DC43D5">
        <w:tab/>
        <w:t>References</w:t>
      </w:r>
    </w:p>
    <w:p w:rsidR="00DC43D5" w:rsidRPr="00DC43D5" w:rsidRDefault="00DC43D5" w:rsidP="00DC43D5">
      <w:r>
        <w:t>[1] RP-161894, “Revised WID: LTE-based V2X services”, 3GPP TSG RAN#73</w:t>
      </w:r>
    </w:p>
    <w:p w:rsidR="00DC43D5" w:rsidRDefault="00DC43D5" w:rsidP="00E76313">
      <w:pPr>
        <w:jc w:val="both"/>
      </w:pPr>
    </w:p>
    <w:p w:rsidR="005A7BD7" w:rsidRDefault="00A9435D" w:rsidP="0028678B">
      <w:pPr>
        <w:pStyle w:val="Heading1"/>
      </w:pPr>
      <w:r>
        <w:t>5</w:t>
      </w:r>
      <w:r w:rsidR="0038137A">
        <w:tab/>
      </w:r>
      <w:r w:rsidR="00563C58">
        <w:t>Annex</w:t>
      </w:r>
    </w:p>
    <w:p w:rsidR="00DC43D5" w:rsidRDefault="00DC43D5" w:rsidP="00DC43D5">
      <w:r>
        <w:t>Requirements and corresponding test cases for Rx sensitivity and Rx selectivity from EN 302 571 copied below.</w:t>
      </w:r>
    </w:p>
    <w:p w:rsidR="00DC43D5" w:rsidRPr="00DC43D5" w:rsidRDefault="00DC43D5" w:rsidP="00DC43D5">
      <w:r>
        <w:t>------------------------------------------------------------</w:t>
      </w:r>
    </w:p>
    <w:p w:rsidR="00563C58" w:rsidRPr="00CF4DF9" w:rsidRDefault="00563C58" w:rsidP="00563C58">
      <w:pPr>
        <w:pStyle w:val="Heading3"/>
      </w:pPr>
      <w:bookmarkStart w:id="1" w:name="_Toc437854313"/>
      <w:bookmarkStart w:id="2" w:name="_Toc437854908"/>
      <w:bookmarkStart w:id="3" w:name="_Toc437878357"/>
      <w:bookmarkStart w:id="4" w:name="_Toc437941501"/>
      <w:bookmarkStart w:id="5" w:name="_Toc445822255"/>
      <w:bookmarkStart w:id="6" w:name="_Toc445822924"/>
      <w:bookmarkStart w:id="7" w:name="_Toc445978150"/>
      <w:bookmarkStart w:id="8" w:name="_Toc445980993"/>
      <w:bookmarkStart w:id="9" w:name="_Toc445985633"/>
      <w:bookmarkStart w:id="10" w:name="_Toc445985808"/>
      <w:bookmarkStart w:id="11" w:name="_Toc445986370"/>
      <w:bookmarkStart w:id="12" w:name="_Toc445986546"/>
      <w:bookmarkStart w:id="13" w:name="_Toc446427470"/>
      <w:bookmarkStart w:id="14" w:name="_Toc446427657"/>
      <w:bookmarkStart w:id="15" w:name="_Toc446574563"/>
      <w:bookmarkStart w:id="16" w:name="_Toc446577142"/>
      <w:r w:rsidRPr="00CF4DF9">
        <w:t>4.2.8</w:t>
      </w:r>
      <w:r w:rsidRPr="00CF4DF9">
        <w:tab/>
        <w:t>Receiver sensitivity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563C58" w:rsidRPr="00CF4DF9" w:rsidRDefault="00563C58" w:rsidP="00563C58">
      <w:pPr>
        <w:pStyle w:val="Heading4"/>
      </w:pPr>
      <w:bookmarkStart w:id="17" w:name="_Toc437854314"/>
      <w:bookmarkStart w:id="18" w:name="_Toc437854909"/>
      <w:bookmarkStart w:id="19" w:name="_Toc437878358"/>
      <w:bookmarkStart w:id="20" w:name="_Toc437941502"/>
      <w:bookmarkStart w:id="21" w:name="_Toc445822256"/>
      <w:bookmarkStart w:id="22" w:name="_Toc445822925"/>
      <w:bookmarkStart w:id="23" w:name="_Toc445978151"/>
      <w:bookmarkStart w:id="24" w:name="_Toc445980994"/>
      <w:bookmarkStart w:id="25" w:name="_Toc445985634"/>
      <w:bookmarkStart w:id="26" w:name="_Toc445985809"/>
      <w:bookmarkStart w:id="27" w:name="_Toc445986371"/>
      <w:bookmarkStart w:id="28" w:name="_Toc445986547"/>
      <w:bookmarkStart w:id="29" w:name="_Toc446427471"/>
      <w:bookmarkStart w:id="30" w:name="_Toc446427658"/>
      <w:bookmarkStart w:id="31" w:name="_Toc446574564"/>
      <w:bookmarkStart w:id="32" w:name="_Toc446577143"/>
      <w:r w:rsidRPr="00CF4DF9">
        <w:t>4.2.8.1</w:t>
      </w:r>
      <w:r w:rsidRPr="00CF4DF9">
        <w:tab/>
        <w:t>Definition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563C58" w:rsidRPr="00CF4DF9" w:rsidRDefault="00563C58" w:rsidP="00563C58">
      <w:r w:rsidRPr="00CF4DF9">
        <w:t>The receiver sensitivity is defined as the minimum receive signal level at the antenna connector required for a given packet error rate and modulation scheme (noise factor of 10 dB and 5 dB implementation margins are assumed).</w:t>
      </w:r>
    </w:p>
    <w:p w:rsidR="00563C58" w:rsidRPr="00CF4DF9" w:rsidRDefault="00563C58" w:rsidP="00563C58">
      <w:pPr>
        <w:pStyle w:val="Heading4"/>
      </w:pPr>
      <w:bookmarkStart w:id="33" w:name="_Toc437854315"/>
      <w:bookmarkStart w:id="34" w:name="_Toc437854910"/>
      <w:bookmarkStart w:id="35" w:name="_Toc437878359"/>
      <w:bookmarkStart w:id="36" w:name="_Toc437941503"/>
      <w:bookmarkStart w:id="37" w:name="_Toc445822257"/>
      <w:bookmarkStart w:id="38" w:name="_Toc445822926"/>
      <w:bookmarkStart w:id="39" w:name="_Toc445978152"/>
      <w:bookmarkStart w:id="40" w:name="_Toc445980995"/>
      <w:bookmarkStart w:id="41" w:name="_Toc445985635"/>
      <w:bookmarkStart w:id="42" w:name="_Toc445985810"/>
      <w:bookmarkStart w:id="43" w:name="_Toc445986372"/>
      <w:bookmarkStart w:id="44" w:name="_Toc445986548"/>
      <w:bookmarkStart w:id="45" w:name="_Toc446427472"/>
      <w:bookmarkStart w:id="46" w:name="_Toc446427659"/>
      <w:bookmarkStart w:id="47" w:name="_Toc446574565"/>
      <w:bookmarkStart w:id="48" w:name="_Toc446577144"/>
      <w:r w:rsidRPr="00CF4DF9">
        <w:t>4.2.8.2</w:t>
      </w:r>
      <w:r w:rsidRPr="00CF4DF9">
        <w:tab/>
        <w:t>Limits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563C58" w:rsidRPr="00CF4DF9" w:rsidRDefault="00563C58" w:rsidP="00563C58">
      <w:r w:rsidRPr="00CF4DF9">
        <w:t>The receiver sensitivity shall be less or equal to the values given in Table 9 for a packet error rate (PER) of 10</w:t>
      </w:r>
      <w:r w:rsidRPr="00CF4DF9">
        <w:rPr>
          <w:position w:val="6"/>
          <w:sz w:val="16"/>
        </w:rPr>
        <w:t>-1</w:t>
      </w:r>
      <w:r w:rsidRPr="00CF4DF9">
        <w:t xml:space="preserve"> for 1 000 octet frames assuming stationary, non-fading channel conditions. </w:t>
      </w:r>
    </w:p>
    <w:p w:rsidR="00563C58" w:rsidRPr="00CF4DF9" w:rsidRDefault="00563C58" w:rsidP="00563C58">
      <w:pPr>
        <w:pStyle w:val="TH"/>
      </w:pPr>
      <w:r w:rsidRPr="00CF4DF9">
        <w:lastRenderedPageBreak/>
        <w:t>Table 9: Receiver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1701"/>
        <w:gridCol w:w="2888"/>
      </w:tblGrid>
      <w:tr w:rsidR="00563C58" w:rsidRPr="00CF4DF9" w:rsidTr="00C526BF">
        <w:trPr>
          <w:jc w:val="center"/>
        </w:trPr>
        <w:tc>
          <w:tcPr>
            <w:tcW w:w="1485" w:type="dxa"/>
            <w:vAlign w:val="center"/>
          </w:tcPr>
          <w:p w:rsidR="00563C58" w:rsidRPr="00CF4DF9" w:rsidRDefault="00563C58" w:rsidP="00C526BF">
            <w:pPr>
              <w:pStyle w:val="TAH"/>
            </w:pPr>
            <w:r w:rsidRPr="00CF4DF9">
              <w:t>Modulation</w:t>
            </w:r>
          </w:p>
        </w:tc>
        <w:tc>
          <w:tcPr>
            <w:tcW w:w="1701" w:type="dxa"/>
            <w:vAlign w:val="center"/>
          </w:tcPr>
          <w:p w:rsidR="00563C58" w:rsidRPr="00CF4DF9" w:rsidRDefault="00563C58" w:rsidP="00C526BF">
            <w:pPr>
              <w:pStyle w:val="TAH"/>
            </w:pPr>
            <w:r w:rsidRPr="00CF4DF9">
              <w:t>Coding rate</w:t>
            </w:r>
          </w:p>
        </w:tc>
        <w:tc>
          <w:tcPr>
            <w:tcW w:w="2888" w:type="dxa"/>
            <w:vAlign w:val="center"/>
          </w:tcPr>
          <w:p w:rsidR="00563C58" w:rsidRPr="00CF4DF9" w:rsidRDefault="00563C58" w:rsidP="00C526BF">
            <w:pPr>
              <w:pStyle w:val="TAH"/>
            </w:pPr>
            <w:r w:rsidRPr="00CF4DF9">
              <w:t>Minimum sensitivity for 10 MHz channel spacing (</w:t>
            </w:r>
            <w:proofErr w:type="spellStart"/>
            <w:r w:rsidRPr="00CF4DF9">
              <w:t>dBm</w:t>
            </w:r>
            <w:proofErr w:type="spellEnd"/>
            <w:r w:rsidRPr="00CF4DF9">
              <w:t>)</w:t>
            </w:r>
          </w:p>
        </w:tc>
      </w:tr>
      <w:tr w:rsidR="00563C58" w:rsidRPr="00CF4DF9" w:rsidTr="00C526BF">
        <w:trPr>
          <w:jc w:val="center"/>
        </w:trPr>
        <w:tc>
          <w:tcPr>
            <w:tcW w:w="1485" w:type="dxa"/>
            <w:vAlign w:val="center"/>
          </w:tcPr>
          <w:p w:rsidR="00563C58" w:rsidRPr="00CF4DF9" w:rsidRDefault="00563C58" w:rsidP="00C526BF">
            <w:pPr>
              <w:pStyle w:val="TAC"/>
            </w:pPr>
            <w:r w:rsidRPr="00CF4DF9">
              <w:t>BPSK</w:t>
            </w:r>
          </w:p>
        </w:tc>
        <w:tc>
          <w:tcPr>
            <w:tcW w:w="1701" w:type="dxa"/>
            <w:vAlign w:val="center"/>
          </w:tcPr>
          <w:p w:rsidR="00563C58" w:rsidRPr="00CF4DF9" w:rsidRDefault="00563C58" w:rsidP="00C526BF">
            <w:pPr>
              <w:pStyle w:val="TAC"/>
            </w:pPr>
            <w:r w:rsidRPr="00CF4DF9">
              <w:t>1/2</w:t>
            </w:r>
          </w:p>
        </w:tc>
        <w:tc>
          <w:tcPr>
            <w:tcW w:w="2888" w:type="dxa"/>
            <w:vAlign w:val="center"/>
          </w:tcPr>
          <w:p w:rsidR="00563C58" w:rsidRPr="00CF4DF9" w:rsidRDefault="00563C58" w:rsidP="00C526BF">
            <w:pPr>
              <w:pStyle w:val="TAC"/>
            </w:pPr>
            <w:r w:rsidRPr="00CF4DF9">
              <w:t>–85</w:t>
            </w:r>
          </w:p>
        </w:tc>
      </w:tr>
      <w:tr w:rsidR="00563C58" w:rsidRPr="00CF4DF9" w:rsidTr="00C526BF">
        <w:trPr>
          <w:jc w:val="center"/>
        </w:trPr>
        <w:tc>
          <w:tcPr>
            <w:tcW w:w="1485" w:type="dxa"/>
            <w:vAlign w:val="center"/>
          </w:tcPr>
          <w:p w:rsidR="00563C58" w:rsidRPr="00CF4DF9" w:rsidRDefault="00563C58" w:rsidP="00C526BF">
            <w:pPr>
              <w:pStyle w:val="TAC"/>
            </w:pPr>
            <w:r w:rsidRPr="00CF4DF9">
              <w:t>BPSK</w:t>
            </w:r>
          </w:p>
        </w:tc>
        <w:tc>
          <w:tcPr>
            <w:tcW w:w="1701" w:type="dxa"/>
            <w:vAlign w:val="center"/>
          </w:tcPr>
          <w:p w:rsidR="00563C58" w:rsidRPr="00CF4DF9" w:rsidRDefault="00563C58" w:rsidP="00C526BF">
            <w:pPr>
              <w:pStyle w:val="TAC"/>
            </w:pPr>
            <w:r w:rsidRPr="00CF4DF9">
              <w:t>3/4</w:t>
            </w:r>
          </w:p>
        </w:tc>
        <w:tc>
          <w:tcPr>
            <w:tcW w:w="2888" w:type="dxa"/>
            <w:vAlign w:val="center"/>
          </w:tcPr>
          <w:p w:rsidR="00563C58" w:rsidRPr="00CF4DF9" w:rsidRDefault="00563C58" w:rsidP="00C526BF">
            <w:pPr>
              <w:pStyle w:val="TAC"/>
            </w:pPr>
            <w:r w:rsidRPr="00CF4DF9">
              <w:t>–84</w:t>
            </w:r>
          </w:p>
        </w:tc>
      </w:tr>
      <w:tr w:rsidR="00563C58" w:rsidRPr="00CF4DF9" w:rsidTr="00C526BF">
        <w:trPr>
          <w:jc w:val="center"/>
        </w:trPr>
        <w:tc>
          <w:tcPr>
            <w:tcW w:w="1485" w:type="dxa"/>
            <w:vAlign w:val="center"/>
          </w:tcPr>
          <w:p w:rsidR="00563C58" w:rsidRPr="00CF4DF9" w:rsidRDefault="00563C58" w:rsidP="00C526BF">
            <w:pPr>
              <w:pStyle w:val="TAC"/>
            </w:pPr>
            <w:r w:rsidRPr="00CF4DF9">
              <w:t>QPSK</w:t>
            </w:r>
          </w:p>
        </w:tc>
        <w:tc>
          <w:tcPr>
            <w:tcW w:w="1701" w:type="dxa"/>
            <w:vAlign w:val="center"/>
          </w:tcPr>
          <w:p w:rsidR="00563C58" w:rsidRPr="00CF4DF9" w:rsidRDefault="00563C58" w:rsidP="00C526BF">
            <w:pPr>
              <w:pStyle w:val="TAC"/>
            </w:pPr>
            <w:r w:rsidRPr="00CF4DF9">
              <w:t>1/2</w:t>
            </w:r>
          </w:p>
        </w:tc>
        <w:tc>
          <w:tcPr>
            <w:tcW w:w="2888" w:type="dxa"/>
            <w:vAlign w:val="center"/>
          </w:tcPr>
          <w:p w:rsidR="00563C58" w:rsidRPr="00CF4DF9" w:rsidRDefault="00563C58" w:rsidP="00C526BF">
            <w:pPr>
              <w:pStyle w:val="TAC"/>
            </w:pPr>
            <w:r w:rsidRPr="00CF4DF9">
              <w:t>–82</w:t>
            </w:r>
          </w:p>
        </w:tc>
      </w:tr>
      <w:tr w:rsidR="00563C58" w:rsidRPr="00CF4DF9" w:rsidTr="00C526BF">
        <w:trPr>
          <w:jc w:val="center"/>
        </w:trPr>
        <w:tc>
          <w:tcPr>
            <w:tcW w:w="1485" w:type="dxa"/>
            <w:vAlign w:val="center"/>
          </w:tcPr>
          <w:p w:rsidR="00563C58" w:rsidRPr="00CF4DF9" w:rsidRDefault="00563C58" w:rsidP="00C526BF">
            <w:pPr>
              <w:pStyle w:val="TAC"/>
            </w:pPr>
            <w:r w:rsidRPr="00CF4DF9">
              <w:t>QPSK</w:t>
            </w:r>
          </w:p>
        </w:tc>
        <w:tc>
          <w:tcPr>
            <w:tcW w:w="1701" w:type="dxa"/>
            <w:vAlign w:val="center"/>
          </w:tcPr>
          <w:p w:rsidR="00563C58" w:rsidRPr="00CF4DF9" w:rsidRDefault="00563C58" w:rsidP="00C526BF">
            <w:pPr>
              <w:pStyle w:val="TAC"/>
            </w:pPr>
            <w:r w:rsidRPr="00CF4DF9">
              <w:t>3/4</w:t>
            </w:r>
          </w:p>
        </w:tc>
        <w:tc>
          <w:tcPr>
            <w:tcW w:w="2888" w:type="dxa"/>
            <w:vAlign w:val="center"/>
          </w:tcPr>
          <w:p w:rsidR="00563C58" w:rsidRPr="00CF4DF9" w:rsidRDefault="00563C58" w:rsidP="00C526BF">
            <w:pPr>
              <w:pStyle w:val="TAC"/>
            </w:pPr>
            <w:r w:rsidRPr="00CF4DF9">
              <w:t>–80</w:t>
            </w:r>
          </w:p>
        </w:tc>
      </w:tr>
      <w:tr w:rsidR="00563C58" w:rsidRPr="00CF4DF9" w:rsidTr="00C526BF">
        <w:trPr>
          <w:jc w:val="center"/>
        </w:trPr>
        <w:tc>
          <w:tcPr>
            <w:tcW w:w="1485" w:type="dxa"/>
            <w:vAlign w:val="center"/>
          </w:tcPr>
          <w:p w:rsidR="00563C58" w:rsidRPr="00CF4DF9" w:rsidRDefault="00563C58" w:rsidP="00C526BF">
            <w:pPr>
              <w:pStyle w:val="TAC"/>
            </w:pPr>
            <w:r w:rsidRPr="00CF4DF9">
              <w:t>16-QAM</w:t>
            </w:r>
          </w:p>
        </w:tc>
        <w:tc>
          <w:tcPr>
            <w:tcW w:w="1701" w:type="dxa"/>
            <w:vAlign w:val="center"/>
          </w:tcPr>
          <w:p w:rsidR="00563C58" w:rsidRPr="00CF4DF9" w:rsidRDefault="00563C58" w:rsidP="00C526BF">
            <w:pPr>
              <w:pStyle w:val="TAC"/>
            </w:pPr>
            <w:r w:rsidRPr="00CF4DF9">
              <w:t>1/2</w:t>
            </w:r>
          </w:p>
        </w:tc>
        <w:tc>
          <w:tcPr>
            <w:tcW w:w="2888" w:type="dxa"/>
            <w:vAlign w:val="center"/>
          </w:tcPr>
          <w:p w:rsidR="00563C58" w:rsidRPr="00CF4DF9" w:rsidRDefault="00563C58" w:rsidP="00C526BF">
            <w:pPr>
              <w:pStyle w:val="TAC"/>
            </w:pPr>
            <w:r w:rsidRPr="00CF4DF9">
              <w:t>–77</w:t>
            </w:r>
          </w:p>
        </w:tc>
      </w:tr>
      <w:tr w:rsidR="00563C58" w:rsidRPr="00CF4DF9" w:rsidTr="00C526BF">
        <w:trPr>
          <w:jc w:val="center"/>
        </w:trPr>
        <w:tc>
          <w:tcPr>
            <w:tcW w:w="1485" w:type="dxa"/>
            <w:vAlign w:val="center"/>
          </w:tcPr>
          <w:p w:rsidR="00563C58" w:rsidRPr="00CF4DF9" w:rsidRDefault="00563C58" w:rsidP="00C526BF">
            <w:pPr>
              <w:pStyle w:val="TAC"/>
            </w:pPr>
            <w:r w:rsidRPr="00CF4DF9">
              <w:t>16-QAM</w:t>
            </w:r>
          </w:p>
        </w:tc>
        <w:tc>
          <w:tcPr>
            <w:tcW w:w="1701" w:type="dxa"/>
            <w:vAlign w:val="center"/>
          </w:tcPr>
          <w:p w:rsidR="00563C58" w:rsidRPr="00CF4DF9" w:rsidRDefault="00563C58" w:rsidP="00C526BF">
            <w:pPr>
              <w:pStyle w:val="TAC"/>
            </w:pPr>
            <w:r w:rsidRPr="00CF4DF9">
              <w:t>3/4</w:t>
            </w:r>
          </w:p>
        </w:tc>
        <w:tc>
          <w:tcPr>
            <w:tcW w:w="2888" w:type="dxa"/>
            <w:vAlign w:val="center"/>
          </w:tcPr>
          <w:p w:rsidR="00563C58" w:rsidRPr="00CF4DF9" w:rsidRDefault="00563C58" w:rsidP="00C526BF">
            <w:pPr>
              <w:pStyle w:val="TAC"/>
            </w:pPr>
            <w:r w:rsidRPr="00CF4DF9">
              <w:t>–73</w:t>
            </w:r>
          </w:p>
        </w:tc>
      </w:tr>
      <w:tr w:rsidR="00563C58" w:rsidRPr="00CF4DF9" w:rsidTr="00C526BF">
        <w:trPr>
          <w:jc w:val="center"/>
        </w:trPr>
        <w:tc>
          <w:tcPr>
            <w:tcW w:w="1485" w:type="dxa"/>
            <w:vAlign w:val="center"/>
          </w:tcPr>
          <w:p w:rsidR="00563C58" w:rsidRPr="00CF4DF9" w:rsidRDefault="00563C58" w:rsidP="00C526BF">
            <w:pPr>
              <w:pStyle w:val="TAC"/>
            </w:pPr>
            <w:r w:rsidRPr="00CF4DF9">
              <w:t>64-QAM</w:t>
            </w:r>
          </w:p>
        </w:tc>
        <w:tc>
          <w:tcPr>
            <w:tcW w:w="1701" w:type="dxa"/>
            <w:vAlign w:val="center"/>
          </w:tcPr>
          <w:p w:rsidR="00563C58" w:rsidRPr="00CF4DF9" w:rsidRDefault="00563C58" w:rsidP="00C526BF">
            <w:pPr>
              <w:pStyle w:val="TAC"/>
            </w:pPr>
            <w:r w:rsidRPr="00CF4DF9">
              <w:t>2/3</w:t>
            </w:r>
          </w:p>
        </w:tc>
        <w:tc>
          <w:tcPr>
            <w:tcW w:w="2888" w:type="dxa"/>
            <w:vAlign w:val="center"/>
          </w:tcPr>
          <w:p w:rsidR="00563C58" w:rsidRPr="00CF4DF9" w:rsidRDefault="00563C58" w:rsidP="00C526BF">
            <w:pPr>
              <w:pStyle w:val="TAC"/>
            </w:pPr>
            <w:r w:rsidRPr="00CF4DF9">
              <w:t>–69</w:t>
            </w:r>
          </w:p>
        </w:tc>
      </w:tr>
      <w:tr w:rsidR="00563C58" w:rsidRPr="00CF4DF9" w:rsidTr="00C526BF">
        <w:trPr>
          <w:jc w:val="center"/>
        </w:trPr>
        <w:tc>
          <w:tcPr>
            <w:tcW w:w="1485" w:type="dxa"/>
            <w:vAlign w:val="center"/>
          </w:tcPr>
          <w:p w:rsidR="00563C58" w:rsidRPr="00CF4DF9" w:rsidRDefault="00563C58" w:rsidP="00C526BF">
            <w:pPr>
              <w:pStyle w:val="TAC"/>
            </w:pPr>
            <w:r w:rsidRPr="00CF4DF9">
              <w:t>64-QAM</w:t>
            </w:r>
          </w:p>
        </w:tc>
        <w:tc>
          <w:tcPr>
            <w:tcW w:w="1701" w:type="dxa"/>
            <w:vAlign w:val="center"/>
          </w:tcPr>
          <w:p w:rsidR="00563C58" w:rsidRPr="00CF4DF9" w:rsidRDefault="00563C58" w:rsidP="00C526BF">
            <w:pPr>
              <w:pStyle w:val="TAC"/>
            </w:pPr>
            <w:r w:rsidRPr="00CF4DF9">
              <w:t>3/4</w:t>
            </w:r>
          </w:p>
        </w:tc>
        <w:tc>
          <w:tcPr>
            <w:tcW w:w="2888" w:type="dxa"/>
            <w:vAlign w:val="center"/>
          </w:tcPr>
          <w:p w:rsidR="00563C58" w:rsidRPr="00CF4DF9" w:rsidRDefault="00563C58" w:rsidP="00C526BF">
            <w:pPr>
              <w:pStyle w:val="TAC"/>
            </w:pPr>
            <w:r w:rsidRPr="00CF4DF9">
              <w:t>–68</w:t>
            </w:r>
          </w:p>
        </w:tc>
      </w:tr>
    </w:tbl>
    <w:p w:rsidR="00563C58" w:rsidRPr="00CF4DF9" w:rsidRDefault="00563C58" w:rsidP="00563C58"/>
    <w:p w:rsidR="00563C58" w:rsidRPr="00CF4DF9" w:rsidRDefault="00563C58" w:rsidP="00563C58">
      <w:pPr>
        <w:pStyle w:val="NO"/>
      </w:pPr>
      <w:r w:rsidRPr="00CF4DF9">
        <w:t xml:space="preserve">NOTE: </w:t>
      </w:r>
      <w:r w:rsidRPr="00CF4DF9">
        <w:tab/>
        <w:t>Table 9 contains the same values for minimum sensitivity as specified in Table 18-14 in IEEE 802.11</w:t>
      </w:r>
      <w:r w:rsidRPr="00CF4DF9">
        <w:noBreakHyphen/>
        <w:t>2012 [</w:t>
      </w:r>
      <w:r w:rsidRPr="00CF4DF9">
        <w:fldChar w:fldCharType="begin"/>
      </w:r>
      <w:r w:rsidRPr="00CF4DF9">
        <w:instrText xml:space="preserve">REF REF_IEEE80211 \h  \* MERGEFORMAT </w:instrText>
      </w:r>
      <w:r w:rsidRPr="00CF4DF9">
        <w:fldChar w:fldCharType="separate"/>
      </w:r>
      <w:r w:rsidRPr="00CF4DF9">
        <w:t>12</w:t>
      </w:r>
      <w:r w:rsidRPr="00CF4DF9">
        <w:fldChar w:fldCharType="end"/>
      </w:r>
      <w:r w:rsidRPr="00CF4DF9">
        <w:t xml:space="preserve">]. </w:t>
      </w:r>
    </w:p>
    <w:p w:rsidR="00563C58" w:rsidRPr="00CF4DF9" w:rsidRDefault="00563C58" w:rsidP="00563C58">
      <w:pPr>
        <w:pStyle w:val="Heading4"/>
      </w:pPr>
      <w:bookmarkStart w:id="49" w:name="_Toc437854316"/>
      <w:bookmarkStart w:id="50" w:name="_Toc437854911"/>
      <w:bookmarkStart w:id="51" w:name="_Toc437878360"/>
      <w:bookmarkStart w:id="52" w:name="_Toc437941504"/>
      <w:bookmarkStart w:id="53" w:name="_Toc445822258"/>
      <w:bookmarkStart w:id="54" w:name="_Toc445822927"/>
      <w:bookmarkStart w:id="55" w:name="_Toc445978153"/>
      <w:bookmarkStart w:id="56" w:name="_Toc445980996"/>
      <w:bookmarkStart w:id="57" w:name="_Toc445985636"/>
      <w:bookmarkStart w:id="58" w:name="_Toc445985811"/>
      <w:bookmarkStart w:id="59" w:name="_Toc445986373"/>
      <w:bookmarkStart w:id="60" w:name="_Toc445986549"/>
      <w:bookmarkStart w:id="61" w:name="_Toc446427473"/>
      <w:bookmarkStart w:id="62" w:name="_Toc446427660"/>
      <w:bookmarkStart w:id="63" w:name="_Toc446574566"/>
      <w:bookmarkStart w:id="64" w:name="_Toc446577145"/>
      <w:r w:rsidRPr="00CF4DF9">
        <w:t>4.2.8.3</w:t>
      </w:r>
      <w:r w:rsidRPr="00CF4DF9">
        <w:tab/>
        <w:t>Conformance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563C58" w:rsidRPr="00CF4DF9" w:rsidRDefault="00563C58" w:rsidP="00563C58">
      <w:r w:rsidRPr="00CF4DF9">
        <w:t>Conformance tests as defined in Clause 5.3.8 shall be carried out.</w:t>
      </w:r>
    </w:p>
    <w:p w:rsidR="003F3B33" w:rsidRDefault="00DC43D5" w:rsidP="00705D6F">
      <w:pPr>
        <w:jc w:val="both"/>
        <w:rPr>
          <w:szCs w:val="22"/>
        </w:rPr>
      </w:pPr>
      <w:r>
        <w:rPr>
          <w:szCs w:val="22"/>
        </w:rPr>
        <w:t>------------------------------------------------------------------------------------</w:t>
      </w:r>
    </w:p>
    <w:p w:rsidR="00563C58" w:rsidRDefault="00563C58" w:rsidP="00705D6F">
      <w:pPr>
        <w:jc w:val="both"/>
        <w:rPr>
          <w:szCs w:val="22"/>
        </w:rPr>
      </w:pPr>
    </w:p>
    <w:p w:rsidR="00563C58" w:rsidRPr="00DC43D5" w:rsidRDefault="00563C58" w:rsidP="00DC43D5">
      <w:pPr>
        <w:pStyle w:val="Heading3"/>
      </w:pPr>
      <w:bookmarkStart w:id="65" w:name="_Toc437854381"/>
      <w:bookmarkStart w:id="66" w:name="_Toc437854976"/>
      <w:bookmarkStart w:id="67" w:name="_Toc437878425"/>
      <w:bookmarkStart w:id="68" w:name="_Toc437941569"/>
      <w:bookmarkStart w:id="69" w:name="_Toc445822323"/>
      <w:bookmarkStart w:id="70" w:name="_Toc445822992"/>
      <w:bookmarkStart w:id="71" w:name="_Toc445978218"/>
      <w:bookmarkStart w:id="72" w:name="_Toc445981061"/>
      <w:bookmarkStart w:id="73" w:name="_Toc445985698"/>
      <w:bookmarkStart w:id="74" w:name="_Toc445985873"/>
      <w:bookmarkStart w:id="75" w:name="_Toc445986435"/>
      <w:bookmarkStart w:id="76" w:name="_Toc445986611"/>
      <w:bookmarkStart w:id="77" w:name="_Toc446427535"/>
      <w:bookmarkStart w:id="78" w:name="_Toc446427722"/>
      <w:bookmarkStart w:id="79" w:name="_Toc446574628"/>
      <w:bookmarkStart w:id="80" w:name="_Toc446577207"/>
      <w:r w:rsidRPr="00DC43D5">
        <w:t>5.3.8</w:t>
      </w:r>
      <w:r w:rsidRPr="00DC43D5">
        <w:tab/>
        <w:t>Receiver sensitivity</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563C58" w:rsidRPr="00DC43D5" w:rsidRDefault="00563C58" w:rsidP="00DC43D5">
      <w:pPr>
        <w:pStyle w:val="Heading4"/>
      </w:pPr>
      <w:bookmarkStart w:id="81" w:name="_Toc437854382"/>
      <w:bookmarkStart w:id="82" w:name="_Toc437854977"/>
      <w:bookmarkStart w:id="83" w:name="_Toc437878426"/>
      <w:bookmarkStart w:id="84" w:name="_Toc437941570"/>
      <w:bookmarkStart w:id="85" w:name="_Toc445822324"/>
      <w:bookmarkStart w:id="86" w:name="_Toc445822993"/>
      <w:bookmarkStart w:id="87" w:name="_Toc445978219"/>
      <w:bookmarkStart w:id="88" w:name="_Toc445981062"/>
      <w:bookmarkStart w:id="89" w:name="_Toc445985699"/>
      <w:bookmarkStart w:id="90" w:name="_Toc445985874"/>
      <w:bookmarkStart w:id="91" w:name="_Toc445986436"/>
      <w:bookmarkStart w:id="92" w:name="_Toc445986612"/>
      <w:bookmarkStart w:id="93" w:name="_Toc446427536"/>
      <w:bookmarkStart w:id="94" w:name="_Toc446427723"/>
      <w:bookmarkStart w:id="95" w:name="_Toc446574629"/>
      <w:bookmarkStart w:id="96" w:name="_Toc446577208"/>
      <w:r w:rsidRPr="00DC43D5">
        <w:t>5.3.8.1</w:t>
      </w:r>
      <w:r w:rsidRPr="00DC43D5">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563C58" w:rsidRPr="00CF4DF9" w:rsidRDefault="00563C58" w:rsidP="00563C58">
      <w:r w:rsidRPr="00CF4DF9">
        <w:t>To verify that the minimum receive signal level of the DUT fulfils the requirements.</w:t>
      </w:r>
    </w:p>
    <w:p w:rsidR="00563C58" w:rsidRPr="00CF4DF9" w:rsidRDefault="00563C58" w:rsidP="00563C58">
      <w:pPr>
        <w:pStyle w:val="Heading4"/>
      </w:pPr>
      <w:bookmarkStart w:id="97" w:name="_Toc437854383"/>
      <w:bookmarkStart w:id="98" w:name="_Toc437854978"/>
      <w:bookmarkStart w:id="99" w:name="_Toc437878427"/>
      <w:bookmarkStart w:id="100" w:name="_Toc437941571"/>
      <w:bookmarkStart w:id="101" w:name="_Toc445822325"/>
      <w:bookmarkStart w:id="102" w:name="_Toc445822994"/>
      <w:bookmarkStart w:id="103" w:name="_Toc445978220"/>
      <w:bookmarkStart w:id="104" w:name="_Toc445981063"/>
      <w:bookmarkStart w:id="105" w:name="_Toc445985700"/>
      <w:bookmarkStart w:id="106" w:name="_Toc445985875"/>
      <w:bookmarkStart w:id="107" w:name="_Toc445986437"/>
      <w:bookmarkStart w:id="108" w:name="_Toc445986613"/>
      <w:bookmarkStart w:id="109" w:name="_Toc446427537"/>
      <w:bookmarkStart w:id="110" w:name="_Toc446427724"/>
      <w:bookmarkStart w:id="111" w:name="_Toc446574630"/>
      <w:bookmarkStart w:id="112" w:name="_Toc446577209"/>
      <w:r w:rsidRPr="00CF4DF9">
        <w:t xml:space="preserve">5.3.8.2 </w:t>
      </w:r>
      <w:r w:rsidRPr="00CF4DF9">
        <w:tab/>
        <w:t>Test applicability</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563C58" w:rsidRPr="00CF4DF9" w:rsidRDefault="00563C58" w:rsidP="00563C58">
      <w:r w:rsidRPr="00CF4DF9">
        <w:t>This test applies to all types of DUT.</w:t>
      </w:r>
    </w:p>
    <w:p w:rsidR="00563C58" w:rsidRPr="00CF4DF9" w:rsidRDefault="00563C58" w:rsidP="00563C58">
      <w:r w:rsidRPr="00CF4DF9">
        <w:t xml:space="preserve">For DUTs with antenna connector(s) towards dedicated external antenna(s), or for DUTs with integral antenna(s) but providing a temporary antenna connector, conducted test procedure shall be used. </w:t>
      </w:r>
    </w:p>
    <w:p w:rsidR="00563C58" w:rsidRPr="00CF4DF9" w:rsidRDefault="00563C58" w:rsidP="00563C58">
      <w:r w:rsidRPr="00CF4DF9">
        <w:t>For DUTs with integral antenna(s) only, radiated test procedure shall be used.</w:t>
      </w:r>
    </w:p>
    <w:p w:rsidR="00563C58" w:rsidRPr="00CF4DF9" w:rsidRDefault="00563C58" w:rsidP="00563C58">
      <w:pPr>
        <w:pStyle w:val="Heading4"/>
      </w:pPr>
      <w:bookmarkStart w:id="113" w:name="_Toc437854384"/>
      <w:bookmarkStart w:id="114" w:name="_Toc437854979"/>
      <w:bookmarkStart w:id="115" w:name="_Toc437878428"/>
      <w:bookmarkStart w:id="116" w:name="_Toc437941572"/>
      <w:bookmarkStart w:id="117" w:name="_Toc445822326"/>
      <w:bookmarkStart w:id="118" w:name="_Toc445822995"/>
      <w:bookmarkStart w:id="119" w:name="_Toc445978221"/>
      <w:bookmarkStart w:id="120" w:name="_Toc445981064"/>
      <w:bookmarkStart w:id="121" w:name="_Toc445985701"/>
      <w:bookmarkStart w:id="122" w:name="_Toc445985876"/>
      <w:bookmarkStart w:id="123" w:name="_Toc445986438"/>
      <w:bookmarkStart w:id="124" w:name="_Toc445986614"/>
      <w:bookmarkStart w:id="125" w:name="_Toc446427538"/>
      <w:bookmarkStart w:id="126" w:name="_Toc446427725"/>
      <w:bookmarkStart w:id="127" w:name="_Toc446574631"/>
      <w:bookmarkStart w:id="128" w:name="_Toc446577210"/>
      <w:r w:rsidRPr="00CF4DF9">
        <w:t>5.3.8.3</w:t>
      </w:r>
      <w:r w:rsidRPr="00CF4DF9">
        <w:tab/>
        <w:t>Test description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563C58" w:rsidRPr="00DC43D5" w:rsidRDefault="00563C58" w:rsidP="00DC43D5">
      <w:pPr>
        <w:pStyle w:val="Heading5"/>
      </w:pPr>
      <w:bookmarkStart w:id="129" w:name="_Toc437854385"/>
      <w:bookmarkStart w:id="130" w:name="_Toc437854980"/>
      <w:bookmarkStart w:id="131" w:name="_Toc437878429"/>
      <w:bookmarkStart w:id="132" w:name="_Toc437941573"/>
      <w:bookmarkStart w:id="133" w:name="_Toc445822327"/>
      <w:bookmarkStart w:id="134" w:name="_Toc445822996"/>
      <w:bookmarkStart w:id="135" w:name="_Toc445978222"/>
      <w:bookmarkStart w:id="136" w:name="_Toc445981065"/>
      <w:bookmarkStart w:id="137" w:name="_Toc445985702"/>
      <w:bookmarkStart w:id="138" w:name="_Toc445985877"/>
      <w:bookmarkStart w:id="139" w:name="_Toc445986439"/>
      <w:bookmarkStart w:id="140" w:name="_Toc445986615"/>
      <w:bookmarkStart w:id="141" w:name="_Toc446427539"/>
      <w:bookmarkStart w:id="142" w:name="_Toc446427726"/>
      <w:bookmarkStart w:id="143" w:name="_Toc446574632"/>
      <w:bookmarkStart w:id="144" w:name="_Toc446577211"/>
      <w:r w:rsidRPr="00DC43D5">
        <w:t>5.3.8.3.1</w:t>
      </w:r>
      <w:r w:rsidRPr="00DC43D5">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563C58" w:rsidRPr="00CF4DF9" w:rsidRDefault="00563C58" w:rsidP="00563C58">
      <w:r w:rsidRPr="00CF4DF9">
        <w:t>The measurement shall be performed under normal test conditions only.</w:t>
      </w:r>
    </w:p>
    <w:p w:rsidR="00563C58" w:rsidRPr="00CF4DF9" w:rsidRDefault="00563C58" w:rsidP="00563C58">
      <w:r w:rsidRPr="00CF4DF9">
        <w:t>This test shall be performed for all nominal carrier frequencies according to Table 2 and all modulations and coding rates according to Table 9, supported by the DUT.</w:t>
      </w:r>
    </w:p>
    <w:p w:rsidR="00563C58" w:rsidRPr="00CF4DF9" w:rsidRDefault="00563C58" w:rsidP="00563C58">
      <w:r w:rsidRPr="00CF4DF9">
        <w:t>The measurement is performed with the DUT in normal operation.</w:t>
      </w:r>
    </w:p>
    <w:p w:rsidR="00563C58" w:rsidRPr="00CF4DF9" w:rsidRDefault="00563C58" w:rsidP="00563C58">
      <w:pPr>
        <w:pStyle w:val="Heading5"/>
      </w:pPr>
      <w:bookmarkStart w:id="145" w:name="_Toc437854386"/>
      <w:bookmarkStart w:id="146" w:name="_Toc437854981"/>
      <w:bookmarkStart w:id="147" w:name="_Toc437878430"/>
      <w:bookmarkStart w:id="148" w:name="_Toc437941574"/>
      <w:bookmarkStart w:id="149" w:name="_Toc445822328"/>
      <w:bookmarkStart w:id="150" w:name="_Toc445822997"/>
      <w:bookmarkStart w:id="151" w:name="_Toc445978223"/>
      <w:bookmarkStart w:id="152" w:name="_Toc445981066"/>
      <w:bookmarkStart w:id="153" w:name="_Toc445985703"/>
      <w:bookmarkStart w:id="154" w:name="_Toc445985878"/>
      <w:bookmarkStart w:id="155" w:name="_Toc445986440"/>
      <w:bookmarkStart w:id="156" w:name="_Toc445986616"/>
      <w:bookmarkStart w:id="157" w:name="_Toc446427540"/>
      <w:bookmarkStart w:id="158" w:name="_Toc446427727"/>
      <w:bookmarkStart w:id="159" w:name="_Toc446574633"/>
      <w:bookmarkStart w:id="160" w:name="_Toc446577212"/>
      <w:r w:rsidRPr="00CF4DF9">
        <w:t>5.3.8.3.2</w:t>
      </w:r>
      <w:r w:rsidRPr="00CF4DF9">
        <w:tab/>
        <w:t>Conducted measurement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563C58" w:rsidRPr="00CF4DF9" w:rsidRDefault="00563C58" w:rsidP="00563C58">
      <w:pPr>
        <w:keepNext/>
        <w:keepLines/>
      </w:pPr>
      <w:r w:rsidRPr="00CF4DF9">
        <w:t xml:space="preserve">The test procedure shall be as follow: </w:t>
      </w:r>
    </w:p>
    <w:p w:rsidR="00563C58" w:rsidRPr="00CF4DF9" w:rsidRDefault="00563C58" w:rsidP="00563C58">
      <w:pPr>
        <w:keepNext/>
        <w:keepLines/>
        <w:rPr>
          <w:b/>
        </w:rPr>
      </w:pPr>
      <w:r w:rsidRPr="00CF4DF9">
        <w:rPr>
          <w:b/>
        </w:rPr>
        <w:t xml:space="preserve">Step 1: </w:t>
      </w:r>
    </w:p>
    <w:p w:rsidR="00563C58" w:rsidRPr="00CF4DF9" w:rsidRDefault="00563C58" w:rsidP="00563C58">
      <w:pPr>
        <w:pStyle w:val="B1"/>
      </w:pPr>
      <w:r w:rsidRPr="00CF4DF9">
        <w:t>Connect the DUT receiver to the output of the test system.</w:t>
      </w:r>
    </w:p>
    <w:p w:rsidR="00563C58" w:rsidRPr="00CF4DF9" w:rsidRDefault="00563C58" w:rsidP="00563C58">
      <w:pPr>
        <w:rPr>
          <w:b/>
        </w:rPr>
      </w:pPr>
      <w:r w:rsidRPr="00CF4DF9">
        <w:rPr>
          <w:b/>
        </w:rPr>
        <w:t xml:space="preserve">Step 2: </w:t>
      </w:r>
    </w:p>
    <w:p w:rsidR="00563C58" w:rsidRPr="00CF4DF9" w:rsidRDefault="00563C58" w:rsidP="00563C58">
      <w:pPr>
        <w:pStyle w:val="B1"/>
      </w:pPr>
      <w:r w:rsidRPr="00CF4DF9">
        <w:t>Activate a test transmission from the test system at the carrier frequency of the DUT, at a level adjusted to reference sensitivity + 5 dB at the receiver input.</w:t>
      </w:r>
    </w:p>
    <w:p w:rsidR="00563C58" w:rsidRPr="00CF4DF9" w:rsidRDefault="00563C58" w:rsidP="00563C58">
      <w:pPr>
        <w:keepNext/>
        <w:keepLines/>
        <w:rPr>
          <w:b/>
        </w:rPr>
      </w:pPr>
      <w:r w:rsidRPr="00CF4DF9">
        <w:rPr>
          <w:b/>
        </w:rPr>
        <w:t xml:space="preserve">Step 3: </w:t>
      </w:r>
    </w:p>
    <w:p w:rsidR="00563C58" w:rsidRPr="00CF4DF9" w:rsidRDefault="00563C58" w:rsidP="00563C58">
      <w:pPr>
        <w:pStyle w:val="B1"/>
      </w:pPr>
      <w:r w:rsidRPr="00CF4DF9">
        <w:t>Reduce the power level until the packet error rate PER is 10</w:t>
      </w:r>
      <w:r w:rsidRPr="00CF4DF9">
        <w:rPr>
          <w:position w:val="6"/>
          <w:sz w:val="16"/>
        </w:rPr>
        <w:t>-1</w:t>
      </w:r>
      <w:r w:rsidRPr="00CF4DF9">
        <w:t xml:space="preserve">. </w:t>
      </w:r>
    </w:p>
    <w:p w:rsidR="00563C58" w:rsidRPr="00CF4DF9" w:rsidRDefault="00563C58" w:rsidP="00563C58">
      <w:pPr>
        <w:rPr>
          <w:b/>
        </w:rPr>
      </w:pPr>
      <w:r w:rsidRPr="00CF4DF9">
        <w:rPr>
          <w:b/>
        </w:rPr>
        <w:lastRenderedPageBreak/>
        <w:t xml:space="preserve">Step 4: </w:t>
      </w:r>
    </w:p>
    <w:p w:rsidR="00563C58" w:rsidRPr="00CF4DF9" w:rsidRDefault="00563C58" w:rsidP="00563C58">
      <w:pPr>
        <w:pStyle w:val="B1"/>
        <w:rPr>
          <w:b/>
        </w:rPr>
      </w:pPr>
      <w:r w:rsidRPr="00CF4DF9">
        <w:t>Record the power level in the test report.</w:t>
      </w:r>
    </w:p>
    <w:p w:rsidR="00563C58" w:rsidRPr="00CF4DF9" w:rsidRDefault="00563C58" w:rsidP="00563C58">
      <w:pPr>
        <w:pStyle w:val="B1"/>
        <w:rPr>
          <w:b/>
        </w:rPr>
      </w:pPr>
      <w:r w:rsidRPr="00CF4DF9">
        <w:t xml:space="preserve">The transmitter shall use a frame size of 1 000 octets. The PER is calculated from the number of sent packets </w:t>
      </w:r>
      <w:proofErr w:type="spellStart"/>
      <w:r w:rsidRPr="00CF4DF9">
        <w:t>Pkt</w:t>
      </w:r>
      <w:r w:rsidRPr="00CF4DF9">
        <w:rPr>
          <w:position w:val="-6"/>
          <w:sz w:val="16"/>
        </w:rPr>
        <w:t>Tx</w:t>
      </w:r>
      <w:proofErr w:type="spellEnd"/>
      <w:r w:rsidRPr="00CF4DF9">
        <w:t xml:space="preserve"> and the number of correctly received packets </w:t>
      </w:r>
      <w:proofErr w:type="spellStart"/>
      <w:r w:rsidRPr="00CF4DF9">
        <w:t>Pkt</w:t>
      </w:r>
      <w:proofErr w:type="spellEnd"/>
      <w:r w:rsidRPr="00CF4DF9">
        <w:rPr>
          <w:position w:val="-6"/>
          <w:sz w:val="16"/>
        </w:rPr>
        <w:t xml:space="preserve">Rx </w:t>
      </w:r>
      <w:r w:rsidRPr="00CF4DF9">
        <w:t>as shown in Equation (1). At least 1 000 frames shall be used for evaluating the PER.</w:t>
      </w:r>
    </w:p>
    <w:p w:rsidR="00563C58" w:rsidRPr="00CF4DF9" w:rsidRDefault="00563C58" w:rsidP="00563C58">
      <w:pPr>
        <w:pStyle w:val="EQ"/>
        <w:rPr>
          <w:noProof w:val="0"/>
        </w:rPr>
      </w:pPr>
      <w:r w:rsidRPr="00CF4DF9">
        <w:rPr>
          <w:noProof w:val="0"/>
        </w:rPr>
        <w:tab/>
      </w:r>
      <w:r w:rsidRPr="00CF4DF9">
        <w:rPr>
          <w:noProof w:val="0"/>
          <w:position w:val="-30"/>
        </w:rPr>
        <w:object w:dxaOrig="2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3.75pt" o:ole="">
            <v:imagedata r:id="rId8" o:title=""/>
          </v:shape>
          <o:OLEObject Type="Embed" ProgID="Equation.3" ShapeID="_x0000_i1025" DrawAspect="Content" ObjectID="_1537624521" r:id="rId9"/>
        </w:object>
      </w:r>
      <w:r w:rsidRPr="00CF4DF9">
        <w:rPr>
          <w:noProof w:val="0"/>
        </w:rPr>
        <w:tab/>
        <w:t>(1)</w:t>
      </w:r>
    </w:p>
    <w:p w:rsidR="00563C58" w:rsidRPr="00CF4DF9" w:rsidRDefault="00563C58" w:rsidP="00563C58">
      <w:pPr>
        <w:pStyle w:val="Heading5"/>
      </w:pPr>
      <w:bookmarkStart w:id="161" w:name="_Toc437854387"/>
      <w:bookmarkStart w:id="162" w:name="_Toc437854982"/>
      <w:bookmarkStart w:id="163" w:name="_Toc437878431"/>
      <w:bookmarkStart w:id="164" w:name="_Toc437941575"/>
      <w:bookmarkStart w:id="165" w:name="_Toc445822329"/>
      <w:bookmarkStart w:id="166" w:name="_Toc445822998"/>
      <w:bookmarkStart w:id="167" w:name="_Toc445978224"/>
      <w:bookmarkStart w:id="168" w:name="_Toc445981067"/>
      <w:bookmarkStart w:id="169" w:name="_Toc445985704"/>
      <w:bookmarkStart w:id="170" w:name="_Toc445985879"/>
      <w:bookmarkStart w:id="171" w:name="_Toc445986441"/>
      <w:bookmarkStart w:id="172" w:name="_Toc445986617"/>
      <w:bookmarkStart w:id="173" w:name="_Toc446427541"/>
      <w:bookmarkStart w:id="174" w:name="_Toc446427728"/>
      <w:bookmarkStart w:id="175" w:name="_Toc446574634"/>
      <w:bookmarkStart w:id="176" w:name="_Toc446577213"/>
      <w:r w:rsidRPr="00CF4DF9">
        <w:t>5.3.8.3.3</w:t>
      </w:r>
      <w:r w:rsidRPr="00CF4DF9">
        <w:tab/>
        <w:t>Radiated measurement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563C58" w:rsidRPr="00CF4DF9" w:rsidRDefault="00563C58" w:rsidP="00563C58">
      <w:r w:rsidRPr="00CF4DF9">
        <w:t>A test site from Annex B shall be selected and the requirements from Annex B and Annex C apply. The procedure shall be the same as for the conducted measurement.</w:t>
      </w:r>
    </w:p>
    <w:p w:rsidR="00563C58" w:rsidRPr="00CF4DF9" w:rsidRDefault="00563C58" w:rsidP="00563C58">
      <w:pPr>
        <w:pStyle w:val="Heading4"/>
      </w:pPr>
      <w:bookmarkStart w:id="177" w:name="_Toc437854388"/>
      <w:bookmarkStart w:id="178" w:name="_Toc437854983"/>
      <w:bookmarkStart w:id="179" w:name="_Toc437878432"/>
      <w:bookmarkStart w:id="180" w:name="_Toc437941576"/>
      <w:bookmarkStart w:id="181" w:name="_Toc445822330"/>
      <w:bookmarkStart w:id="182" w:name="_Toc445822999"/>
      <w:bookmarkStart w:id="183" w:name="_Toc445978225"/>
      <w:bookmarkStart w:id="184" w:name="_Toc445981068"/>
      <w:bookmarkStart w:id="185" w:name="_Toc445985705"/>
      <w:bookmarkStart w:id="186" w:name="_Toc445985880"/>
      <w:bookmarkStart w:id="187" w:name="_Toc445986442"/>
      <w:bookmarkStart w:id="188" w:name="_Toc445986618"/>
      <w:bookmarkStart w:id="189" w:name="_Toc446427542"/>
      <w:bookmarkStart w:id="190" w:name="_Toc446427729"/>
      <w:bookmarkStart w:id="191" w:name="_Toc446574635"/>
      <w:bookmarkStart w:id="192" w:name="_Toc446577214"/>
      <w:r w:rsidRPr="00CF4DF9">
        <w:t>5.3.8.4</w:t>
      </w:r>
      <w:r w:rsidRPr="00CF4DF9">
        <w:tab/>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563C58" w:rsidRPr="00CF4DF9" w:rsidRDefault="00563C58" w:rsidP="00563C58">
      <w:pPr>
        <w:tabs>
          <w:tab w:val="left" w:pos="993"/>
        </w:tabs>
      </w:pPr>
      <w:r w:rsidRPr="00CF4DF9">
        <w:t xml:space="preserve">The receiver sensitivity under specified conditions shall be equal to or better than the limits given in </w:t>
      </w:r>
      <w:r w:rsidRPr="00CF4DF9">
        <w:br/>
        <w:t>Clause 4.2.8.2.</w:t>
      </w:r>
    </w:p>
    <w:p w:rsidR="00563C58" w:rsidRDefault="00DC43D5" w:rsidP="00705D6F">
      <w:pPr>
        <w:jc w:val="both"/>
        <w:rPr>
          <w:szCs w:val="22"/>
        </w:rPr>
      </w:pPr>
      <w:r>
        <w:rPr>
          <w:szCs w:val="22"/>
        </w:rPr>
        <w:t>-----------------------------------------------------------------------------------</w:t>
      </w:r>
    </w:p>
    <w:p w:rsidR="00DC43D5" w:rsidRDefault="00DC43D5" w:rsidP="00705D6F">
      <w:pPr>
        <w:jc w:val="both"/>
        <w:rPr>
          <w:szCs w:val="22"/>
        </w:rPr>
      </w:pPr>
    </w:p>
    <w:p w:rsidR="00DC43D5" w:rsidRPr="00CF4DF9" w:rsidRDefault="00DC43D5" w:rsidP="00DC43D5">
      <w:pPr>
        <w:pStyle w:val="Heading3"/>
      </w:pPr>
      <w:bookmarkStart w:id="193" w:name="_Toc437854309"/>
      <w:bookmarkStart w:id="194" w:name="_Toc437854904"/>
      <w:bookmarkStart w:id="195" w:name="_Toc437878353"/>
      <w:bookmarkStart w:id="196" w:name="_Toc437941497"/>
      <w:bookmarkStart w:id="197" w:name="_Toc445822251"/>
      <w:bookmarkStart w:id="198" w:name="_Toc445822920"/>
      <w:bookmarkStart w:id="199" w:name="_Toc445978146"/>
      <w:bookmarkStart w:id="200" w:name="_Toc445980989"/>
      <w:bookmarkStart w:id="201" w:name="_Toc445985629"/>
      <w:bookmarkStart w:id="202" w:name="_Toc445985804"/>
      <w:bookmarkStart w:id="203" w:name="_Toc445986366"/>
      <w:bookmarkStart w:id="204" w:name="_Toc445986542"/>
      <w:bookmarkStart w:id="205" w:name="_Toc446427466"/>
      <w:bookmarkStart w:id="206" w:name="_Toc446427653"/>
      <w:bookmarkStart w:id="207" w:name="_Toc446574559"/>
      <w:bookmarkStart w:id="208" w:name="_Toc446577138"/>
      <w:r w:rsidRPr="00CF4DF9">
        <w:t>4.2.7</w:t>
      </w:r>
      <w:r w:rsidRPr="00CF4DF9">
        <w:tab/>
        <w:t>Receiver selectivity</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DC43D5" w:rsidRPr="00CF4DF9" w:rsidRDefault="00DC43D5" w:rsidP="00DC43D5">
      <w:pPr>
        <w:pStyle w:val="Heading4"/>
      </w:pPr>
      <w:bookmarkStart w:id="209" w:name="_Toc437854310"/>
      <w:bookmarkStart w:id="210" w:name="_Toc437854905"/>
      <w:bookmarkStart w:id="211" w:name="_Toc437878354"/>
      <w:bookmarkStart w:id="212" w:name="_Toc437941498"/>
      <w:bookmarkStart w:id="213" w:name="_Toc445822252"/>
      <w:bookmarkStart w:id="214" w:name="_Toc445822921"/>
      <w:bookmarkStart w:id="215" w:name="_Toc445978147"/>
      <w:bookmarkStart w:id="216" w:name="_Toc445980990"/>
      <w:bookmarkStart w:id="217" w:name="_Toc445985630"/>
      <w:bookmarkStart w:id="218" w:name="_Toc445985805"/>
      <w:bookmarkStart w:id="219" w:name="_Toc445986367"/>
      <w:bookmarkStart w:id="220" w:name="_Toc445986543"/>
      <w:bookmarkStart w:id="221" w:name="_Toc446427467"/>
      <w:bookmarkStart w:id="222" w:name="_Toc446427654"/>
      <w:bookmarkStart w:id="223" w:name="_Toc446574560"/>
      <w:bookmarkStart w:id="224" w:name="_Toc446577139"/>
      <w:r w:rsidRPr="00CF4DF9">
        <w:t>4.2.7.1</w:t>
      </w:r>
      <w:r w:rsidRPr="00CF4DF9">
        <w:tab/>
        <w:t>Definition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DC43D5" w:rsidRPr="00CF4DF9" w:rsidRDefault="00DC43D5" w:rsidP="00DC43D5">
      <w:r w:rsidRPr="00CF4DF9">
        <w:t xml:space="preserve">Receiver selectivity is a measure of the receiver's ability to discriminate between wanted signal to which the receiver is tuned to and unwanted signals stemming from other frequency bands. Receiver selectivity herein is comprised of: </w:t>
      </w:r>
    </w:p>
    <w:p w:rsidR="00DC43D5" w:rsidRPr="00CF4DF9" w:rsidRDefault="00DC43D5" w:rsidP="00DC43D5">
      <w:pPr>
        <w:pStyle w:val="B10"/>
      </w:pPr>
      <w:proofErr w:type="spellStart"/>
      <w:r w:rsidRPr="00CF4DF9">
        <w:t>i</w:t>
      </w:r>
      <w:proofErr w:type="spellEnd"/>
      <w:r w:rsidRPr="00CF4DF9">
        <w:t>)</w:t>
      </w:r>
      <w:r w:rsidRPr="00CF4DF9">
        <w:tab/>
      </w:r>
      <w:proofErr w:type="gramStart"/>
      <w:r w:rsidRPr="00CF4DF9">
        <w:t>adjacent</w:t>
      </w:r>
      <w:proofErr w:type="gramEnd"/>
      <w:r w:rsidRPr="00CF4DF9">
        <w:t xml:space="preserve"> channel rejection; </w:t>
      </w:r>
    </w:p>
    <w:p w:rsidR="00DC43D5" w:rsidRPr="00CF4DF9" w:rsidRDefault="00DC43D5" w:rsidP="00DC43D5">
      <w:pPr>
        <w:pStyle w:val="B10"/>
      </w:pPr>
      <w:r w:rsidRPr="00CF4DF9">
        <w:t>ii)</w:t>
      </w:r>
      <w:r w:rsidRPr="00CF4DF9">
        <w:tab/>
      </w:r>
      <w:proofErr w:type="gramStart"/>
      <w:r w:rsidRPr="00CF4DF9">
        <w:t>alternate</w:t>
      </w:r>
      <w:proofErr w:type="gramEnd"/>
      <w:r w:rsidRPr="00CF4DF9">
        <w:t xml:space="preserve"> channel rejection; and </w:t>
      </w:r>
    </w:p>
    <w:p w:rsidR="00DC43D5" w:rsidRPr="00CF4DF9" w:rsidRDefault="00DC43D5" w:rsidP="00DC43D5">
      <w:pPr>
        <w:pStyle w:val="B10"/>
      </w:pPr>
      <w:r w:rsidRPr="00CF4DF9">
        <w:t>iii)</w:t>
      </w:r>
      <w:r w:rsidRPr="00CF4DF9">
        <w:tab/>
      </w:r>
      <w:proofErr w:type="gramStart"/>
      <w:r w:rsidRPr="00CF4DF9">
        <w:t>blocking</w:t>
      </w:r>
      <w:proofErr w:type="gramEnd"/>
      <w:r w:rsidRPr="00CF4DF9">
        <w:t xml:space="preserve">. </w:t>
      </w:r>
    </w:p>
    <w:p w:rsidR="00DC43D5" w:rsidRPr="00CF4DF9" w:rsidRDefault="00DC43D5" w:rsidP="00DC43D5">
      <w:r w:rsidRPr="00CF4DF9">
        <w:t xml:space="preserve">The adjacent channel rejection is a measure of the capability of the receiver to operate satisfactorily in the presence of a signal in the adjacent channel, which differs in frequency from the wanted signal by </w:t>
      </w:r>
      <w:r w:rsidRPr="00CF4DF9">
        <w:rPr>
          <w:rFonts w:cs="Arial"/>
        </w:rPr>
        <w:t>± </w:t>
      </w:r>
      <w:r w:rsidRPr="00CF4DF9">
        <w:t>10 </w:t>
      </w:r>
      <w:proofErr w:type="spellStart"/>
      <w:r w:rsidRPr="00CF4DF9">
        <w:t>MHz.</w:t>
      </w:r>
      <w:proofErr w:type="spellEnd"/>
    </w:p>
    <w:p w:rsidR="00DC43D5" w:rsidRPr="00CF4DF9" w:rsidRDefault="00DC43D5" w:rsidP="00DC43D5">
      <w:r w:rsidRPr="00CF4DF9">
        <w:t xml:space="preserve">The alternate channel rejection is a measure of the capability of the receiver to operate satisfactorily in the presence of a signal in the alternate adjacent channel, which differs in frequency from the wanted signal by </w:t>
      </w:r>
      <w:r w:rsidRPr="00CF4DF9">
        <w:rPr>
          <w:rFonts w:cs="Arial"/>
        </w:rPr>
        <w:t>± </w:t>
      </w:r>
      <w:r w:rsidRPr="00CF4DF9">
        <w:t xml:space="preserve">20 </w:t>
      </w:r>
      <w:proofErr w:type="spellStart"/>
      <w:r w:rsidRPr="00CF4DF9">
        <w:t>MHz.</w:t>
      </w:r>
      <w:proofErr w:type="spellEnd"/>
    </w:p>
    <w:p w:rsidR="00DC43D5" w:rsidRPr="00CF4DF9" w:rsidRDefault="00DC43D5" w:rsidP="00DC43D5">
      <w:r w:rsidRPr="00CF4DF9">
        <w:t xml:space="preserve">Blocking is a measure of the capability of the receiver to operate satisfactorily in the presence of a signal in frequency band further away and it shall be tested at </w:t>
      </w:r>
      <w:r w:rsidRPr="00CF4DF9">
        <w:rPr>
          <w:rFonts w:cs="Arial"/>
        </w:rPr>
        <w:t>±</w:t>
      </w:r>
      <w:r w:rsidRPr="00CF4DF9">
        <w:t xml:space="preserve"> 50 MHz, </w:t>
      </w:r>
      <w:r w:rsidRPr="00CF4DF9">
        <w:rPr>
          <w:rFonts w:cs="Arial"/>
        </w:rPr>
        <w:t>± </w:t>
      </w:r>
      <w:r w:rsidRPr="00CF4DF9">
        <w:t xml:space="preserve">100 MHz, and </w:t>
      </w:r>
      <w:r w:rsidRPr="00CF4DF9">
        <w:rPr>
          <w:rFonts w:cs="Arial"/>
        </w:rPr>
        <w:t>± </w:t>
      </w:r>
      <w:r w:rsidRPr="00CF4DF9">
        <w:t xml:space="preserve">200 </w:t>
      </w:r>
      <w:proofErr w:type="spellStart"/>
      <w:r w:rsidRPr="00CF4DF9">
        <w:t>MHz.</w:t>
      </w:r>
      <w:proofErr w:type="spellEnd"/>
      <w:r w:rsidRPr="00CF4DF9">
        <w:t xml:space="preserve"> Blocking testing shall be performed at least at 6 different frequency offset positions. The manufacturer of the equipment can add additional frequency offsets positions.</w:t>
      </w:r>
    </w:p>
    <w:p w:rsidR="00DC43D5" w:rsidRPr="00CF4DF9" w:rsidRDefault="00DC43D5" w:rsidP="00DC43D5">
      <w:r w:rsidRPr="00CF4DF9">
        <w:t xml:space="preserve">The manufacturer of the equipment shall declare the most sensitive modulation scheme that the equipment is intended to operate with and declared modulation scheme shall be used for all receiver selectivity tests in Clause 5.3.7. </w:t>
      </w:r>
    </w:p>
    <w:p w:rsidR="00DC43D5" w:rsidRPr="00CF4DF9" w:rsidRDefault="00DC43D5" w:rsidP="00DC43D5">
      <w:pPr>
        <w:pStyle w:val="Heading4"/>
      </w:pPr>
      <w:bookmarkStart w:id="225" w:name="_Toc437854311"/>
      <w:bookmarkStart w:id="226" w:name="_Toc437854906"/>
      <w:bookmarkStart w:id="227" w:name="_Toc437878355"/>
      <w:bookmarkStart w:id="228" w:name="_Toc437941499"/>
      <w:bookmarkStart w:id="229" w:name="_Toc445822253"/>
      <w:bookmarkStart w:id="230" w:name="_Toc445822922"/>
      <w:bookmarkStart w:id="231" w:name="_Toc445978148"/>
      <w:bookmarkStart w:id="232" w:name="_Toc445980991"/>
      <w:bookmarkStart w:id="233" w:name="_Toc445985631"/>
      <w:bookmarkStart w:id="234" w:name="_Toc445985806"/>
      <w:bookmarkStart w:id="235" w:name="_Toc445986368"/>
      <w:bookmarkStart w:id="236" w:name="_Toc445986544"/>
      <w:bookmarkStart w:id="237" w:name="_Toc446427468"/>
      <w:bookmarkStart w:id="238" w:name="_Toc446427655"/>
      <w:bookmarkStart w:id="239" w:name="_Toc446574561"/>
      <w:bookmarkStart w:id="240" w:name="_Toc446577140"/>
      <w:r w:rsidRPr="00CF4DF9">
        <w:t>4.2.7.2</w:t>
      </w:r>
      <w:r w:rsidRPr="00CF4DF9">
        <w:tab/>
        <w:t>Limits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DC43D5" w:rsidRPr="00CF4DF9" w:rsidRDefault="00DC43D5" w:rsidP="00DC43D5">
      <w:r w:rsidRPr="00CF4DF9">
        <w:t>The limits for the receiver selectivity parameters under specified conditions shall be equal to or greater than the limits in Table 8.</w:t>
      </w:r>
    </w:p>
    <w:p w:rsidR="00DC43D5" w:rsidRPr="00CF4DF9" w:rsidRDefault="00DC43D5" w:rsidP="00DC43D5">
      <w:pPr>
        <w:pStyle w:val="TH"/>
      </w:pPr>
      <w:r w:rsidRPr="00CF4DF9">
        <w:lastRenderedPageBreak/>
        <w:t>Table 8: Limits for receiver adjacent channel rejection</w:t>
      </w:r>
      <w:proofErr w:type="gramStart"/>
      <w:r w:rsidRPr="00CF4DF9">
        <w:t>,</w:t>
      </w:r>
      <w:proofErr w:type="gramEnd"/>
      <w:r w:rsidRPr="00CF4DF9">
        <w:br/>
        <w:t>alternate adjacent channel rejection, 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418"/>
        <w:gridCol w:w="1643"/>
        <w:gridCol w:w="1701"/>
      </w:tblGrid>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szCs w:val="18"/>
              </w:rPr>
            </w:pPr>
            <w:r w:rsidRPr="00CF4DF9">
              <w:rPr>
                <w:rFonts w:cs="Arial"/>
                <w:szCs w:val="18"/>
              </w:rPr>
              <w:t>Modulation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szCs w:val="18"/>
              </w:rPr>
            </w:pPr>
            <w:r w:rsidRPr="00CF4DF9">
              <w:rPr>
                <w:rFonts w:cs="Arial"/>
                <w:szCs w:val="18"/>
              </w:rPr>
              <w:t>Coding rate</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szCs w:val="18"/>
              </w:rPr>
            </w:pPr>
            <w:r w:rsidRPr="00CF4DF9">
              <w:rPr>
                <w:rFonts w:cs="Arial"/>
                <w:szCs w:val="18"/>
              </w:rPr>
              <w:t>Adjacent channel rejection (dB)</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szCs w:val="18"/>
              </w:rPr>
            </w:pPr>
            <w:r w:rsidRPr="00CF4DF9">
              <w:rPr>
                <w:rFonts w:cs="Arial"/>
                <w:szCs w:val="18"/>
              </w:rPr>
              <w:t>Alternate adjacent channel rejection (dB)</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BPSK</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16</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32</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BPSK</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3/4</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15</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31</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QPSK</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13</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29</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QPSK</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3/4</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11</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27</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16-QAM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8</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24</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16-QAM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3/4</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4</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20</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64-QAM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16</w:t>
            </w:r>
          </w:p>
        </w:tc>
      </w:tr>
      <w:tr w:rsidR="00DC43D5" w:rsidRPr="00CF4DF9" w:rsidTr="00C526BF">
        <w:trPr>
          <w:jc w:val="center"/>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64-QAM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3/4</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C43D5" w:rsidRPr="00CF4DF9" w:rsidRDefault="00DC43D5" w:rsidP="00C526BF">
            <w:pPr>
              <w:pStyle w:val="TAH"/>
              <w:rPr>
                <w:rFonts w:cs="Arial"/>
                <w:b w:val="0"/>
                <w:szCs w:val="18"/>
              </w:rPr>
            </w:pPr>
            <w:r w:rsidRPr="00CF4DF9">
              <w:rPr>
                <w:rFonts w:cs="Arial"/>
                <w:b w:val="0"/>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DC43D5" w:rsidRPr="00CF4DF9" w:rsidRDefault="00DC43D5" w:rsidP="00C526BF">
            <w:pPr>
              <w:pStyle w:val="TAH"/>
              <w:rPr>
                <w:rFonts w:cs="Arial"/>
                <w:b w:val="0"/>
                <w:szCs w:val="18"/>
              </w:rPr>
            </w:pPr>
            <w:r w:rsidRPr="00CF4DF9">
              <w:rPr>
                <w:rFonts w:cs="Arial"/>
                <w:b w:val="0"/>
                <w:szCs w:val="18"/>
              </w:rPr>
              <w:t>15</w:t>
            </w:r>
          </w:p>
        </w:tc>
      </w:tr>
    </w:tbl>
    <w:p w:rsidR="00DC43D5" w:rsidRPr="00CF4DF9" w:rsidRDefault="00DC43D5" w:rsidP="00DC43D5"/>
    <w:p w:rsidR="00DC43D5" w:rsidRPr="00CF4DF9" w:rsidRDefault="00DC43D5" w:rsidP="00DC43D5">
      <w:pPr>
        <w:ind w:left="1132" w:hanging="847"/>
      </w:pPr>
      <w:r w:rsidRPr="00CF4DF9">
        <w:t xml:space="preserve">NOTE: </w:t>
      </w:r>
      <w:r w:rsidRPr="00CF4DF9">
        <w:tab/>
        <w:t>Table 8 contains the same values for adjacent channel rejection and alternate adjacent channel rejection as specified in Table 18-14 in IEEE 802.11-2012 [</w:t>
      </w:r>
      <w:r w:rsidRPr="00CF4DF9">
        <w:fldChar w:fldCharType="begin"/>
      </w:r>
      <w:r w:rsidRPr="00CF4DF9">
        <w:instrText xml:space="preserve">REF REF_IEEE80211 \h  \* MERGEFORMAT </w:instrText>
      </w:r>
      <w:r w:rsidRPr="00CF4DF9">
        <w:fldChar w:fldCharType="separate"/>
      </w:r>
      <w:r w:rsidRPr="00CF4DF9">
        <w:t>12</w:t>
      </w:r>
      <w:r w:rsidRPr="00CF4DF9">
        <w:fldChar w:fldCharType="end"/>
      </w:r>
      <w:r w:rsidRPr="00CF4DF9">
        <w:t>]. Blocking is not addressed in IEEE 802.11-2012 [</w:t>
      </w:r>
      <w:r w:rsidRPr="00CF4DF9">
        <w:fldChar w:fldCharType="begin"/>
      </w:r>
      <w:r w:rsidRPr="00CF4DF9">
        <w:instrText xml:space="preserve">REF REF_IEEE80211 \h  \* MERGEFORMAT </w:instrText>
      </w:r>
      <w:r w:rsidRPr="00CF4DF9">
        <w:fldChar w:fldCharType="separate"/>
      </w:r>
      <w:r w:rsidRPr="00CF4DF9">
        <w:t>12</w:t>
      </w:r>
      <w:r w:rsidRPr="00CF4DF9">
        <w:fldChar w:fldCharType="end"/>
      </w:r>
      <w:r w:rsidRPr="00CF4DF9">
        <w:t xml:space="preserve">]. </w:t>
      </w:r>
    </w:p>
    <w:p w:rsidR="00DC43D5" w:rsidRPr="00CF4DF9" w:rsidRDefault="00DC43D5" w:rsidP="00DC43D5">
      <w:pPr>
        <w:keepNext/>
        <w:keepLines/>
      </w:pPr>
      <w:r w:rsidRPr="00CF4DF9">
        <w:t xml:space="preserve">The blocking level shall not be less than -30 </w:t>
      </w:r>
      <w:proofErr w:type="spellStart"/>
      <w:r w:rsidRPr="00CF4DF9">
        <w:t>dBm</w:t>
      </w:r>
      <w:proofErr w:type="spellEnd"/>
      <w:r w:rsidRPr="00CF4DF9">
        <w:t>.</w:t>
      </w:r>
    </w:p>
    <w:p w:rsidR="00DC43D5" w:rsidRPr="00CF4DF9" w:rsidRDefault="00DC43D5" w:rsidP="00DC43D5">
      <w:pPr>
        <w:pStyle w:val="Heading4"/>
      </w:pPr>
      <w:bookmarkStart w:id="241" w:name="_Toc437854312"/>
      <w:bookmarkStart w:id="242" w:name="_Toc437854907"/>
      <w:bookmarkStart w:id="243" w:name="_Toc437878356"/>
      <w:bookmarkStart w:id="244" w:name="_Toc437941500"/>
      <w:bookmarkStart w:id="245" w:name="_Toc445822254"/>
      <w:bookmarkStart w:id="246" w:name="_Toc445822923"/>
      <w:bookmarkStart w:id="247" w:name="_Toc445978149"/>
      <w:bookmarkStart w:id="248" w:name="_Toc445980992"/>
      <w:bookmarkStart w:id="249" w:name="_Toc445985632"/>
      <w:bookmarkStart w:id="250" w:name="_Toc445985807"/>
      <w:bookmarkStart w:id="251" w:name="_Toc445986369"/>
      <w:bookmarkStart w:id="252" w:name="_Toc445986545"/>
      <w:bookmarkStart w:id="253" w:name="_Toc446427469"/>
      <w:bookmarkStart w:id="254" w:name="_Toc446427656"/>
      <w:bookmarkStart w:id="255" w:name="_Toc446574562"/>
      <w:bookmarkStart w:id="256" w:name="_Toc446577141"/>
      <w:r w:rsidRPr="00CF4DF9">
        <w:t>4.2.7.3</w:t>
      </w:r>
      <w:r w:rsidRPr="00CF4DF9">
        <w:tab/>
        <w:t>Conformance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DC43D5" w:rsidRDefault="00DC43D5" w:rsidP="00DC43D5">
      <w:pPr>
        <w:jc w:val="both"/>
      </w:pPr>
      <w:r w:rsidRPr="00CF4DF9">
        <w:t>Conformance tests as defined in Clause 5.3.7 shall be carried out.</w:t>
      </w:r>
    </w:p>
    <w:p w:rsidR="00DC43D5" w:rsidRDefault="00DC43D5" w:rsidP="00DC43D5">
      <w:pPr>
        <w:jc w:val="both"/>
      </w:pPr>
      <w:r>
        <w:t>--------------------------------------------------------------</w:t>
      </w:r>
    </w:p>
    <w:p w:rsidR="00DC43D5" w:rsidRPr="00CF4DF9" w:rsidRDefault="00DC43D5" w:rsidP="00DC43D5">
      <w:pPr>
        <w:pStyle w:val="Heading3"/>
        <w:keepLines w:val="0"/>
      </w:pPr>
      <w:bookmarkStart w:id="257" w:name="_Toc437854373"/>
      <w:bookmarkStart w:id="258" w:name="_Toc437854968"/>
      <w:bookmarkStart w:id="259" w:name="_Toc437878417"/>
      <w:bookmarkStart w:id="260" w:name="_Toc437941561"/>
      <w:bookmarkStart w:id="261" w:name="_Toc445822315"/>
      <w:bookmarkStart w:id="262" w:name="_Toc445822984"/>
      <w:bookmarkStart w:id="263" w:name="_Toc445978210"/>
      <w:bookmarkStart w:id="264" w:name="_Toc445981053"/>
      <w:bookmarkStart w:id="265" w:name="_Toc445985690"/>
      <w:bookmarkStart w:id="266" w:name="_Toc445985865"/>
      <w:bookmarkStart w:id="267" w:name="_Toc445986427"/>
      <w:bookmarkStart w:id="268" w:name="_Toc445986603"/>
      <w:bookmarkStart w:id="269" w:name="_Toc446427527"/>
      <w:bookmarkStart w:id="270" w:name="_Toc446427714"/>
      <w:bookmarkStart w:id="271" w:name="_Toc446574620"/>
      <w:bookmarkStart w:id="272" w:name="_Toc446577199"/>
      <w:r w:rsidRPr="00CF4DF9">
        <w:t>5.3.7</w:t>
      </w:r>
      <w:r w:rsidRPr="00CF4DF9">
        <w:tab/>
        <w:t>Receiver selectivity</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DC43D5" w:rsidRPr="00CF4DF9" w:rsidRDefault="00DC43D5" w:rsidP="00DC43D5">
      <w:pPr>
        <w:pStyle w:val="Heading4"/>
        <w:keepNext w:val="0"/>
        <w:keepLines w:val="0"/>
      </w:pPr>
      <w:bookmarkStart w:id="273" w:name="_Toc437854374"/>
      <w:bookmarkStart w:id="274" w:name="_Toc437854969"/>
      <w:bookmarkStart w:id="275" w:name="_Toc437878418"/>
      <w:bookmarkStart w:id="276" w:name="_Toc437941562"/>
      <w:bookmarkStart w:id="277" w:name="_Toc445822316"/>
      <w:bookmarkStart w:id="278" w:name="_Toc445822985"/>
      <w:bookmarkStart w:id="279" w:name="_Toc445978211"/>
      <w:bookmarkStart w:id="280" w:name="_Toc445981054"/>
      <w:bookmarkStart w:id="281" w:name="_Toc445985691"/>
      <w:bookmarkStart w:id="282" w:name="_Toc445985866"/>
      <w:bookmarkStart w:id="283" w:name="_Toc445986428"/>
      <w:bookmarkStart w:id="284" w:name="_Toc445986604"/>
      <w:bookmarkStart w:id="285" w:name="_Toc446427528"/>
      <w:bookmarkStart w:id="286" w:name="_Toc446427715"/>
      <w:bookmarkStart w:id="287" w:name="_Toc446574621"/>
      <w:bookmarkStart w:id="288" w:name="_Toc446577200"/>
      <w:r w:rsidRPr="00CF4DF9">
        <w:t>5.3.7.1</w:t>
      </w:r>
      <w:r w:rsidRPr="00CF4DF9">
        <w:tab/>
        <w:t>Test purpose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DC43D5" w:rsidRPr="00CF4DF9" w:rsidRDefault="00DC43D5" w:rsidP="00DC43D5">
      <w:proofErr w:type="gramStart"/>
      <w:r w:rsidRPr="00CF4DF9">
        <w:t>To verify that the DUT operates satisfactorily in the presence of a signal in the adjacent channel.</w:t>
      </w:r>
      <w:proofErr w:type="gramEnd"/>
    </w:p>
    <w:p w:rsidR="00DC43D5" w:rsidRPr="00CF4DF9" w:rsidRDefault="00DC43D5" w:rsidP="00DC43D5">
      <w:proofErr w:type="gramStart"/>
      <w:r w:rsidRPr="00CF4DF9">
        <w:t>To verify that the DUT operates satisfactorily in the presence of a signal in the alternate adjacent channel.</w:t>
      </w:r>
      <w:proofErr w:type="gramEnd"/>
    </w:p>
    <w:p w:rsidR="00DC43D5" w:rsidRPr="00CF4DF9" w:rsidRDefault="00DC43D5" w:rsidP="00DC43D5">
      <w:r w:rsidRPr="00CF4DF9">
        <w:t>To verify that the DUT operates satisfactorily in the presence of a signal in a frequency band further away for testing the blocking functionality.</w:t>
      </w:r>
    </w:p>
    <w:p w:rsidR="00DC43D5" w:rsidRPr="00CF4DF9" w:rsidRDefault="00DC43D5" w:rsidP="00DC43D5">
      <w:pPr>
        <w:pStyle w:val="Heading4"/>
      </w:pPr>
      <w:bookmarkStart w:id="289" w:name="_Toc437854375"/>
      <w:bookmarkStart w:id="290" w:name="_Toc437854970"/>
      <w:bookmarkStart w:id="291" w:name="_Toc437878419"/>
      <w:bookmarkStart w:id="292" w:name="_Toc437941563"/>
      <w:bookmarkStart w:id="293" w:name="_Toc445822317"/>
      <w:bookmarkStart w:id="294" w:name="_Toc445822986"/>
      <w:bookmarkStart w:id="295" w:name="_Toc445978212"/>
      <w:bookmarkStart w:id="296" w:name="_Toc445981055"/>
      <w:bookmarkStart w:id="297" w:name="_Toc445985692"/>
      <w:bookmarkStart w:id="298" w:name="_Toc445985867"/>
      <w:bookmarkStart w:id="299" w:name="_Toc445986429"/>
      <w:bookmarkStart w:id="300" w:name="_Toc445986605"/>
      <w:bookmarkStart w:id="301" w:name="_Toc446427529"/>
      <w:bookmarkStart w:id="302" w:name="_Toc446427716"/>
      <w:bookmarkStart w:id="303" w:name="_Toc446574622"/>
      <w:bookmarkStart w:id="304" w:name="_Toc446577201"/>
      <w:r w:rsidRPr="00CF4DF9">
        <w:t>5.3.7.2</w:t>
      </w:r>
      <w:r w:rsidRPr="00CF4DF9">
        <w:tab/>
        <w:t>Test applicability</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DC43D5" w:rsidRPr="00CF4DF9" w:rsidRDefault="00DC43D5" w:rsidP="00DC43D5">
      <w:pPr>
        <w:keepNext/>
        <w:keepLines/>
      </w:pPr>
      <w:r w:rsidRPr="00CF4DF9">
        <w:t>This test applies to all types of DUT.</w:t>
      </w:r>
    </w:p>
    <w:p w:rsidR="00DC43D5" w:rsidRPr="00CF4DF9" w:rsidRDefault="00DC43D5" w:rsidP="00DC43D5">
      <w:r w:rsidRPr="00CF4DF9">
        <w:t xml:space="preserve">For DUTs with antenna connector(s) towards dedicated external antenna(s), or for DUTs with integral antenna(s) but providing a temporary antenna connector, conducted test procedure shall be used. </w:t>
      </w:r>
    </w:p>
    <w:p w:rsidR="00DC43D5" w:rsidRPr="00CF4DF9" w:rsidRDefault="00DC43D5" w:rsidP="00DC43D5">
      <w:r w:rsidRPr="00CF4DF9">
        <w:t>For DUTs with integral antenna(s) only, radiated test procedure shall be used.</w:t>
      </w:r>
    </w:p>
    <w:p w:rsidR="00DC43D5" w:rsidRPr="00CF4DF9" w:rsidRDefault="00DC43D5" w:rsidP="00DC43D5">
      <w:pPr>
        <w:pStyle w:val="Heading4"/>
      </w:pPr>
      <w:bookmarkStart w:id="305" w:name="_Toc437854376"/>
      <w:bookmarkStart w:id="306" w:name="_Toc437854971"/>
      <w:bookmarkStart w:id="307" w:name="_Toc437878420"/>
      <w:bookmarkStart w:id="308" w:name="_Toc437941564"/>
      <w:bookmarkStart w:id="309" w:name="_Toc445822318"/>
      <w:bookmarkStart w:id="310" w:name="_Toc445822987"/>
      <w:bookmarkStart w:id="311" w:name="_Toc445978213"/>
      <w:bookmarkStart w:id="312" w:name="_Toc445981056"/>
      <w:bookmarkStart w:id="313" w:name="_Toc445985693"/>
      <w:bookmarkStart w:id="314" w:name="_Toc445985868"/>
      <w:bookmarkStart w:id="315" w:name="_Toc445986430"/>
      <w:bookmarkStart w:id="316" w:name="_Toc445986606"/>
      <w:bookmarkStart w:id="317" w:name="_Toc446427530"/>
      <w:bookmarkStart w:id="318" w:name="_Toc446427717"/>
      <w:bookmarkStart w:id="319" w:name="_Toc446574623"/>
      <w:bookmarkStart w:id="320" w:name="_Toc446577202"/>
      <w:r w:rsidRPr="00CF4DF9">
        <w:t>5.3.7.3</w:t>
      </w:r>
      <w:r w:rsidRPr="00CF4DF9">
        <w:tab/>
        <w:t>Test 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DC43D5" w:rsidRPr="00CF4DF9" w:rsidRDefault="00DC43D5" w:rsidP="00DC43D5">
      <w:pPr>
        <w:pStyle w:val="Heading5"/>
      </w:pPr>
      <w:bookmarkStart w:id="321" w:name="_Toc437854377"/>
      <w:bookmarkStart w:id="322" w:name="_Toc437854972"/>
      <w:bookmarkStart w:id="323" w:name="_Toc437878421"/>
      <w:bookmarkStart w:id="324" w:name="_Toc437941565"/>
      <w:bookmarkStart w:id="325" w:name="_Toc445822319"/>
      <w:bookmarkStart w:id="326" w:name="_Toc445822988"/>
      <w:bookmarkStart w:id="327" w:name="_Toc445978214"/>
      <w:bookmarkStart w:id="328" w:name="_Toc445981057"/>
      <w:bookmarkStart w:id="329" w:name="_Toc445985694"/>
      <w:bookmarkStart w:id="330" w:name="_Toc445985869"/>
      <w:bookmarkStart w:id="331" w:name="_Toc445986431"/>
      <w:bookmarkStart w:id="332" w:name="_Toc445986607"/>
      <w:bookmarkStart w:id="333" w:name="_Toc446427531"/>
      <w:bookmarkStart w:id="334" w:name="_Toc446427718"/>
      <w:bookmarkStart w:id="335" w:name="_Toc446574624"/>
      <w:bookmarkStart w:id="336" w:name="_Toc446577203"/>
      <w:r w:rsidRPr="00CF4DF9">
        <w:t>5.3.7.3.1</w:t>
      </w:r>
      <w:r w:rsidRPr="00CF4DF9">
        <w:tab/>
        <w:t>Initial conditions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DC43D5" w:rsidRPr="00CF4DF9" w:rsidRDefault="00DC43D5" w:rsidP="00DC43D5">
      <w:r w:rsidRPr="00CF4DF9">
        <w:t>This test shall be performed for all nominal carrier frequencies according to Table 2 supported by the DUT.</w:t>
      </w:r>
    </w:p>
    <w:p w:rsidR="00DC43D5" w:rsidRPr="00CF4DF9" w:rsidRDefault="00DC43D5" w:rsidP="00DC43D5">
      <w:r w:rsidRPr="00CF4DF9">
        <w:t>The measurement is performed with the DUT in normal operation.</w:t>
      </w:r>
    </w:p>
    <w:p w:rsidR="00DC43D5" w:rsidRPr="00CF4DF9" w:rsidRDefault="00DC43D5" w:rsidP="00DC43D5">
      <w:pPr>
        <w:pStyle w:val="Heading5"/>
      </w:pPr>
      <w:bookmarkStart w:id="337" w:name="_Toc437854378"/>
      <w:bookmarkStart w:id="338" w:name="_Toc437854973"/>
      <w:bookmarkStart w:id="339" w:name="_Toc437878422"/>
      <w:bookmarkStart w:id="340" w:name="_Toc437941566"/>
      <w:bookmarkStart w:id="341" w:name="_Toc445822320"/>
      <w:bookmarkStart w:id="342" w:name="_Toc445822989"/>
      <w:bookmarkStart w:id="343" w:name="_Toc445978215"/>
      <w:bookmarkStart w:id="344" w:name="_Toc445981058"/>
      <w:bookmarkStart w:id="345" w:name="_Toc445985695"/>
      <w:bookmarkStart w:id="346" w:name="_Toc445985870"/>
      <w:bookmarkStart w:id="347" w:name="_Toc445986432"/>
      <w:bookmarkStart w:id="348" w:name="_Toc445986608"/>
      <w:bookmarkStart w:id="349" w:name="_Toc446427532"/>
      <w:bookmarkStart w:id="350" w:name="_Toc446427719"/>
      <w:bookmarkStart w:id="351" w:name="_Toc446574625"/>
      <w:bookmarkStart w:id="352" w:name="_Toc446577204"/>
      <w:r w:rsidRPr="00CF4DF9">
        <w:t>5.3.7.3.2</w:t>
      </w:r>
      <w:r w:rsidRPr="00CF4DF9">
        <w:tab/>
        <w:t>Conducted measurement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DC43D5" w:rsidRPr="00CF4DF9" w:rsidRDefault="00DC43D5" w:rsidP="00DC43D5">
      <w:r w:rsidRPr="00CF4DF9">
        <w:t xml:space="preserve">The test procedure shall be as follow: </w:t>
      </w:r>
    </w:p>
    <w:p w:rsidR="00DC43D5" w:rsidRPr="00CF4DF9" w:rsidRDefault="00DC43D5" w:rsidP="00DC43D5">
      <w:pPr>
        <w:rPr>
          <w:b/>
        </w:rPr>
      </w:pPr>
      <w:r w:rsidRPr="00CF4DF9">
        <w:rPr>
          <w:b/>
        </w:rPr>
        <w:t xml:space="preserve">Step 1: </w:t>
      </w:r>
    </w:p>
    <w:p w:rsidR="00DC43D5" w:rsidRPr="00CF4DF9" w:rsidRDefault="00DC43D5" w:rsidP="00DC43D5">
      <w:pPr>
        <w:pStyle w:val="B1"/>
      </w:pPr>
      <w:r w:rsidRPr="00CF4DF9">
        <w:t>Connect the DUT receiver to the output of the test system.</w:t>
      </w:r>
    </w:p>
    <w:p w:rsidR="00DC43D5" w:rsidRPr="00CF4DF9" w:rsidRDefault="00DC43D5" w:rsidP="00DC43D5">
      <w:pPr>
        <w:rPr>
          <w:b/>
        </w:rPr>
      </w:pPr>
      <w:r w:rsidRPr="00CF4DF9">
        <w:rPr>
          <w:b/>
        </w:rPr>
        <w:t xml:space="preserve">Step 2: </w:t>
      </w:r>
    </w:p>
    <w:p w:rsidR="00DC43D5" w:rsidRPr="00CF4DF9" w:rsidRDefault="00DC43D5" w:rsidP="00DC43D5">
      <w:pPr>
        <w:pStyle w:val="B1"/>
      </w:pPr>
      <w:r w:rsidRPr="00CF4DF9">
        <w:lastRenderedPageBreak/>
        <w:t xml:space="preserve">Activate a test transmission from the test system at the carrier frequency of the DUT, at a level adjusted + 3 dB above the sensitivity limit from Table 8 at the receiver input. Use the modulation scheme as declared by the manufacturer of the DUT. </w:t>
      </w:r>
    </w:p>
    <w:p w:rsidR="00DC43D5" w:rsidRPr="00CF4DF9" w:rsidRDefault="00DC43D5" w:rsidP="00DC43D5">
      <w:pPr>
        <w:rPr>
          <w:b/>
        </w:rPr>
      </w:pPr>
      <w:r w:rsidRPr="00CF4DF9">
        <w:rPr>
          <w:b/>
        </w:rPr>
        <w:t xml:space="preserve">Step 3: </w:t>
      </w:r>
    </w:p>
    <w:p w:rsidR="00DC43D5" w:rsidRPr="00CF4DF9" w:rsidRDefault="00DC43D5" w:rsidP="00DC43D5">
      <w:pPr>
        <w:pStyle w:val="B1"/>
      </w:pPr>
      <w:r w:rsidRPr="00CF4DF9">
        <w:t xml:space="preserve">Activate a second signal with normal modulation at + 10 MHz relative to the carrier frequency of the receiver, at a power level relative to the test transmission of &lt; 16 </w:t>
      </w:r>
      <w:proofErr w:type="spellStart"/>
      <w:r w:rsidRPr="00CF4DF9">
        <w:t>dB.</w:t>
      </w:r>
      <w:proofErr w:type="spellEnd"/>
      <w:r w:rsidRPr="00CF4DF9">
        <w:t xml:space="preserve"> </w:t>
      </w:r>
    </w:p>
    <w:p w:rsidR="00DC43D5" w:rsidRPr="00CF4DF9" w:rsidRDefault="00DC43D5" w:rsidP="00DC43D5">
      <w:pPr>
        <w:rPr>
          <w:b/>
        </w:rPr>
      </w:pPr>
      <w:r w:rsidRPr="00CF4DF9">
        <w:rPr>
          <w:b/>
        </w:rPr>
        <w:t xml:space="preserve">Step 4: </w:t>
      </w:r>
    </w:p>
    <w:p w:rsidR="00DC43D5" w:rsidRPr="00CF4DF9" w:rsidRDefault="00DC43D5" w:rsidP="00DC43D5">
      <w:pPr>
        <w:pStyle w:val="B1"/>
      </w:pPr>
      <w:r w:rsidRPr="00CF4DF9">
        <w:t>Increase the power level of the second signal until the packet error ratio is 10</w:t>
      </w:r>
      <w:r w:rsidRPr="00CF4DF9">
        <w:rPr>
          <w:position w:val="6"/>
          <w:sz w:val="16"/>
        </w:rPr>
        <w:t>-1</w:t>
      </w:r>
      <w:r w:rsidRPr="00CF4DF9">
        <w:t xml:space="preserve"> or greater. </w:t>
      </w:r>
    </w:p>
    <w:p w:rsidR="00DC43D5" w:rsidRPr="00CF4DF9" w:rsidRDefault="00DC43D5" w:rsidP="00DC43D5">
      <w:pPr>
        <w:rPr>
          <w:b/>
        </w:rPr>
      </w:pPr>
      <w:r w:rsidRPr="00CF4DF9">
        <w:rPr>
          <w:b/>
        </w:rPr>
        <w:t xml:space="preserve">Step 5: </w:t>
      </w:r>
    </w:p>
    <w:p w:rsidR="00DC43D5" w:rsidRPr="00CF4DF9" w:rsidRDefault="00DC43D5" w:rsidP="00DC43D5">
      <w:pPr>
        <w:pStyle w:val="B1"/>
      </w:pPr>
      <w:r w:rsidRPr="00CF4DF9">
        <w:t>Record the relative and absolute power levels of the second signal.</w:t>
      </w:r>
    </w:p>
    <w:p w:rsidR="00DC43D5" w:rsidRPr="00CF4DF9" w:rsidRDefault="00DC43D5" w:rsidP="00DC43D5">
      <w:pPr>
        <w:rPr>
          <w:b/>
        </w:rPr>
      </w:pPr>
      <w:r w:rsidRPr="00CF4DF9">
        <w:rPr>
          <w:b/>
        </w:rPr>
        <w:t xml:space="preserve">Step 6: </w:t>
      </w:r>
    </w:p>
    <w:p w:rsidR="00DC43D5" w:rsidRPr="00CF4DF9" w:rsidRDefault="00DC43D5" w:rsidP="00DC43D5">
      <w:pPr>
        <w:pStyle w:val="B1"/>
      </w:pPr>
      <w:r w:rsidRPr="00CF4DF9">
        <w:t>Repeat step 3 to step 5 but for a second signal at lower adjacent channel at - 10 MHz relative to the carrier frequency of the receiver.</w:t>
      </w:r>
    </w:p>
    <w:p w:rsidR="00DC43D5" w:rsidRPr="00CF4DF9" w:rsidRDefault="00DC43D5" w:rsidP="00DC43D5">
      <w:pPr>
        <w:rPr>
          <w:b/>
        </w:rPr>
      </w:pPr>
      <w:r w:rsidRPr="00CF4DF9">
        <w:rPr>
          <w:b/>
        </w:rPr>
        <w:t xml:space="preserve">Step 7: </w:t>
      </w:r>
    </w:p>
    <w:p w:rsidR="00DC43D5" w:rsidRPr="00CF4DF9" w:rsidRDefault="00DC43D5" w:rsidP="00DC43D5">
      <w:pPr>
        <w:pStyle w:val="B1"/>
      </w:pPr>
      <w:r w:rsidRPr="00CF4DF9">
        <w:t>Repeat step 3 to step 5 but for a second signal at alternate adjacent channels at - 20 MHz and + 20 MHz relative to the carrier frequency of the receiver.</w:t>
      </w:r>
    </w:p>
    <w:p w:rsidR="00DC43D5" w:rsidRPr="00CF4DF9" w:rsidRDefault="00DC43D5" w:rsidP="00DC43D5">
      <w:pPr>
        <w:keepNext/>
        <w:rPr>
          <w:b/>
        </w:rPr>
      </w:pPr>
      <w:r w:rsidRPr="00CF4DF9">
        <w:rPr>
          <w:b/>
        </w:rPr>
        <w:t xml:space="preserve">Step 8: </w:t>
      </w:r>
    </w:p>
    <w:p w:rsidR="00DC43D5" w:rsidRPr="00CF4DF9" w:rsidRDefault="00DC43D5" w:rsidP="00DC43D5">
      <w:pPr>
        <w:pStyle w:val="B1"/>
      </w:pPr>
      <w:r w:rsidRPr="00CF4DF9">
        <w:t>Repeat step 3 to step 5 but for a second unmodulated signal for at least six frequency offset points to test the blocking capability of the DUT. Frequency offset points shall be ± 50 MHz, ± 100 MHz, and ± 200 MHz, relative to the carrier frequency but are not limited to those.</w:t>
      </w:r>
    </w:p>
    <w:p w:rsidR="00DC43D5" w:rsidRPr="00CF4DF9" w:rsidRDefault="00DC43D5" w:rsidP="00DC43D5">
      <w:pPr>
        <w:rPr>
          <w:position w:val="6"/>
          <w:sz w:val="16"/>
        </w:rPr>
      </w:pPr>
      <w:r w:rsidRPr="00CF4DF9">
        <w:t xml:space="preserve">For special protection requirements for the receiver it can be necessary to determine the receiver saturation. In this case the above measurements are repeated with a 25 dB increased level for the signal generator. </w:t>
      </w:r>
    </w:p>
    <w:p w:rsidR="00DC43D5" w:rsidRPr="00CF4DF9" w:rsidRDefault="00DC43D5" w:rsidP="00DC43D5">
      <w:pPr>
        <w:pStyle w:val="FL"/>
      </w:pPr>
      <w:r w:rsidRPr="00CF4DF9">
        <w:object w:dxaOrig="5498" w:dyaOrig="2549">
          <v:shape id="_x0000_i1026" type="#_x0000_t75" style="width:273.75pt;height:126pt" o:ole="">
            <v:imagedata r:id="rId10" o:title=""/>
          </v:shape>
          <o:OLEObject Type="Embed" ProgID="Visio.Drawing.11" ShapeID="_x0000_i1026" DrawAspect="Content" ObjectID="_1537624522" r:id="rId11"/>
        </w:object>
      </w:r>
    </w:p>
    <w:p w:rsidR="00DC43D5" w:rsidRPr="00CF4DF9" w:rsidRDefault="00DC43D5" w:rsidP="00DC43D5">
      <w:pPr>
        <w:pStyle w:val="TF"/>
      </w:pPr>
      <w:r w:rsidRPr="00CF4DF9">
        <w:t>Figure 3: A possible conducted measurement arrangement</w:t>
      </w:r>
    </w:p>
    <w:p w:rsidR="00DC43D5" w:rsidRPr="00CF4DF9" w:rsidRDefault="00DC43D5" w:rsidP="00DC43D5">
      <w:pPr>
        <w:pStyle w:val="Heading5"/>
      </w:pPr>
      <w:bookmarkStart w:id="353" w:name="_Toc437854379"/>
      <w:bookmarkStart w:id="354" w:name="_Toc437854974"/>
      <w:bookmarkStart w:id="355" w:name="_Toc437878423"/>
      <w:bookmarkStart w:id="356" w:name="_Toc437941567"/>
      <w:bookmarkStart w:id="357" w:name="_Toc445822321"/>
      <w:bookmarkStart w:id="358" w:name="_Toc445822990"/>
      <w:bookmarkStart w:id="359" w:name="_Toc445978216"/>
      <w:bookmarkStart w:id="360" w:name="_Toc445981059"/>
      <w:bookmarkStart w:id="361" w:name="_Toc445985696"/>
      <w:bookmarkStart w:id="362" w:name="_Toc445985871"/>
      <w:bookmarkStart w:id="363" w:name="_Toc445986433"/>
      <w:bookmarkStart w:id="364" w:name="_Toc445986609"/>
      <w:bookmarkStart w:id="365" w:name="_Toc446427533"/>
      <w:bookmarkStart w:id="366" w:name="_Toc446427720"/>
      <w:bookmarkStart w:id="367" w:name="_Toc446574626"/>
      <w:bookmarkStart w:id="368" w:name="_Toc446577205"/>
      <w:r w:rsidRPr="00CF4DF9">
        <w:t>5.3.7.3.3</w:t>
      </w:r>
      <w:r w:rsidRPr="00CF4DF9">
        <w:tab/>
        <w:t>Radiated measurement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DC43D5" w:rsidRPr="00CF4DF9" w:rsidRDefault="00DC43D5" w:rsidP="00DC43D5">
      <w:r w:rsidRPr="00CF4DF9">
        <w:t>A test site from Annex B shall be selected and the requirements from Annex B and Annex C apply. The procedure shall be the same as for the conducted measurement.</w:t>
      </w:r>
    </w:p>
    <w:p w:rsidR="00DC43D5" w:rsidRPr="00CF4DF9" w:rsidRDefault="00DC43D5" w:rsidP="00DC43D5">
      <w:pPr>
        <w:pStyle w:val="Heading4"/>
      </w:pPr>
      <w:bookmarkStart w:id="369" w:name="_Toc437854380"/>
      <w:bookmarkStart w:id="370" w:name="_Toc437854975"/>
      <w:bookmarkStart w:id="371" w:name="_Toc437878424"/>
      <w:bookmarkStart w:id="372" w:name="_Toc437941568"/>
      <w:bookmarkStart w:id="373" w:name="_Toc445822322"/>
      <w:bookmarkStart w:id="374" w:name="_Toc445822991"/>
      <w:bookmarkStart w:id="375" w:name="_Toc445978217"/>
      <w:bookmarkStart w:id="376" w:name="_Toc445981060"/>
      <w:bookmarkStart w:id="377" w:name="_Toc445985697"/>
      <w:bookmarkStart w:id="378" w:name="_Toc445985872"/>
      <w:bookmarkStart w:id="379" w:name="_Toc445986434"/>
      <w:bookmarkStart w:id="380" w:name="_Toc445986610"/>
      <w:bookmarkStart w:id="381" w:name="_Toc446427534"/>
      <w:bookmarkStart w:id="382" w:name="_Toc446427721"/>
      <w:bookmarkStart w:id="383" w:name="_Toc446574627"/>
      <w:bookmarkStart w:id="384" w:name="_Toc446577206"/>
      <w:r w:rsidRPr="00CF4DF9">
        <w:t>5.3.7.4</w:t>
      </w:r>
      <w:r w:rsidRPr="00CF4DF9">
        <w:tab/>
        <w:t>Test requirement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DC43D5" w:rsidRPr="00CF4DF9" w:rsidRDefault="00DC43D5" w:rsidP="00DC43D5">
      <w:r w:rsidRPr="00CF4DF9">
        <w:t xml:space="preserve">The receiver selectivity parameters under specified conditions shall be equal to or greater than the limits given in </w:t>
      </w:r>
      <w:r w:rsidRPr="00CF4DF9">
        <w:br/>
        <w:t>Clause 4.2.7.2.</w:t>
      </w:r>
    </w:p>
    <w:p w:rsidR="00DC43D5" w:rsidRPr="00563C58" w:rsidRDefault="00DC43D5" w:rsidP="00DC43D5">
      <w:pPr>
        <w:jc w:val="both"/>
        <w:rPr>
          <w:szCs w:val="22"/>
        </w:rPr>
      </w:pPr>
    </w:p>
    <w:sectPr w:rsidR="00DC43D5" w:rsidRPr="00563C5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DAB" w:rsidRDefault="00493DAB" w:rsidP="004F5952">
      <w:pPr>
        <w:spacing w:after="0"/>
      </w:pPr>
      <w:r>
        <w:separator/>
      </w:r>
    </w:p>
  </w:endnote>
  <w:endnote w:type="continuationSeparator" w:id="0">
    <w:p w:rsidR="00493DAB" w:rsidRDefault="00493DAB"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DAB" w:rsidRDefault="00493DAB" w:rsidP="004F5952">
      <w:pPr>
        <w:spacing w:after="0"/>
      </w:pPr>
      <w:r>
        <w:separator/>
      </w:r>
    </w:p>
  </w:footnote>
  <w:footnote w:type="continuationSeparator" w:id="0">
    <w:p w:rsidR="00493DAB" w:rsidRDefault="00493DAB"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1">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1371DA4"/>
    <w:multiLevelType w:val="hybridMultilevel"/>
    <w:tmpl w:val="D910E482"/>
    <w:lvl w:ilvl="0" w:tplc="13E2015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D35644"/>
    <w:multiLevelType w:val="hybridMultilevel"/>
    <w:tmpl w:val="50BA58BE"/>
    <w:lvl w:ilvl="0" w:tplc="13E20150">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906479"/>
    <w:multiLevelType w:val="hybridMultilevel"/>
    <w:tmpl w:val="2A8452A2"/>
    <w:lvl w:ilvl="0" w:tplc="7578DACA">
      <w:start w:val="2"/>
      <w:numFmt w:val="bullet"/>
      <w:lvlText w:val="-"/>
      <w:lvlJc w:val="left"/>
      <w:pPr>
        <w:ind w:left="720" w:hanging="360"/>
      </w:pPr>
      <w:rPr>
        <w:rFonts w:ascii="Times" w:eastAsia="Times New Roma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5F6763"/>
    <w:multiLevelType w:val="hybridMultilevel"/>
    <w:tmpl w:val="4DA6339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9942C70"/>
    <w:multiLevelType w:val="hybridMultilevel"/>
    <w:tmpl w:val="C57CABD2"/>
    <w:lvl w:ilvl="0" w:tplc="EC260A2E">
      <w:start w:val="1"/>
      <w:numFmt w:val="bullet"/>
      <w:lvlText w:val="-"/>
      <w:lvlJc w:val="left"/>
      <w:pPr>
        <w:ind w:left="1068" w:hanging="360"/>
      </w:pPr>
      <w:rPr>
        <w:rFonts w:ascii="Times New Roman" w:eastAsia="Times New Roman" w:hAnsi="Times New Roman" w:cs="Times New Roman"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B533F8A"/>
    <w:multiLevelType w:val="hybridMultilevel"/>
    <w:tmpl w:val="F97A4646"/>
    <w:lvl w:ilvl="0" w:tplc="08090011">
      <w:start w:val="1"/>
      <w:numFmt w:val="decimal"/>
      <w:lvlText w:val="%1)"/>
      <w:lvlJc w:val="left"/>
      <w:pPr>
        <w:ind w:left="-1065" w:hanging="360"/>
      </w:pPr>
      <w:rPr>
        <w:rFonts w:hint="default"/>
      </w:rPr>
    </w:lvl>
    <w:lvl w:ilvl="1" w:tplc="08090019" w:tentative="1">
      <w:start w:val="1"/>
      <w:numFmt w:val="lowerLetter"/>
      <w:lvlText w:val="%2."/>
      <w:lvlJc w:val="left"/>
      <w:pPr>
        <w:ind w:left="-345" w:hanging="360"/>
      </w:pPr>
    </w:lvl>
    <w:lvl w:ilvl="2" w:tplc="0809001B" w:tentative="1">
      <w:start w:val="1"/>
      <w:numFmt w:val="lowerRoman"/>
      <w:lvlText w:val="%3."/>
      <w:lvlJc w:val="right"/>
      <w:pPr>
        <w:ind w:left="375" w:hanging="180"/>
      </w:pPr>
    </w:lvl>
    <w:lvl w:ilvl="3" w:tplc="0809000F" w:tentative="1">
      <w:start w:val="1"/>
      <w:numFmt w:val="decimal"/>
      <w:lvlText w:val="%4."/>
      <w:lvlJc w:val="left"/>
      <w:pPr>
        <w:ind w:left="1095" w:hanging="360"/>
      </w:pPr>
    </w:lvl>
    <w:lvl w:ilvl="4" w:tplc="08090019" w:tentative="1">
      <w:start w:val="1"/>
      <w:numFmt w:val="lowerLetter"/>
      <w:lvlText w:val="%5."/>
      <w:lvlJc w:val="left"/>
      <w:pPr>
        <w:ind w:left="1815" w:hanging="360"/>
      </w:pPr>
    </w:lvl>
    <w:lvl w:ilvl="5" w:tplc="0809001B" w:tentative="1">
      <w:start w:val="1"/>
      <w:numFmt w:val="lowerRoman"/>
      <w:lvlText w:val="%6."/>
      <w:lvlJc w:val="right"/>
      <w:pPr>
        <w:ind w:left="2535" w:hanging="180"/>
      </w:pPr>
    </w:lvl>
    <w:lvl w:ilvl="6" w:tplc="0809000F" w:tentative="1">
      <w:start w:val="1"/>
      <w:numFmt w:val="decimal"/>
      <w:lvlText w:val="%7."/>
      <w:lvlJc w:val="left"/>
      <w:pPr>
        <w:ind w:left="3255" w:hanging="360"/>
      </w:pPr>
    </w:lvl>
    <w:lvl w:ilvl="7" w:tplc="08090019" w:tentative="1">
      <w:start w:val="1"/>
      <w:numFmt w:val="lowerLetter"/>
      <w:lvlText w:val="%8."/>
      <w:lvlJc w:val="left"/>
      <w:pPr>
        <w:ind w:left="3975" w:hanging="360"/>
      </w:pPr>
    </w:lvl>
    <w:lvl w:ilvl="8" w:tplc="0809001B" w:tentative="1">
      <w:start w:val="1"/>
      <w:numFmt w:val="lowerRoman"/>
      <w:lvlText w:val="%9."/>
      <w:lvlJc w:val="right"/>
      <w:pPr>
        <w:ind w:left="4695" w:hanging="180"/>
      </w:pPr>
    </w:lvl>
  </w:abstractNum>
  <w:abstractNum w:abstractNumId="13">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C137075"/>
    <w:multiLevelType w:val="hybridMultilevel"/>
    <w:tmpl w:val="04DE0CE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ADF7F00"/>
    <w:multiLevelType w:val="hybridMultilevel"/>
    <w:tmpl w:val="93EC46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7"/>
  </w:num>
  <w:num w:numId="4">
    <w:abstractNumId w:val="15"/>
  </w:num>
  <w:num w:numId="5">
    <w:abstractNumId w:val="11"/>
  </w:num>
  <w:num w:numId="6">
    <w:abstractNumId w:val="13"/>
  </w:num>
  <w:num w:numId="7">
    <w:abstractNumId w:val="4"/>
  </w:num>
  <w:num w:numId="8">
    <w:abstractNumId w:val="2"/>
  </w:num>
  <w:num w:numId="9">
    <w:abstractNumId w:val="3"/>
  </w:num>
  <w:num w:numId="10">
    <w:abstractNumId w:val="12"/>
  </w:num>
  <w:num w:numId="11">
    <w:abstractNumId w:val="6"/>
  </w:num>
  <w:num w:numId="12">
    <w:abstractNumId w:val="1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
  </w:num>
  <w:num w:numId="16">
    <w:abstractNumId w:val="0"/>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163E8"/>
    <w:rsid w:val="000355FB"/>
    <w:rsid w:val="00051147"/>
    <w:rsid w:val="0005115A"/>
    <w:rsid w:val="00063176"/>
    <w:rsid w:val="000733D1"/>
    <w:rsid w:val="000C094E"/>
    <w:rsid w:val="000C61FA"/>
    <w:rsid w:val="000D67AE"/>
    <w:rsid w:val="000F1FCC"/>
    <w:rsid w:val="000F3115"/>
    <w:rsid w:val="00103C68"/>
    <w:rsid w:val="00112205"/>
    <w:rsid w:val="0011629F"/>
    <w:rsid w:val="00170E9F"/>
    <w:rsid w:val="0017649B"/>
    <w:rsid w:val="001820E1"/>
    <w:rsid w:val="00186941"/>
    <w:rsid w:val="00191E5F"/>
    <w:rsid w:val="001A733D"/>
    <w:rsid w:val="001B1B6D"/>
    <w:rsid w:val="001B6501"/>
    <w:rsid w:val="001C4383"/>
    <w:rsid w:val="001D01B9"/>
    <w:rsid w:val="001F6AAE"/>
    <w:rsid w:val="002102B9"/>
    <w:rsid w:val="0022081F"/>
    <w:rsid w:val="002440C0"/>
    <w:rsid w:val="0027248F"/>
    <w:rsid w:val="0028678B"/>
    <w:rsid w:val="002A58A2"/>
    <w:rsid w:val="002C1A42"/>
    <w:rsid w:val="002E6F78"/>
    <w:rsid w:val="0035672D"/>
    <w:rsid w:val="00362075"/>
    <w:rsid w:val="0038137A"/>
    <w:rsid w:val="003A738E"/>
    <w:rsid w:val="003B3684"/>
    <w:rsid w:val="003D1B1C"/>
    <w:rsid w:val="003D4CA7"/>
    <w:rsid w:val="003F3B33"/>
    <w:rsid w:val="0045334A"/>
    <w:rsid w:val="00460750"/>
    <w:rsid w:val="0046436B"/>
    <w:rsid w:val="00480968"/>
    <w:rsid w:val="004871E3"/>
    <w:rsid w:val="00493DAB"/>
    <w:rsid w:val="00495AC8"/>
    <w:rsid w:val="004B07E8"/>
    <w:rsid w:val="004D04FA"/>
    <w:rsid w:val="004F5952"/>
    <w:rsid w:val="00505CE5"/>
    <w:rsid w:val="00510476"/>
    <w:rsid w:val="00523771"/>
    <w:rsid w:val="005633C9"/>
    <w:rsid w:val="00563C58"/>
    <w:rsid w:val="005A7BD7"/>
    <w:rsid w:val="005D42E3"/>
    <w:rsid w:val="005E0076"/>
    <w:rsid w:val="005E5D7C"/>
    <w:rsid w:val="006022D8"/>
    <w:rsid w:val="0060598B"/>
    <w:rsid w:val="00612136"/>
    <w:rsid w:val="00617ECD"/>
    <w:rsid w:val="00640C7E"/>
    <w:rsid w:val="00643273"/>
    <w:rsid w:val="00651673"/>
    <w:rsid w:val="00655BDC"/>
    <w:rsid w:val="00677A11"/>
    <w:rsid w:val="00693727"/>
    <w:rsid w:val="006962C5"/>
    <w:rsid w:val="00697680"/>
    <w:rsid w:val="006A27DC"/>
    <w:rsid w:val="006D0F26"/>
    <w:rsid w:val="006E2AD1"/>
    <w:rsid w:val="00705D6F"/>
    <w:rsid w:val="007356AC"/>
    <w:rsid w:val="00746E53"/>
    <w:rsid w:val="007638DC"/>
    <w:rsid w:val="00777789"/>
    <w:rsid w:val="007927ED"/>
    <w:rsid w:val="007A3633"/>
    <w:rsid w:val="007A76DC"/>
    <w:rsid w:val="007D4BA7"/>
    <w:rsid w:val="007D4F0E"/>
    <w:rsid w:val="007D51E5"/>
    <w:rsid w:val="007F6190"/>
    <w:rsid w:val="00807FDD"/>
    <w:rsid w:val="008112E1"/>
    <w:rsid w:val="00834A5D"/>
    <w:rsid w:val="00862EE8"/>
    <w:rsid w:val="00871B80"/>
    <w:rsid w:val="00884CDC"/>
    <w:rsid w:val="008B4CB6"/>
    <w:rsid w:val="008C4164"/>
    <w:rsid w:val="00934819"/>
    <w:rsid w:val="0097456B"/>
    <w:rsid w:val="00986BE4"/>
    <w:rsid w:val="009A03EC"/>
    <w:rsid w:val="009A7CFE"/>
    <w:rsid w:val="009B61B7"/>
    <w:rsid w:val="009E07BE"/>
    <w:rsid w:val="009F3F91"/>
    <w:rsid w:val="00A02759"/>
    <w:rsid w:val="00A27722"/>
    <w:rsid w:val="00A43A24"/>
    <w:rsid w:val="00A53021"/>
    <w:rsid w:val="00A61772"/>
    <w:rsid w:val="00A63731"/>
    <w:rsid w:val="00A71B8D"/>
    <w:rsid w:val="00A77581"/>
    <w:rsid w:val="00A80B13"/>
    <w:rsid w:val="00A92A69"/>
    <w:rsid w:val="00A9435D"/>
    <w:rsid w:val="00AC3D08"/>
    <w:rsid w:val="00AC7E9E"/>
    <w:rsid w:val="00AD4594"/>
    <w:rsid w:val="00AF1477"/>
    <w:rsid w:val="00B25EB4"/>
    <w:rsid w:val="00B31CEC"/>
    <w:rsid w:val="00B47D6E"/>
    <w:rsid w:val="00B77726"/>
    <w:rsid w:val="00B8145E"/>
    <w:rsid w:val="00B91724"/>
    <w:rsid w:val="00BA4B9A"/>
    <w:rsid w:val="00BB794E"/>
    <w:rsid w:val="00C02D41"/>
    <w:rsid w:val="00C20605"/>
    <w:rsid w:val="00C2184D"/>
    <w:rsid w:val="00C76985"/>
    <w:rsid w:val="00C85518"/>
    <w:rsid w:val="00C85D12"/>
    <w:rsid w:val="00CA5880"/>
    <w:rsid w:val="00CD539D"/>
    <w:rsid w:val="00CE45D0"/>
    <w:rsid w:val="00D06AAB"/>
    <w:rsid w:val="00D12135"/>
    <w:rsid w:val="00D42956"/>
    <w:rsid w:val="00D908FA"/>
    <w:rsid w:val="00DC43D5"/>
    <w:rsid w:val="00DD0FAA"/>
    <w:rsid w:val="00DF1A3B"/>
    <w:rsid w:val="00E5694D"/>
    <w:rsid w:val="00E70DFF"/>
    <w:rsid w:val="00E71A64"/>
    <w:rsid w:val="00E74A00"/>
    <w:rsid w:val="00E75DD7"/>
    <w:rsid w:val="00E76313"/>
    <w:rsid w:val="00EB0C8B"/>
    <w:rsid w:val="00EC2EDB"/>
    <w:rsid w:val="00EC3EA4"/>
    <w:rsid w:val="00ED29DC"/>
    <w:rsid w:val="00ED29F0"/>
    <w:rsid w:val="00EE3FCB"/>
    <w:rsid w:val="00EE5F73"/>
    <w:rsid w:val="00F2705C"/>
    <w:rsid w:val="00F46A8B"/>
    <w:rsid w:val="00F93DFA"/>
    <w:rsid w:val="00FA2F98"/>
    <w:rsid w:val="00FB0B5B"/>
    <w:rsid w:val="00FC7FF3"/>
    <w:rsid w:val="00FE3B5C"/>
    <w:rsid w:val="00FE7D92"/>
    <w:rsid w:val="00FF563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3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C43D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fr-FR"/>
    </w:rPr>
  </w:style>
  <w:style w:type="paragraph" w:styleId="Heading2">
    <w:name w:val="heading 2"/>
    <w:basedOn w:val="Normal"/>
    <w:next w:val="Normal"/>
    <w:link w:val="Heading2Char"/>
    <w:uiPriority w:val="9"/>
    <w:unhideWhenUsed/>
    <w:qFormat/>
    <w:rsid w:val="00DC43D5"/>
    <w:pPr>
      <w:keepNext/>
      <w:keepLines/>
      <w:spacing w:before="200" w:after="120"/>
      <w:outlineLvl w:val="1"/>
    </w:pPr>
    <w:rPr>
      <w:rFonts w:ascii="Arial" w:eastAsiaTheme="majorEastAsia" w:hAnsi="Arial" w:cstheme="majorBidi"/>
      <w:bCs/>
      <w:sz w:val="26"/>
      <w:szCs w:val="26"/>
    </w:rPr>
  </w:style>
  <w:style w:type="paragraph" w:styleId="Heading3">
    <w:name w:val="heading 3"/>
    <w:basedOn w:val="Normal"/>
    <w:next w:val="Normal"/>
    <w:link w:val="Heading3Char"/>
    <w:uiPriority w:val="9"/>
    <w:unhideWhenUsed/>
    <w:qFormat/>
    <w:rsid w:val="00DC43D5"/>
    <w:pPr>
      <w:keepNext/>
      <w:keepLines/>
      <w:spacing w:before="200" w:after="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DC43D5"/>
    <w:pPr>
      <w:keepNext/>
      <w:keepLines/>
      <w:spacing w:before="200" w:after="120"/>
      <w:outlineLvl w:val="3"/>
    </w:pPr>
    <w:rPr>
      <w:rFonts w:ascii="Arial" w:eastAsiaTheme="majorEastAsia" w:hAnsi="Arial" w:cstheme="majorBidi"/>
      <w:bCs/>
      <w:iCs/>
    </w:rPr>
  </w:style>
  <w:style w:type="paragraph" w:styleId="Heading5">
    <w:name w:val="heading 5"/>
    <w:basedOn w:val="Normal"/>
    <w:next w:val="Normal"/>
    <w:link w:val="Heading5Char"/>
    <w:uiPriority w:val="9"/>
    <w:unhideWhenUsed/>
    <w:qFormat/>
    <w:rsid w:val="00DC43D5"/>
    <w:pPr>
      <w:keepNext/>
      <w:keepLines/>
      <w:spacing w:before="200" w:after="120"/>
      <w:outlineLvl w:val="4"/>
    </w:pPr>
    <w:rPr>
      <w:rFonts w:ascii="Arial" w:eastAsiaTheme="majorEastAsia" w:hAnsi="Arial" w:cstheme="majorBidi"/>
    </w:rPr>
  </w:style>
  <w:style w:type="paragraph" w:styleId="Heading9">
    <w:name w:val="heading 9"/>
    <w:basedOn w:val="Normal"/>
    <w:next w:val="Normal"/>
    <w:link w:val="Heading9Char"/>
    <w:uiPriority w:val="9"/>
    <w:semiHidden/>
    <w:unhideWhenUsed/>
    <w:qFormat/>
    <w:rsid w:val="00DC43D5"/>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C43D5"/>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DC43D5"/>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DC43D5"/>
    <w:rPr>
      <w:rFonts w:ascii="Arial" w:eastAsiaTheme="majorEastAsia" w:hAnsi="Arial" w:cstheme="majorBidi"/>
      <w:bCs/>
      <w:sz w:val="26"/>
      <w:szCs w:val="26"/>
      <w:lang w:val="en-GB" w:eastAsia="fr-FR"/>
    </w:rPr>
  </w:style>
  <w:style w:type="character" w:customStyle="1" w:styleId="Heading9Char">
    <w:name w:val="Heading 9 Char"/>
    <w:basedOn w:val="DefaultParagraphFont"/>
    <w:link w:val="Heading9"/>
    <w:uiPriority w:val="9"/>
    <w:semiHidden/>
    <w:rsid w:val="00DC43D5"/>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C20605"/>
    <w:pPr>
      <w:spacing w:after="0" w:line="240" w:lineRule="auto"/>
    </w:pPr>
    <w:rPr>
      <w:rFonts w:ascii="Malgun Gothic" w:eastAsia="Malgun Gothic" w:hAnsi="Malgun Gothic"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TAC"/>
    <w:rsid w:val="00480968"/>
    <w:rPr>
      <w:b/>
    </w:rPr>
  </w:style>
  <w:style w:type="paragraph" w:customStyle="1" w:styleId="TAC">
    <w:name w:val="TAC"/>
    <w:basedOn w:val="Normal"/>
    <w:link w:val="TACTegn"/>
    <w:rsid w:val="00480968"/>
    <w:pPr>
      <w:keepNext/>
      <w:keepLines/>
      <w:spacing w:after="0"/>
      <w:jc w:val="center"/>
    </w:pPr>
    <w:rPr>
      <w:rFonts w:ascii="Arial" w:hAnsi="Arial"/>
      <w:sz w:val="18"/>
      <w:lang w:eastAsia="en-US"/>
    </w:rPr>
  </w:style>
  <w:style w:type="character" w:customStyle="1" w:styleId="TACTegn">
    <w:name w:val="TAC Tegn"/>
    <w:basedOn w:val="DefaultParagraphFont"/>
    <w:link w:val="TAC"/>
    <w:rsid w:val="00480968"/>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rsid w:val="00DC43D5"/>
    <w:rPr>
      <w:rFonts w:ascii="Arial" w:eastAsiaTheme="majorEastAsia" w:hAnsi="Arial" w:cstheme="majorBidi"/>
      <w:bCs/>
      <w:szCs w:val="20"/>
      <w:lang w:eastAsia="fr-FR"/>
    </w:rPr>
  </w:style>
  <w:style w:type="character" w:customStyle="1" w:styleId="Heading4Char">
    <w:name w:val="Heading 4 Char"/>
    <w:basedOn w:val="DefaultParagraphFont"/>
    <w:link w:val="Heading4"/>
    <w:uiPriority w:val="9"/>
    <w:rsid w:val="00DC43D5"/>
    <w:rPr>
      <w:rFonts w:ascii="Arial" w:eastAsiaTheme="majorEastAsia" w:hAnsi="Arial" w:cstheme="majorBidi"/>
      <w:bCs/>
      <w:iCs/>
      <w:sz w:val="20"/>
      <w:szCs w:val="20"/>
      <w:lang w:eastAsia="fr-FR"/>
    </w:rPr>
  </w:style>
  <w:style w:type="paragraph" w:customStyle="1" w:styleId="NO">
    <w:name w:val="NO"/>
    <w:basedOn w:val="Normal"/>
    <w:link w:val="NOChar"/>
    <w:rsid w:val="00563C58"/>
    <w:pPr>
      <w:keepLines/>
      <w:ind w:left="1135" w:hanging="851"/>
    </w:pPr>
    <w:rPr>
      <w:lang w:eastAsia="en-US"/>
    </w:rPr>
  </w:style>
  <w:style w:type="character" w:customStyle="1" w:styleId="NOChar">
    <w:name w:val="NO Char"/>
    <w:link w:val="NO"/>
    <w:rsid w:val="00563C58"/>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rsid w:val="00DC43D5"/>
    <w:rPr>
      <w:rFonts w:ascii="Arial" w:eastAsiaTheme="majorEastAsia" w:hAnsi="Arial" w:cstheme="majorBidi"/>
      <w:sz w:val="20"/>
      <w:szCs w:val="20"/>
      <w:lang w:eastAsia="fr-FR"/>
    </w:rPr>
  </w:style>
  <w:style w:type="paragraph" w:customStyle="1" w:styleId="EQ">
    <w:name w:val="EQ"/>
    <w:basedOn w:val="Normal"/>
    <w:next w:val="Normal"/>
    <w:rsid w:val="00563C58"/>
    <w:pPr>
      <w:keepLines/>
      <w:tabs>
        <w:tab w:val="center" w:pos="4536"/>
        <w:tab w:val="right" w:pos="9072"/>
      </w:tabs>
    </w:pPr>
    <w:rPr>
      <w:noProof/>
      <w:lang w:eastAsia="en-US"/>
    </w:rPr>
  </w:style>
  <w:style w:type="paragraph" w:customStyle="1" w:styleId="B1">
    <w:name w:val="B1+"/>
    <w:basedOn w:val="Normal"/>
    <w:rsid w:val="00563C58"/>
    <w:pPr>
      <w:numPr>
        <w:numId w:val="15"/>
      </w:numPr>
    </w:pPr>
    <w:rPr>
      <w:lang w:eastAsia="en-US"/>
    </w:rPr>
  </w:style>
  <w:style w:type="paragraph" w:customStyle="1" w:styleId="B10">
    <w:name w:val="B1"/>
    <w:basedOn w:val="List"/>
    <w:link w:val="B1Tegn"/>
    <w:rsid w:val="00DC43D5"/>
    <w:pPr>
      <w:ind w:left="738" w:hanging="454"/>
      <w:contextualSpacing w:val="0"/>
    </w:pPr>
    <w:rPr>
      <w:lang w:eastAsia="en-US"/>
    </w:rPr>
  </w:style>
  <w:style w:type="character" w:customStyle="1" w:styleId="B1Tegn">
    <w:name w:val="B1 Tegn"/>
    <w:link w:val="B10"/>
    <w:rsid w:val="00DC43D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C43D5"/>
    <w:pPr>
      <w:ind w:left="283" w:hanging="283"/>
      <w:contextualSpacing/>
    </w:pPr>
  </w:style>
  <w:style w:type="paragraph" w:customStyle="1" w:styleId="FL">
    <w:name w:val="FL"/>
    <w:basedOn w:val="Normal"/>
    <w:rsid w:val="00DC43D5"/>
    <w:pPr>
      <w:keepNext/>
      <w:keepLines/>
      <w:spacing w:before="60"/>
      <w:jc w:val="center"/>
    </w:pPr>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3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C43D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fr-FR"/>
    </w:rPr>
  </w:style>
  <w:style w:type="paragraph" w:styleId="Heading2">
    <w:name w:val="heading 2"/>
    <w:basedOn w:val="Normal"/>
    <w:next w:val="Normal"/>
    <w:link w:val="Heading2Char"/>
    <w:uiPriority w:val="9"/>
    <w:unhideWhenUsed/>
    <w:qFormat/>
    <w:rsid w:val="00DC43D5"/>
    <w:pPr>
      <w:keepNext/>
      <w:keepLines/>
      <w:spacing w:before="200" w:after="120"/>
      <w:outlineLvl w:val="1"/>
    </w:pPr>
    <w:rPr>
      <w:rFonts w:ascii="Arial" w:eastAsiaTheme="majorEastAsia" w:hAnsi="Arial" w:cstheme="majorBidi"/>
      <w:bCs/>
      <w:sz w:val="26"/>
      <w:szCs w:val="26"/>
    </w:rPr>
  </w:style>
  <w:style w:type="paragraph" w:styleId="Heading3">
    <w:name w:val="heading 3"/>
    <w:basedOn w:val="Normal"/>
    <w:next w:val="Normal"/>
    <w:link w:val="Heading3Char"/>
    <w:uiPriority w:val="9"/>
    <w:unhideWhenUsed/>
    <w:qFormat/>
    <w:rsid w:val="00DC43D5"/>
    <w:pPr>
      <w:keepNext/>
      <w:keepLines/>
      <w:spacing w:before="200" w:after="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DC43D5"/>
    <w:pPr>
      <w:keepNext/>
      <w:keepLines/>
      <w:spacing w:before="200" w:after="120"/>
      <w:outlineLvl w:val="3"/>
    </w:pPr>
    <w:rPr>
      <w:rFonts w:ascii="Arial" w:eastAsiaTheme="majorEastAsia" w:hAnsi="Arial" w:cstheme="majorBidi"/>
      <w:bCs/>
      <w:iCs/>
    </w:rPr>
  </w:style>
  <w:style w:type="paragraph" w:styleId="Heading5">
    <w:name w:val="heading 5"/>
    <w:basedOn w:val="Normal"/>
    <w:next w:val="Normal"/>
    <w:link w:val="Heading5Char"/>
    <w:uiPriority w:val="9"/>
    <w:unhideWhenUsed/>
    <w:qFormat/>
    <w:rsid w:val="00DC43D5"/>
    <w:pPr>
      <w:keepNext/>
      <w:keepLines/>
      <w:spacing w:before="200" w:after="120"/>
      <w:outlineLvl w:val="4"/>
    </w:pPr>
    <w:rPr>
      <w:rFonts w:ascii="Arial" w:eastAsiaTheme="majorEastAsia" w:hAnsi="Arial" w:cstheme="majorBidi"/>
    </w:rPr>
  </w:style>
  <w:style w:type="paragraph" w:styleId="Heading9">
    <w:name w:val="heading 9"/>
    <w:basedOn w:val="Normal"/>
    <w:next w:val="Normal"/>
    <w:link w:val="Heading9Char"/>
    <w:uiPriority w:val="9"/>
    <w:semiHidden/>
    <w:unhideWhenUsed/>
    <w:qFormat/>
    <w:rsid w:val="00DC43D5"/>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C43D5"/>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DC43D5"/>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DC43D5"/>
    <w:rPr>
      <w:rFonts w:ascii="Arial" w:eastAsiaTheme="majorEastAsia" w:hAnsi="Arial" w:cstheme="majorBidi"/>
      <w:bCs/>
      <w:sz w:val="26"/>
      <w:szCs w:val="26"/>
      <w:lang w:val="en-GB" w:eastAsia="fr-FR"/>
    </w:rPr>
  </w:style>
  <w:style w:type="character" w:customStyle="1" w:styleId="Heading9Char">
    <w:name w:val="Heading 9 Char"/>
    <w:basedOn w:val="DefaultParagraphFont"/>
    <w:link w:val="Heading9"/>
    <w:uiPriority w:val="9"/>
    <w:semiHidden/>
    <w:rsid w:val="00DC43D5"/>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C20605"/>
    <w:pPr>
      <w:spacing w:after="0" w:line="240" w:lineRule="auto"/>
    </w:pPr>
    <w:rPr>
      <w:rFonts w:ascii="Malgun Gothic" w:eastAsia="Malgun Gothic" w:hAnsi="Malgun Gothic"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TAC"/>
    <w:rsid w:val="00480968"/>
    <w:rPr>
      <w:b/>
    </w:rPr>
  </w:style>
  <w:style w:type="paragraph" w:customStyle="1" w:styleId="TAC">
    <w:name w:val="TAC"/>
    <w:basedOn w:val="Normal"/>
    <w:link w:val="TACTegn"/>
    <w:rsid w:val="00480968"/>
    <w:pPr>
      <w:keepNext/>
      <w:keepLines/>
      <w:spacing w:after="0"/>
      <w:jc w:val="center"/>
    </w:pPr>
    <w:rPr>
      <w:rFonts w:ascii="Arial" w:hAnsi="Arial"/>
      <w:sz w:val="18"/>
      <w:lang w:eastAsia="en-US"/>
    </w:rPr>
  </w:style>
  <w:style w:type="character" w:customStyle="1" w:styleId="TACTegn">
    <w:name w:val="TAC Tegn"/>
    <w:basedOn w:val="DefaultParagraphFont"/>
    <w:link w:val="TAC"/>
    <w:rsid w:val="00480968"/>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rsid w:val="00DC43D5"/>
    <w:rPr>
      <w:rFonts w:ascii="Arial" w:eastAsiaTheme="majorEastAsia" w:hAnsi="Arial" w:cstheme="majorBidi"/>
      <w:bCs/>
      <w:szCs w:val="20"/>
      <w:lang w:eastAsia="fr-FR"/>
    </w:rPr>
  </w:style>
  <w:style w:type="character" w:customStyle="1" w:styleId="Heading4Char">
    <w:name w:val="Heading 4 Char"/>
    <w:basedOn w:val="DefaultParagraphFont"/>
    <w:link w:val="Heading4"/>
    <w:uiPriority w:val="9"/>
    <w:rsid w:val="00DC43D5"/>
    <w:rPr>
      <w:rFonts w:ascii="Arial" w:eastAsiaTheme="majorEastAsia" w:hAnsi="Arial" w:cstheme="majorBidi"/>
      <w:bCs/>
      <w:iCs/>
      <w:sz w:val="20"/>
      <w:szCs w:val="20"/>
      <w:lang w:eastAsia="fr-FR"/>
    </w:rPr>
  </w:style>
  <w:style w:type="paragraph" w:customStyle="1" w:styleId="NO">
    <w:name w:val="NO"/>
    <w:basedOn w:val="Normal"/>
    <w:link w:val="NOChar"/>
    <w:rsid w:val="00563C58"/>
    <w:pPr>
      <w:keepLines/>
      <w:ind w:left="1135" w:hanging="851"/>
    </w:pPr>
    <w:rPr>
      <w:lang w:eastAsia="en-US"/>
    </w:rPr>
  </w:style>
  <w:style w:type="character" w:customStyle="1" w:styleId="NOChar">
    <w:name w:val="NO Char"/>
    <w:link w:val="NO"/>
    <w:rsid w:val="00563C58"/>
    <w:rPr>
      <w:rFonts w:ascii="Times New Roman" w:eastAsia="Times New Roman" w:hAnsi="Times New Roman" w:cs="Times New Roman"/>
      <w:sz w:val="20"/>
      <w:szCs w:val="20"/>
      <w:lang w:val="en-GB"/>
    </w:rPr>
  </w:style>
  <w:style w:type="character" w:customStyle="1" w:styleId="Heading5Char">
    <w:name w:val="Heading 5 Char"/>
    <w:basedOn w:val="DefaultParagraphFont"/>
    <w:link w:val="Heading5"/>
    <w:uiPriority w:val="9"/>
    <w:rsid w:val="00DC43D5"/>
    <w:rPr>
      <w:rFonts w:ascii="Arial" w:eastAsiaTheme="majorEastAsia" w:hAnsi="Arial" w:cstheme="majorBidi"/>
      <w:sz w:val="20"/>
      <w:szCs w:val="20"/>
      <w:lang w:eastAsia="fr-FR"/>
    </w:rPr>
  </w:style>
  <w:style w:type="paragraph" w:customStyle="1" w:styleId="EQ">
    <w:name w:val="EQ"/>
    <w:basedOn w:val="Normal"/>
    <w:next w:val="Normal"/>
    <w:rsid w:val="00563C58"/>
    <w:pPr>
      <w:keepLines/>
      <w:tabs>
        <w:tab w:val="center" w:pos="4536"/>
        <w:tab w:val="right" w:pos="9072"/>
      </w:tabs>
    </w:pPr>
    <w:rPr>
      <w:noProof/>
      <w:lang w:eastAsia="en-US"/>
    </w:rPr>
  </w:style>
  <w:style w:type="paragraph" w:customStyle="1" w:styleId="B1">
    <w:name w:val="B1+"/>
    <w:basedOn w:val="Normal"/>
    <w:rsid w:val="00563C58"/>
    <w:pPr>
      <w:numPr>
        <w:numId w:val="15"/>
      </w:numPr>
    </w:pPr>
    <w:rPr>
      <w:lang w:eastAsia="en-US"/>
    </w:rPr>
  </w:style>
  <w:style w:type="paragraph" w:customStyle="1" w:styleId="B10">
    <w:name w:val="B1"/>
    <w:basedOn w:val="List"/>
    <w:link w:val="B1Tegn"/>
    <w:rsid w:val="00DC43D5"/>
    <w:pPr>
      <w:ind w:left="738" w:hanging="454"/>
      <w:contextualSpacing w:val="0"/>
    </w:pPr>
    <w:rPr>
      <w:lang w:eastAsia="en-US"/>
    </w:rPr>
  </w:style>
  <w:style w:type="character" w:customStyle="1" w:styleId="B1Tegn">
    <w:name w:val="B1 Tegn"/>
    <w:link w:val="B10"/>
    <w:rsid w:val="00DC43D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C43D5"/>
    <w:pPr>
      <w:ind w:left="283" w:hanging="283"/>
      <w:contextualSpacing/>
    </w:pPr>
  </w:style>
  <w:style w:type="paragraph" w:customStyle="1" w:styleId="FL">
    <w:name w:val="FL"/>
    <w:basedOn w:val="Normal"/>
    <w:rsid w:val="00DC43D5"/>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632594163">
      <w:bodyDiv w:val="1"/>
      <w:marLeft w:val="0"/>
      <w:marRight w:val="0"/>
      <w:marTop w:val="0"/>
      <w:marBottom w:val="0"/>
      <w:divBdr>
        <w:top w:val="none" w:sz="0" w:space="0" w:color="auto"/>
        <w:left w:val="none" w:sz="0" w:space="0" w:color="auto"/>
        <w:bottom w:val="none" w:sz="0" w:space="0" w:color="auto"/>
        <w:right w:val="none" w:sz="0" w:space="0" w:color="auto"/>
      </w:divBdr>
    </w:div>
    <w:div w:id="168181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Boiardi, Silvia, Vodafone Group</cp:lastModifiedBy>
  <cp:revision>2</cp:revision>
  <dcterms:created xsi:type="dcterms:W3CDTF">2016-10-10T16:09:00Z</dcterms:created>
  <dcterms:modified xsi:type="dcterms:W3CDTF">2016-10-10T16:09:00Z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