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EA75E" w14:textId="20B73A34" w:rsidR="00C3696E" w:rsidRPr="00CB168F" w:rsidRDefault="00C3696E" w:rsidP="00B55146">
      <w:pPr>
        <w:tabs>
          <w:tab w:val="left" w:pos="1985"/>
          <w:tab w:val="left" w:pos="816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E6705B">
        <w:rPr>
          <w:rFonts w:ascii="Arial" w:hAnsi="Arial" w:cs="Arial"/>
          <w:b/>
          <w:sz w:val="24"/>
          <w:lang w:val="de-DE"/>
        </w:rPr>
        <w:t>2</w:t>
      </w:r>
      <w:r w:rsidR="00225213" w:rsidRPr="00225213">
        <w:rPr>
          <w:rFonts w:ascii="Arial" w:hAnsi="Arial" w:cs="Arial" w:hint="eastAsia"/>
          <w:b/>
          <w:sz w:val="24"/>
          <w:lang w:val="de-DE"/>
        </w:rPr>
        <w:t>bis</w:t>
      </w:r>
      <w:r w:rsidRPr="0012486F">
        <w:rPr>
          <w:rFonts w:ascii="Arial" w:hAnsi="Arial" w:cs="Arial"/>
          <w:b/>
          <w:sz w:val="24"/>
          <w:lang w:val="de-DE"/>
        </w:rPr>
        <w:tab/>
      </w:r>
      <w:r w:rsidR="00B06671" w:rsidRPr="00B06671">
        <w:rPr>
          <w:rFonts w:ascii="Arial" w:hAnsi="Arial" w:cs="Arial"/>
          <w:b/>
          <w:sz w:val="24"/>
          <w:lang w:val="de-DE"/>
        </w:rPr>
        <w:t>R4-241</w:t>
      </w:r>
      <w:r w:rsidR="00B55146">
        <w:rPr>
          <w:rFonts w:ascii="Arial" w:hAnsi="Arial" w:cs="Arial"/>
          <w:b/>
          <w:sz w:val="24"/>
          <w:lang w:val="de-DE"/>
        </w:rPr>
        <w:t>5039</w:t>
      </w:r>
      <w:r w:rsidRPr="0012486F">
        <w:rPr>
          <w:rFonts w:ascii="Arial" w:hAnsi="Arial" w:cs="Arial"/>
          <w:b/>
          <w:sz w:val="24"/>
          <w:lang w:val="de-DE"/>
        </w:rPr>
        <w:br/>
      </w:r>
      <w:r w:rsidR="00225213">
        <w:rPr>
          <w:rFonts w:ascii="Arial" w:eastAsia="宋体" w:hAnsi="Arial" w:cs="Arial"/>
          <w:b/>
          <w:sz w:val="24"/>
          <w:szCs w:val="24"/>
          <w:lang w:eastAsia="zh-CN"/>
        </w:rPr>
        <w:t>Hefei</w:t>
      </w:r>
      <w:r w:rsidR="00E6705B">
        <w:rPr>
          <w:rFonts w:ascii="Arial" w:eastAsia="宋体" w:hAnsi="Arial" w:cs="Arial" w:hint="eastAsia"/>
          <w:b/>
          <w:sz w:val="24"/>
          <w:szCs w:val="24"/>
          <w:lang w:eastAsia="zh-CN"/>
        </w:rPr>
        <w:t>,</w:t>
      </w:r>
      <w:r w:rsidR="00E6705B">
        <w:rPr>
          <w:rFonts w:ascii="Arial" w:eastAsia="宋体" w:hAnsi="Arial" w:cs="Arial"/>
          <w:b/>
          <w:sz w:val="24"/>
          <w:szCs w:val="24"/>
          <w:lang w:eastAsia="zh-CN"/>
        </w:rPr>
        <w:t xml:space="preserve"> </w:t>
      </w:r>
      <w:r w:rsidR="00610FBE">
        <w:rPr>
          <w:rFonts w:ascii="Arial" w:eastAsia="宋体" w:hAnsi="Arial" w:cs="Arial" w:hint="eastAsia"/>
          <w:b/>
          <w:sz w:val="24"/>
          <w:szCs w:val="24"/>
          <w:lang w:eastAsia="zh-CN"/>
        </w:rPr>
        <w:t>An</w:t>
      </w:r>
      <w:r w:rsidR="00610FBE">
        <w:rPr>
          <w:rFonts w:ascii="Arial" w:eastAsia="宋体" w:hAnsi="Arial" w:cs="Arial"/>
          <w:b/>
          <w:sz w:val="24"/>
          <w:szCs w:val="24"/>
          <w:lang w:eastAsia="zh-CN"/>
        </w:rPr>
        <w:t xml:space="preserve">hui, </w:t>
      </w:r>
      <w:r w:rsidR="00225213">
        <w:rPr>
          <w:rFonts w:ascii="Arial" w:eastAsia="宋体" w:hAnsi="Arial" w:cs="Arial"/>
          <w:b/>
          <w:sz w:val="24"/>
          <w:szCs w:val="24"/>
          <w:lang w:eastAsia="zh-CN"/>
        </w:rPr>
        <w:t>China</w:t>
      </w:r>
      <w:r w:rsidR="00E6705B">
        <w:rPr>
          <w:rFonts w:ascii="Arial" w:eastAsia="宋体" w:hAnsi="Arial" w:cs="Arial"/>
          <w:b/>
          <w:sz w:val="24"/>
          <w:szCs w:val="24"/>
          <w:lang w:eastAsia="zh-CN"/>
        </w:rPr>
        <w:t>, 1</w:t>
      </w:r>
      <w:r w:rsidR="00225213">
        <w:rPr>
          <w:rFonts w:ascii="Arial" w:eastAsia="宋体" w:hAnsi="Arial" w:cs="Arial"/>
          <w:b/>
          <w:sz w:val="24"/>
          <w:szCs w:val="24"/>
          <w:lang w:eastAsia="zh-CN"/>
        </w:rPr>
        <w:t>4</w:t>
      </w:r>
      <w:r w:rsidR="00E6705B" w:rsidRPr="0052514D">
        <w:rPr>
          <w:rFonts w:ascii="Arial" w:eastAsia="宋体" w:hAnsi="Arial" w:cs="Arial"/>
          <w:b/>
          <w:sz w:val="24"/>
          <w:szCs w:val="24"/>
          <w:vertAlign w:val="superscript"/>
          <w:lang w:eastAsia="zh-CN"/>
        </w:rPr>
        <w:t>th</w:t>
      </w:r>
      <w:r w:rsidR="00E6705B" w:rsidRPr="0052514D">
        <w:rPr>
          <w:rFonts w:ascii="Arial" w:eastAsia="宋体" w:hAnsi="Arial" w:cs="Arial"/>
          <w:b/>
          <w:sz w:val="24"/>
          <w:szCs w:val="24"/>
          <w:lang w:eastAsia="zh-CN"/>
        </w:rPr>
        <w:t xml:space="preserve"> – </w:t>
      </w:r>
      <w:r w:rsidR="00225213">
        <w:rPr>
          <w:rFonts w:ascii="Arial" w:eastAsia="宋体" w:hAnsi="Arial" w:cs="Arial"/>
          <w:b/>
          <w:sz w:val="24"/>
          <w:szCs w:val="24"/>
          <w:lang w:eastAsia="zh-CN"/>
        </w:rPr>
        <w:t>18</w:t>
      </w:r>
      <w:r w:rsidR="00610FBE">
        <w:rPr>
          <w:rFonts w:ascii="Arial" w:eastAsia="宋体" w:hAnsi="Arial" w:cs="Arial"/>
          <w:b/>
          <w:sz w:val="24"/>
          <w:szCs w:val="24"/>
          <w:vertAlign w:val="superscript"/>
          <w:lang w:eastAsia="zh-CN"/>
        </w:rPr>
        <w:t>th</w:t>
      </w:r>
      <w:r w:rsidR="00E6705B">
        <w:rPr>
          <w:rFonts w:ascii="Arial" w:eastAsia="宋体" w:hAnsi="Arial" w:cs="Arial"/>
          <w:b/>
          <w:sz w:val="24"/>
          <w:szCs w:val="24"/>
          <w:lang w:eastAsia="zh-CN"/>
        </w:rPr>
        <w:t xml:space="preserve"> </w:t>
      </w:r>
      <w:r w:rsidR="00225213">
        <w:rPr>
          <w:rFonts w:ascii="Arial" w:eastAsia="宋体" w:hAnsi="Arial" w:cs="Arial"/>
          <w:b/>
          <w:sz w:val="24"/>
          <w:szCs w:val="24"/>
          <w:lang w:eastAsia="zh-CN"/>
        </w:rPr>
        <w:t>October</w:t>
      </w:r>
      <w:r w:rsidR="00E6705B" w:rsidRPr="0052514D">
        <w:rPr>
          <w:rFonts w:ascii="Arial" w:eastAsia="宋体" w:hAnsi="Arial" w:cs="Arial"/>
          <w:b/>
          <w:sz w:val="24"/>
          <w:szCs w:val="24"/>
          <w:lang w:eastAsia="zh-CN"/>
        </w:rPr>
        <w:t>, 2024</w:t>
      </w:r>
    </w:p>
    <w:p w14:paraId="657E11A7" w14:textId="77777777" w:rsidR="00816C9D" w:rsidRPr="00610FBE" w:rsidRDefault="00816C9D" w:rsidP="00816C9D">
      <w:pPr>
        <w:rPr>
          <w:rFonts w:ascii="Arial" w:hAnsi="Arial" w:cs="Arial"/>
          <w:b/>
          <w:sz w:val="24"/>
          <w:szCs w:val="24"/>
        </w:rPr>
      </w:pPr>
      <w:bookmarkStart w:id="2" w:name="Title"/>
      <w:bookmarkStart w:id="3" w:name="DocumentFor"/>
      <w:bookmarkEnd w:id="2"/>
      <w:bookmarkEnd w:id="3"/>
    </w:p>
    <w:p w14:paraId="230C7CED" w14:textId="36F82216"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437E88">
        <w:rPr>
          <w:rFonts w:ascii="Arial" w:hAnsi="Arial"/>
          <w:sz w:val="24"/>
          <w:lang w:val="pt-BR"/>
        </w:rPr>
        <w:t>6</w:t>
      </w:r>
      <w:r>
        <w:rPr>
          <w:rFonts w:ascii="Arial" w:hAnsi="Arial"/>
          <w:sz w:val="24"/>
          <w:lang w:val="pt-BR"/>
        </w:rPr>
        <w:t>.</w:t>
      </w:r>
      <w:r w:rsidR="00156648">
        <w:rPr>
          <w:rFonts w:ascii="Arial" w:hAnsi="Arial"/>
          <w:sz w:val="24"/>
          <w:lang w:val="pt-BR"/>
        </w:rPr>
        <w:t>8</w:t>
      </w:r>
      <w:r>
        <w:rPr>
          <w:rFonts w:ascii="Arial" w:hAnsi="Arial"/>
          <w:sz w:val="24"/>
          <w:lang w:val="pt-BR"/>
        </w:rPr>
        <w:t>.2</w:t>
      </w:r>
      <w:r w:rsidR="00AA7C21">
        <w:rPr>
          <w:rFonts w:ascii="Arial" w:hAnsi="Arial"/>
          <w:sz w:val="24"/>
          <w:lang w:val="pt-BR"/>
        </w:rPr>
        <w:t>.</w:t>
      </w:r>
      <w:r w:rsidR="00156648">
        <w:rPr>
          <w:rFonts w:ascii="Arial" w:hAnsi="Arial"/>
          <w:sz w:val="24"/>
          <w:lang w:val="pt-BR"/>
        </w:rPr>
        <w:t>2.</w:t>
      </w:r>
      <w:r w:rsidR="00AA7C21">
        <w:rPr>
          <w:rFonts w:ascii="Arial" w:hAnsi="Arial"/>
          <w:sz w:val="24"/>
          <w:lang w:val="pt-BR"/>
        </w:rPr>
        <w:t>1</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259A5BF9"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B467E7" w:rsidRPr="00B467E7">
        <w:rPr>
          <w:rFonts w:ascii="Arial" w:hAnsi="Arial"/>
          <w:sz w:val="24"/>
          <w:lang w:val="en-US"/>
        </w:rPr>
        <w:t xml:space="preserve"> </w:t>
      </w:r>
      <w:r w:rsidR="00156648" w:rsidRPr="00156648">
        <w:rPr>
          <w:rFonts w:ascii="Arial" w:hAnsi="Arial"/>
          <w:sz w:val="24"/>
          <w:lang w:val="en-US"/>
        </w:rPr>
        <w:t xml:space="preserve">Tx requirements for </w:t>
      </w:r>
      <w:r w:rsidR="00156648" w:rsidRPr="00156648">
        <w:rPr>
          <w:rFonts w:ascii="Arial" w:hAnsi="Arial" w:hint="eastAsia"/>
          <w:sz w:val="24"/>
          <w:lang w:val="en-US"/>
        </w:rPr>
        <w:t>N</w:t>
      </w:r>
      <w:r w:rsidR="00156648" w:rsidRPr="00156648">
        <w:rPr>
          <w:rFonts w:ascii="Arial" w:hAnsi="Arial"/>
          <w:sz w:val="24"/>
          <w:lang w:val="en-US"/>
        </w:rPr>
        <w:t>R-NTN HPUE</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3D736ECA" w:rsidR="00C3696E" w:rsidRDefault="00413593" w:rsidP="00597583">
      <w:pPr>
        <w:spacing w:after="0"/>
        <w:rPr>
          <w:rFonts w:eastAsiaTheme="minorEastAsia"/>
          <w:lang w:eastAsia="zh-CN"/>
        </w:rPr>
      </w:pPr>
      <w:r>
        <w:rPr>
          <w:rFonts w:eastAsiaTheme="minorEastAsia"/>
          <w:lang w:eastAsia="zh-CN"/>
        </w:rPr>
        <w:t xml:space="preserve">In </w:t>
      </w:r>
      <w:r w:rsidR="00156648">
        <w:rPr>
          <w:rFonts w:eastAsiaTheme="minorEastAsia"/>
          <w:lang w:eastAsia="zh-CN"/>
        </w:rPr>
        <w:t>last</w:t>
      </w:r>
      <w:r w:rsidR="00B467E7">
        <w:rPr>
          <w:rFonts w:eastAsiaTheme="minorEastAsia"/>
          <w:lang w:eastAsia="zh-CN"/>
        </w:rPr>
        <w:t xml:space="preserve"> </w:t>
      </w:r>
      <w:r>
        <w:rPr>
          <w:rFonts w:eastAsiaTheme="minorEastAsia"/>
          <w:lang w:eastAsia="zh-CN"/>
        </w:rPr>
        <w:t xml:space="preserve">RAN4 meeting, </w:t>
      </w:r>
      <w:r w:rsidR="00B467E7">
        <w:rPr>
          <w:rFonts w:eastAsiaTheme="minorEastAsia"/>
          <w:lang w:eastAsia="zh-CN"/>
        </w:rPr>
        <w:t xml:space="preserve">the </w:t>
      </w:r>
      <w:r w:rsidR="00156648">
        <w:rPr>
          <w:rFonts w:eastAsiaTheme="minorEastAsia"/>
          <w:lang w:eastAsia="zh-CN"/>
        </w:rPr>
        <w:t>HP</w:t>
      </w:r>
      <w:r w:rsidR="00B467E7">
        <w:rPr>
          <w:rFonts w:eastAsiaTheme="minorEastAsia"/>
          <w:lang w:eastAsia="zh-CN"/>
        </w:rPr>
        <w:t xml:space="preserve">UE </w:t>
      </w:r>
      <w:r w:rsidR="00A01384">
        <w:rPr>
          <w:rFonts w:eastAsiaTheme="minorEastAsia"/>
          <w:lang w:eastAsia="zh-CN"/>
        </w:rPr>
        <w:t xml:space="preserve">Tx </w:t>
      </w:r>
      <w:r w:rsidR="00B467E7">
        <w:rPr>
          <w:rFonts w:eastAsiaTheme="minorEastAsia"/>
          <w:lang w:eastAsia="zh-CN"/>
        </w:rPr>
        <w:t>RF requirements with NR NTN operating in FR1-NTN bands</w:t>
      </w:r>
      <w:r>
        <w:rPr>
          <w:rFonts w:eastAsia="宋体"/>
          <w:lang w:eastAsia="ja-JP"/>
        </w:rPr>
        <w:t xml:space="preserve"> were</w:t>
      </w:r>
      <w:r w:rsidR="00B467E7">
        <w:rPr>
          <w:rFonts w:eastAsia="宋体"/>
          <w:lang w:eastAsia="ja-JP"/>
        </w:rPr>
        <w:t xml:space="preserve"> discussed and some agreements are</w:t>
      </w:r>
      <w:r>
        <w:rPr>
          <w:rFonts w:eastAsia="宋体"/>
          <w:lang w:eastAsia="ja-JP"/>
        </w:rPr>
        <w:t xml:space="preserve"> approved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7336A3EA" w14:textId="43AEDC0D" w:rsidR="00413593" w:rsidRPr="00413593" w:rsidRDefault="00413593" w:rsidP="00F0785E">
            <w:pPr>
              <w:spacing w:after="0" w:line="300" w:lineRule="atLeast"/>
              <w:rPr>
                <w:b/>
                <w:sz w:val="18"/>
              </w:rPr>
            </w:pPr>
            <w:r w:rsidRPr="00413593">
              <w:rPr>
                <w:rFonts w:hint="eastAsia"/>
                <w:b/>
                <w:sz w:val="18"/>
              </w:rPr>
              <w:t>A</w:t>
            </w:r>
            <w:r w:rsidRPr="00413593">
              <w:rPr>
                <w:b/>
                <w:sz w:val="18"/>
              </w:rPr>
              <w:t>greements</w:t>
            </w:r>
            <w:r>
              <w:rPr>
                <w:b/>
                <w:sz w:val="18"/>
              </w:rPr>
              <w:t>:</w:t>
            </w:r>
          </w:p>
          <w:p w14:paraId="6D288F90" w14:textId="77777777" w:rsidR="002867D2" w:rsidRPr="005C0951" w:rsidRDefault="002867D2" w:rsidP="002867D2">
            <w:pPr>
              <w:rPr>
                <w:b/>
                <w:u w:val="single"/>
                <w:lang w:eastAsia="ko-KR"/>
              </w:rPr>
            </w:pPr>
            <w:r w:rsidRPr="005C0951">
              <w:rPr>
                <w:b/>
                <w:u w:val="single"/>
                <w:lang w:eastAsia="ko-KR"/>
              </w:rPr>
              <w:t>Issue 3-1-1: General considerations</w:t>
            </w:r>
          </w:p>
          <w:p w14:paraId="481865DF"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6B08FED7"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The study of NTN HPUE Tx requirements generally would have to consider co-existence results, UE implementation feasibility, and existing HPUE requirements.</w:t>
            </w:r>
          </w:p>
          <w:p w14:paraId="53256E59" w14:textId="77777777" w:rsidR="002867D2" w:rsidRPr="005C0951" w:rsidRDefault="002867D2" w:rsidP="002867D2">
            <w:pPr>
              <w:rPr>
                <w:b/>
                <w:u w:val="single"/>
              </w:rPr>
            </w:pPr>
            <w:r w:rsidRPr="005C0951">
              <w:rPr>
                <w:b/>
                <w:u w:val="single"/>
              </w:rPr>
              <w:t>Issue 3-1-2: Consideration of band(s)</w:t>
            </w:r>
          </w:p>
          <w:p w14:paraId="5E072A11" w14:textId="77777777" w:rsidR="002867D2" w:rsidRPr="002867D2" w:rsidRDefault="002867D2" w:rsidP="002867D2">
            <w:pPr>
              <w:pStyle w:val="af6"/>
              <w:numPr>
                <w:ilvl w:val="0"/>
                <w:numId w:val="11"/>
              </w:numPr>
              <w:spacing w:after="120" w:line="240" w:lineRule="auto"/>
              <w:ind w:left="720"/>
              <w:contextualSpacing w:val="0"/>
              <w:rPr>
                <w:rFonts w:eastAsia="宋体"/>
                <w:b/>
                <w:szCs w:val="24"/>
              </w:rPr>
            </w:pPr>
            <w:r w:rsidRPr="002867D2">
              <w:rPr>
                <w:rFonts w:eastAsia="宋体" w:hint="eastAsia"/>
                <w:b/>
                <w:szCs w:val="24"/>
              </w:rPr>
              <w:t>A</w:t>
            </w:r>
            <w:r w:rsidRPr="002867D2">
              <w:rPr>
                <w:rFonts w:eastAsia="宋体"/>
                <w:b/>
                <w:szCs w:val="24"/>
              </w:rPr>
              <w:t>greement:</w:t>
            </w:r>
          </w:p>
          <w:p w14:paraId="53E5B0EE" w14:textId="77777777" w:rsidR="002867D2" w:rsidRPr="002867D2" w:rsidRDefault="002867D2" w:rsidP="002867D2">
            <w:pPr>
              <w:pStyle w:val="af6"/>
              <w:numPr>
                <w:ilvl w:val="1"/>
                <w:numId w:val="11"/>
              </w:numPr>
              <w:spacing w:after="120" w:line="240" w:lineRule="auto"/>
              <w:ind w:left="1440"/>
              <w:contextualSpacing w:val="0"/>
              <w:rPr>
                <w:rFonts w:eastAsia="宋体"/>
                <w:szCs w:val="24"/>
              </w:rPr>
            </w:pPr>
            <w:r w:rsidRPr="002867D2">
              <w:rPr>
                <w:rFonts w:eastAsia="宋体"/>
                <w:szCs w:val="24"/>
              </w:rPr>
              <w:t>Use 2GHz for the co-existence study</w:t>
            </w:r>
          </w:p>
          <w:p w14:paraId="2DC183BD" w14:textId="77777777" w:rsidR="002867D2" w:rsidRPr="002867D2" w:rsidRDefault="002867D2" w:rsidP="002867D2">
            <w:pPr>
              <w:pStyle w:val="af6"/>
              <w:numPr>
                <w:ilvl w:val="1"/>
                <w:numId w:val="11"/>
              </w:numPr>
              <w:spacing w:after="120" w:line="240" w:lineRule="auto"/>
              <w:ind w:left="1440"/>
              <w:contextualSpacing w:val="0"/>
              <w:rPr>
                <w:rFonts w:eastAsia="宋体"/>
                <w:szCs w:val="24"/>
              </w:rPr>
            </w:pPr>
            <w:r w:rsidRPr="002867D2">
              <w:rPr>
                <w:rFonts w:eastAsia="宋体"/>
                <w:szCs w:val="24"/>
              </w:rPr>
              <w:t>WI can be completed when the band specific requirements for one pair of {n256,256}and {n255, 255} are completed in this WI</w:t>
            </w:r>
          </w:p>
          <w:p w14:paraId="73E7A500" w14:textId="77777777" w:rsidR="002867D2" w:rsidRPr="002867D2" w:rsidRDefault="002867D2" w:rsidP="002867D2">
            <w:pPr>
              <w:pStyle w:val="af6"/>
              <w:numPr>
                <w:ilvl w:val="2"/>
                <w:numId w:val="11"/>
              </w:numPr>
              <w:spacing w:after="120" w:line="240" w:lineRule="auto"/>
              <w:contextualSpacing w:val="0"/>
              <w:rPr>
                <w:rFonts w:eastAsia="宋体"/>
                <w:szCs w:val="24"/>
              </w:rPr>
            </w:pPr>
            <w:r w:rsidRPr="002867D2">
              <w:rPr>
                <w:rFonts w:eastAsia="宋体" w:hint="eastAsia"/>
                <w:szCs w:val="24"/>
              </w:rPr>
              <w:t>T</w:t>
            </w:r>
            <w:r w:rsidRPr="002867D2">
              <w:rPr>
                <w:rFonts w:eastAsia="宋体"/>
                <w:szCs w:val="24"/>
              </w:rPr>
              <w:t>he contributions on the other existing Rel-18 FR1-NTN bands for specifying common requirements are allowed.</w:t>
            </w:r>
          </w:p>
          <w:p w14:paraId="18B1EBCF" w14:textId="77777777" w:rsidR="002867D2" w:rsidRPr="002867D2" w:rsidRDefault="002867D2" w:rsidP="002867D2">
            <w:pPr>
              <w:pStyle w:val="af6"/>
              <w:numPr>
                <w:ilvl w:val="1"/>
                <w:numId w:val="11"/>
              </w:numPr>
              <w:spacing w:after="120" w:line="240" w:lineRule="auto"/>
              <w:ind w:left="1440"/>
              <w:contextualSpacing w:val="0"/>
              <w:rPr>
                <w:rFonts w:eastAsia="宋体"/>
                <w:szCs w:val="24"/>
              </w:rPr>
            </w:pPr>
            <w:r w:rsidRPr="002867D2">
              <w:rPr>
                <w:rFonts w:eastAsia="宋体"/>
                <w:szCs w:val="24"/>
              </w:rPr>
              <w:t>Specify the band specific requirements for other potential NTN bands in the separate spectrum WI</w:t>
            </w:r>
          </w:p>
          <w:p w14:paraId="7CB032F2" w14:textId="77777777" w:rsidR="002867D2" w:rsidRPr="005C0951" w:rsidRDefault="002867D2" w:rsidP="002867D2">
            <w:pPr>
              <w:rPr>
                <w:b/>
                <w:u w:val="single"/>
                <w:lang w:eastAsia="ko-KR"/>
              </w:rPr>
            </w:pPr>
            <w:r w:rsidRPr="005C0951">
              <w:rPr>
                <w:b/>
                <w:u w:val="single"/>
                <w:lang w:eastAsia="ko-KR"/>
              </w:rPr>
              <w:t>Issue 3-1-3: Consideration of power classes</w:t>
            </w:r>
          </w:p>
          <w:p w14:paraId="0E9F6A73"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14C36D0F"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All power classes in WID, including Power class 1/1.5/2 for NR-NTN and Power class 1/2 for IoT-NTN, will be further discussed</w:t>
            </w:r>
          </w:p>
          <w:p w14:paraId="283BA387" w14:textId="77777777" w:rsidR="002867D2" w:rsidRPr="005C0951" w:rsidRDefault="002867D2" w:rsidP="002867D2">
            <w:pPr>
              <w:rPr>
                <w:b/>
                <w:u w:val="single"/>
                <w:lang w:eastAsia="ko-KR"/>
              </w:rPr>
            </w:pPr>
            <w:r w:rsidRPr="005C0951">
              <w:rPr>
                <w:b/>
                <w:u w:val="single"/>
                <w:lang w:eastAsia="ko-KR"/>
              </w:rPr>
              <w:t>Issue 3-1-4: Consideration of regulation(s)</w:t>
            </w:r>
          </w:p>
          <w:p w14:paraId="12FD4C09"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1A5AAE84"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Applicable regulations should be taken into account for requirements discussions.</w:t>
            </w:r>
          </w:p>
          <w:p w14:paraId="23E5CF1A"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If any identified corrections to be made for PC3, those should be considered in another work item, it is not in the current scope of this WI.</w:t>
            </w:r>
          </w:p>
          <w:p w14:paraId="4246E76B" w14:textId="77777777" w:rsidR="002867D2" w:rsidRPr="005C0951" w:rsidRDefault="002867D2" w:rsidP="002867D2">
            <w:pPr>
              <w:rPr>
                <w:b/>
                <w:u w:val="single"/>
                <w:lang w:eastAsia="ko-KR"/>
              </w:rPr>
            </w:pPr>
            <w:r w:rsidRPr="005C0951">
              <w:rPr>
                <w:b/>
                <w:u w:val="single"/>
                <w:lang w:eastAsia="ko-KR"/>
              </w:rPr>
              <w:t>Issue 3-1-5: Consideration of HPUE Architecture</w:t>
            </w:r>
          </w:p>
          <w:p w14:paraId="3528DEF2"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7BFDB30A"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For PC2 (NR NTN), 1 Tx and 2 Tx, are to be considered for requirements.</w:t>
            </w:r>
          </w:p>
          <w:p w14:paraId="4ECA91A0"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hint="eastAsia"/>
                <w:szCs w:val="24"/>
              </w:rPr>
              <w:lastRenderedPageBreak/>
              <w:t>F</w:t>
            </w:r>
            <w:r w:rsidRPr="005C0951">
              <w:rPr>
                <w:rFonts w:eastAsia="宋体"/>
                <w:szCs w:val="24"/>
              </w:rPr>
              <w:t xml:space="preserve">or PC2 IoT NTN, at least 1Tx shall be considered </w:t>
            </w:r>
          </w:p>
          <w:p w14:paraId="4C417EDE"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hint="eastAsia"/>
                <w:szCs w:val="24"/>
              </w:rPr>
              <w:t>F</w:t>
            </w:r>
            <w:r w:rsidRPr="005C0951">
              <w:rPr>
                <w:rFonts w:eastAsia="宋体"/>
                <w:szCs w:val="24"/>
              </w:rPr>
              <w:t>or other PCs (both IoT NTN and NR NTN), FFS</w:t>
            </w:r>
          </w:p>
          <w:p w14:paraId="07ACD907" w14:textId="77777777" w:rsidR="002867D2" w:rsidRPr="005C0951" w:rsidRDefault="002867D2" w:rsidP="002867D2">
            <w:pPr>
              <w:rPr>
                <w:b/>
                <w:u w:val="single"/>
                <w:lang w:eastAsia="ko-KR"/>
              </w:rPr>
            </w:pPr>
            <w:r w:rsidRPr="005C0951">
              <w:rPr>
                <w:b/>
                <w:u w:val="single"/>
                <w:lang w:eastAsia="ko-KR"/>
              </w:rPr>
              <w:t>Issue 3-2-1: NR-NTN HPUE feasibility for different power classes</w:t>
            </w:r>
          </w:p>
          <w:p w14:paraId="0D0E94DF" w14:textId="77777777" w:rsidR="002867D2" w:rsidRPr="005C0951" w:rsidRDefault="002867D2" w:rsidP="002867D2">
            <w:pPr>
              <w:rPr>
                <w:b/>
                <w:u w:val="single"/>
                <w:lang w:eastAsia="ko-KR"/>
              </w:rPr>
            </w:pPr>
            <w:r w:rsidRPr="005C0951">
              <w:rPr>
                <w:b/>
                <w:u w:val="single"/>
                <w:lang w:eastAsia="ko-KR"/>
              </w:rPr>
              <w:t>Issue 3-2-2: NB-IoT based IoT-NTN HPUE feasibility for different power classes</w:t>
            </w:r>
          </w:p>
          <w:p w14:paraId="0371F2C0" w14:textId="77777777" w:rsidR="002867D2" w:rsidRPr="005C0951" w:rsidRDefault="002867D2" w:rsidP="002867D2">
            <w:pPr>
              <w:rPr>
                <w:b/>
                <w:u w:val="single"/>
                <w:lang w:eastAsia="ko-KR"/>
              </w:rPr>
            </w:pPr>
            <w:r w:rsidRPr="005C0951">
              <w:rPr>
                <w:b/>
                <w:u w:val="single"/>
                <w:lang w:eastAsia="ko-KR"/>
              </w:rPr>
              <w:t>Issue 3-2-3: eMTC based IoT-NTN HPUE feasibility for different power classes</w:t>
            </w:r>
          </w:p>
          <w:p w14:paraId="457A6B05"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r>
              <w:rPr>
                <w:rFonts w:eastAsia="宋体"/>
                <w:b/>
                <w:szCs w:val="24"/>
              </w:rPr>
              <w:t xml:space="preserve"> of Issue 3-2-1 to Issue 3-2-3</w:t>
            </w:r>
            <w:r w:rsidRPr="005C0951">
              <w:rPr>
                <w:rFonts w:eastAsia="宋体"/>
                <w:b/>
                <w:szCs w:val="24"/>
              </w:rPr>
              <w:t>:</w:t>
            </w:r>
          </w:p>
          <w:p w14:paraId="04686C4C"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hint="eastAsia"/>
                <w:szCs w:val="24"/>
              </w:rPr>
              <w:t>F</w:t>
            </w:r>
            <w:r w:rsidRPr="005C0951">
              <w:rPr>
                <w:rFonts w:eastAsia="宋体"/>
                <w:szCs w:val="24"/>
              </w:rPr>
              <w:t>or PC2, it is feasible to support both handheld and non-handheld devices.</w:t>
            </w:r>
          </w:p>
          <w:p w14:paraId="350F4C0B"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FFS other power classes for applicable device type.</w:t>
            </w:r>
          </w:p>
          <w:p w14:paraId="26E510D3" w14:textId="77777777" w:rsidR="002867D2" w:rsidRPr="005C0951" w:rsidRDefault="002867D2" w:rsidP="002867D2">
            <w:pPr>
              <w:rPr>
                <w:b/>
                <w:u w:val="single"/>
                <w:lang w:eastAsia="ko-KR"/>
              </w:rPr>
            </w:pPr>
            <w:r w:rsidRPr="005C0951">
              <w:rPr>
                <w:b/>
                <w:u w:val="single"/>
                <w:lang w:eastAsia="ko-KR"/>
              </w:rPr>
              <w:t xml:space="preserve">Issue 3-3-1: </w:t>
            </w:r>
            <w:r w:rsidRPr="005C0951">
              <w:rPr>
                <w:rFonts w:hint="eastAsia"/>
                <w:b/>
                <w:u w:val="single"/>
              </w:rPr>
              <w:t>M</w:t>
            </w:r>
            <w:r w:rsidRPr="005C0951">
              <w:rPr>
                <w:b/>
                <w:u w:val="single"/>
              </w:rPr>
              <w:t>aximum output power</w:t>
            </w:r>
          </w:p>
          <w:p w14:paraId="3CC3256D"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257F97F9"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Re-use NR TN TS 38.101-1 nominal MOP and +2/-3 tolerance can be considered as starting point for PC2/1.5/1 for NTN HPUE including NR-NTN and IoT-NTN.</w:t>
            </w:r>
          </w:p>
          <w:p w14:paraId="2AF5E8FA" w14:textId="77777777" w:rsidR="002867D2" w:rsidRPr="005C0951" w:rsidRDefault="002867D2" w:rsidP="002867D2">
            <w:pPr>
              <w:rPr>
                <w:b/>
                <w:u w:val="single"/>
                <w:lang w:eastAsia="ko-KR"/>
              </w:rPr>
            </w:pPr>
            <w:r w:rsidRPr="005C0951">
              <w:rPr>
                <w:b/>
                <w:u w:val="single"/>
                <w:lang w:eastAsia="ko-KR"/>
              </w:rPr>
              <w:t xml:space="preserve">Issue 3-3-2: </w:t>
            </w:r>
            <w:r w:rsidRPr="005C0951">
              <w:rPr>
                <w:b/>
                <w:u w:val="single"/>
              </w:rPr>
              <w:t>MPR</w:t>
            </w:r>
          </w:p>
          <w:p w14:paraId="36F7772B"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hint="eastAsia"/>
                <w:b/>
                <w:szCs w:val="24"/>
              </w:rPr>
              <w:t>A</w:t>
            </w:r>
            <w:r w:rsidRPr="005C0951">
              <w:rPr>
                <w:rFonts w:eastAsia="宋体"/>
                <w:b/>
                <w:szCs w:val="24"/>
              </w:rPr>
              <w:t>greement:</w:t>
            </w:r>
          </w:p>
          <w:p w14:paraId="4EA376E0"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FFS the MPR requirements. Following potential factors to be further discussed:</w:t>
            </w:r>
          </w:p>
          <w:p w14:paraId="70144970"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hint="eastAsia"/>
                <w:szCs w:val="24"/>
              </w:rPr>
              <w:t>A</w:t>
            </w:r>
            <w:r w:rsidRPr="005C0951">
              <w:rPr>
                <w:rFonts w:eastAsia="宋体"/>
                <w:szCs w:val="24"/>
              </w:rPr>
              <w:t>CLR from co-existence study</w:t>
            </w:r>
          </w:p>
          <w:p w14:paraId="55523443"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Current TN MPR requirements</w:t>
            </w:r>
          </w:p>
          <w:p w14:paraId="4DABE1CE"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 xml:space="preserve">MPR simulation assumptions </w:t>
            </w:r>
          </w:p>
          <w:p w14:paraId="56027227" w14:textId="77777777" w:rsidR="002867D2" w:rsidRPr="00314B3C"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Other factors not precluded if identified.</w:t>
            </w:r>
          </w:p>
          <w:p w14:paraId="36E22599" w14:textId="77777777" w:rsidR="002867D2" w:rsidRPr="005C0951" w:rsidRDefault="002867D2" w:rsidP="002867D2">
            <w:pPr>
              <w:rPr>
                <w:b/>
                <w:u w:val="single"/>
                <w:lang w:eastAsia="ko-KR"/>
              </w:rPr>
            </w:pPr>
            <w:r w:rsidRPr="005C0951">
              <w:rPr>
                <w:b/>
                <w:u w:val="single"/>
                <w:lang w:eastAsia="ko-KR"/>
              </w:rPr>
              <w:t xml:space="preserve">Issue 3-3-3: </w:t>
            </w:r>
            <w:r w:rsidRPr="005C0951">
              <w:rPr>
                <w:b/>
                <w:u w:val="single"/>
              </w:rPr>
              <w:t>A-MPR</w:t>
            </w:r>
          </w:p>
          <w:p w14:paraId="1CC939D9"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6EBCF672"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FFS A-MPR requirements. Following potential factors to be further discussed:</w:t>
            </w:r>
          </w:p>
          <w:p w14:paraId="62477197"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hint="eastAsia"/>
                <w:szCs w:val="24"/>
              </w:rPr>
              <w:t>S</w:t>
            </w:r>
            <w:r w:rsidRPr="005C0951">
              <w:rPr>
                <w:rFonts w:eastAsia="宋体"/>
                <w:szCs w:val="24"/>
              </w:rPr>
              <w:t>imulation reduction by not considering large RB allocations, CP-OFDM, higher-order modulations</w:t>
            </w:r>
          </w:p>
          <w:p w14:paraId="69DDA98F"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A-MPR simulation assumption including ACLR from co-existence study</w:t>
            </w:r>
          </w:p>
          <w:p w14:paraId="77BECEE1"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Applicable bands</w:t>
            </w:r>
          </w:p>
          <w:p w14:paraId="6E137835" w14:textId="77777777" w:rsidR="002867D2" w:rsidRPr="005C0951"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hint="eastAsia"/>
                <w:szCs w:val="24"/>
              </w:rPr>
              <w:t>R</w:t>
            </w:r>
            <w:r w:rsidRPr="005C0951">
              <w:rPr>
                <w:rFonts w:eastAsia="宋体"/>
                <w:szCs w:val="24"/>
              </w:rPr>
              <w:t>egional requirements for A-MPR</w:t>
            </w:r>
          </w:p>
          <w:p w14:paraId="7BF78DCC" w14:textId="77777777" w:rsidR="002867D2" w:rsidRPr="00314B3C" w:rsidRDefault="002867D2" w:rsidP="002867D2">
            <w:pPr>
              <w:pStyle w:val="af6"/>
              <w:numPr>
                <w:ilvl w:val="2"/>
                <w:numId w:val="11"/>
              </w:numPr>
              <w:spacing w:after="120" w:line="240" w:lineRule="auto"/>
              <w:ind w:left="2376"/>
              <w:contextualSpacing w:val="0"/>
              <w:rPr>
                <w:rFonts w:eastAsia="宋体"/>
                <w:szCs w:val="24"/>
              </w:rPr>
            </w:pPr>
            <w:r w:rsidRPr="005C0951">
              <w:rPr>
                <w:rFonts w:eastAsia="宋体"/>
                <w:szCs w:val="24"/>
              </w:rPr>
              <w:t>Other factors</w:t>
            </w:r>
          </w:p>
          <w:p w14:paraId="6307D7BF" w14:textId="77777777" w:rsidR="002867D2" w:rsidRPr="005C0951" w:rsidRDefault="002867D2" w:rsidP="002867D2">
            <w:pPr>
              <w:rPr>
                <w:b/>
                <w:u w:val="single"/>
              </w:rPr>
            </w:pPr>
            <w:r w:rsidRPr="005C0951">
              <w:rPr>
                <w:b/>
                <w:u w:val="single"/>
              </w:rPr>
              <w:t>Issue 3-3-4: SAR for handheld</w:t>
            </w:r>
          </w:p>
          <w:p w14:paraId="3EECB857" w14:textId="77777777" w:rsidR="002867D2" w:rsidRPr="005C0951" w:rsidRDefault="002867D2" w:rsidP="002867D2">
            <w:pPr>
              <w:rPr>
                <w:b/>
                <w:bCs/>
                <w:iCs/>
              </w:rPr>
            </w:pPr>
            <w:r w:rsidRPr="005C0951">
              <w:rPr>
                <w:b/>
                <w:bCs/>
                <w:iCs/>
              </w:rPr>
              <w:t xml:space="preserve">Agreement: </w:t>
            </w:r>
          </w:p>
          <w:p w14:paraId="1A68C869" w14:textId="77777777" w:rsidR="002867D2" w:rsidRPr="005C0951" w:rsidRDefault="002867D2" w:rsidP="002867D2">
            <w:pPr>
              <w:pStyle w:val="af6"/>
              <w:numPr>
                <w:ilvl w:val="0"/>
                <w:numId w:val="35"/>
              </w:numPr>
              <w:overflowPunct w:val="0"/>
              <w:autoSpaceDE w:val="0"/>
              <w:autoSpaceDN w:val="0"/>
              <w:adjustRightInd w:val="0"/>
              <w:spacing w:after="180" w:line="240" w:lineRule="auto"/>
              <w:contextualSpacing w:val="0"/>
              <w:textAlignment w:val="baseline"/>
            </w:pPr>
            <w:r w:rsidRPr="005C0951">
              <w:t xml:space="preserve">Using P-MPR as the starting point </w:t>
            </w:r>
          </w:p>
          <w:p w14:paraId="40DD1FB6" w14:textId="77777777" w:rsidR="002867D2" w:rsidRPr="005C0951" w:rsidRDefault="002867D2" w:rsidP="002867D2">
            <w:pPr>
              <w:pStyle w:val="af6"/>
              <w:numPr>
                <w:ilvl w:val="0"/>
                <w:numId w:val="35"/>
              </w:numPr>
              <w:overflowPunct w:val="0"/>
              <w:autoSpaceDE w:val="0"/>
              <w:autoSpaceDN w:val="0"/>
              <w:adjustRightInd w:val="0"/>
              <w:spacing w:after="180" w:line="240" w:lineRule="auto"/>
              <w:contextualSpacing w:val="0"/>
              <w:textAlignment w:val="baseline"/>
            </w:pPr>
            <w:r w:rsidRPr="005C0951">
              <w:t>The other solutions are not precluded</w:t>
            </w:r>
          </w:p>
          <w:p w14:paraId="7E167277" w14:textId="77777777" w:rsidR="002867D2" w:rsidRPr="00314B3C" w:rsidRDefault="002867D2" w:rsidP="002867D2">
            <w:pPr>
              <w:pStyle w:val="af6"/>
              <w:numPr>
                <w:ilvl w:val="1"/>
                <w:numId w:val="35"/>
              </w:numPr>
              <w:overflowPunct w:val="0"/>
              <w:autoSpaceDE w:val="0"/>
              <w:autoSpaceDN w:val="0"/>
              <w:adjustRightInd w:val="0"/>
              <w:spacing w:after="180" w:line="240" w:lineRule="auto"/>
              <w:contextualSpacing w:val="0"/>
              <w:textAlignment w:val="baseline"/>
            </w:pPr>
            <w:r w:rsidRPr="005C0951">
              <w:t>E.g., the solution similar to TN duty cycle based on UE capability and network scheduling</w:t>
            </w:r>
          </w:p>
          <w:p w14:paraId="3E3227E8" w14:textId="77777777" w:rsidR="002867D2" w:rsidRPr="005C0951" w:rsidRDefault="002867D2" w:rsidP="002867D2">
            <w:pPr>
              <w:rPr>
                <w:b/>
                <w:u w:val="single"/>
                <w:lang w:eastAsia="ko-KR"/>
              </w:rPr>
            </w:pPr>
            <w:r w:rsidRPr="005C0951">
              <w:rPr>
                <w:b/>
                <w:u w:val="single"/>
                <w:lang w:eastAsia="ko-KR"/>
              </w:rPr>
              <w:t xml:space="preserve">Issue 3-3-5: </w:t>
            </w:r>
            <w:r w:rsidRPr="005C0951">
              <w:rPr>
                <w:b/>
                <w:u w:val="single"/>
              </w:rPr>
              <w:t>SEM</w:t>
            </w:r>
          </w:p>
          <w:p w14:paraId="2531BFAE"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00934C3C" w14:textId="77777777" w:rsidR="002867D2" w:rsidRPr="005C0951"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hint="eastAsia"/>
                <w:szCs w:val="24"/>
              </w:rPr>
              <w:lastRenderedPageBreak/>
              <w:t>F</w:t>
            </w:r>
            <w:r w:rsidRPr="005C0951">
              <w:rPr>
                <w:rFonts w:eastAsia="宋体"/>
                <w:szCs w:val="24"/>
              </w:rPr>
              <w:t>or NR-NTN: further discuss whether to reuse existing SEM requirements from PC3 to other PCs</w:t>
            </w:r>
          </w:p>
          <w:p w14:paraId="2DE03AFE" w14:textId="77777777" w:rsidR="002867D2" w:rsidRPr="00314B3C"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For IoT-NTN: further discuss whether to reuse existing SEM requirements from PC3 to other PCs</w:t>
            </w:r>
          </w:p>
          <w:p w14:paraId="0E43E7A9" w14:textId="77777777" w:rsidR="002867D2" w:rsidRPr="005C0951" w:rsidRDefault="002867D2" w:rsidP="002867D2">
            <w:pPr>
              <w:rPr>
                <w:b/>
                <w:u w:val="single"/>
                <w:lang w:eastAsia="ko-KR"/>
              </w:rPr>
            </w:pPr>
            <w:r w:rsidRPr="005C0951">
              <w:rPr>
                <w:b/>
                <w:u w:val="single"/>
                <w:lang w:eastAsia="ko-KR"/>
              </w:rPr>
              <w:t xml:space="preserve">Issue 3-3-6: </w:t>
            </w:r>
            <w:r w:rsidRPr="005C0951">
              <w:rPr>
                <w:b/>
                <w:u w:val="single"/>
              </w:rPr>
              <w:t>ACLR</w:t>
            </w:r>
          </w:p>
          <w:p w14:paraId="5E1B0503" w14:textId="77777777" w:rsidR="002867D2" w:rsidRPr="005C0951" w:rsidRDefault="002867D2" w:rsidP="002867D2">
            <w:pPr>
              <w:pStyle w:val="af6"/>
              <w:numPr>
                <w:ilvl w:val="0"/>
                <w:numId w:val="11"/>
              </w:numPr>
              <w:spacing w:after="120" w:line="240" w:lineRule="auto"/>
              <w:ind w:left="720"/>
              <w:contextualSpacing w:val="0"/>
              <w:rPr>
                <w:rFonts w:eastAsia="宋体"/>
                <w:b/>
                <w:szCs w:val="24"/>
              </w:rPr>
            </w:pPr>
            <w:r w:rsidRPr="005C0951">
              <w:rPr>
                <w:rFonts w:eastAsia="宋体"/>
                <w:b/>
                <w:szCs w:val="24"/>
              </w:rPr>
              <w:t>Agreement:</w:t>
            </w:r>
          </w:p>
          <w:p w14:paraId="7CB3AAD0" w14:textId="0A9AC9C7" w:rsidR="00080AF9" w:rsidRPr="002867D2" w:rsidRDefault="002867D2" w:rsidP="002867D2">
            <w:pPr>
              <w:pStyle w:val="af6"/>
              <w:numPr>
                <w:ilvl w:val="1"/>
                <w:numId w:val="11"/>
              </w:numPr>
              <w:spacing w:after="120" w:line="240" w:lineRule="auto"/>
              <w:ind w:left="1440"/>
              <w:contextualSpacing w:val="0"/>
              <w:rPr>
                <w:rFonts w:eastAsia="宋体"/>
                <w:szCs w:val="24"/>
              </w:rPr>
            </w:pPr>
            <w:r w:rsidRPr="005C0951">
              <w:rPr>
                <w:rFonts w:eastAsia="宋体"/>
                <w:szCs w:val="24"/>
              </w:rPr>
              <w:t>The ACLR requirements will depend on co-existence study outcomes.</w:t>
            </w:r>
          </w:p>
        </w:tc>
      </w:tr>
    </w:tbl>
    <w:p w14:paraId="0FD6F967" w14:textId="77777777" w:rsidR="00257D9D" w:rsidRPr="004E1FBA" w:rsidRDefault="00257D9D" w:rsidP="00597583">
      <w:pPr>
        <w:spacing w:after="0"/>
        <w:rPr>
          <w:rFonts w:eastAsiaTheme="minorEastAsia"/>
          <w:lang w:eastAsia="zh-CN"/>
        </w:rPr>
      </w:pPr>
    </w:p>
    <w:p w14:paraId="743B2B58" w14:textId="2411B45F" w:rsidR="003B63B9" w:rsidRDefault="004D0C38" w:rsidP="00597583">
      <w:pPr>
        <w:spacing w:after="0"/>
        <w:rPr>
          <w:rFonts w:eastAsiaTheme="minorEastAsia"/>
          <w:lang w:eastAsia="zh-CN"/>
        </w:rPr>
      </w:pPr>
      <w:r>
        <w:rPr>
          <w:rFonts w:eastAsiaTheme="minorEastAsia" w:hint="eastAsia"/>
          <w:lang w:eastAsia="zh-CN"/>
        </w:rPr>
        <w:t>T</w:t>
      </w:r>
      <w:r>
        <w:rPr>
          <w:rFonts w:eastAsiaTheme="minorEastAsia"/>
          <w:lang w:eastAsia="zh-CN"/>
        </w:rPr>
        <w:t xml:space="preserve">his contribution further discussed the </w:t>
      </w:r>
      <w:r w:rsidR="00145F56">
        <w:rPr>
          <w:rFonts w:eastAsiaTheme="minorEastAsia"/>
          <w:lang w:eastAsia="zh-CN"/>
        </w:rPr>
        <w:t xml:space="preserve">UE </w:t>
      </w:r>
      <w:r w:rsidR="000D7F4E">
        <w:rPr>
          <w:rFonts w:eastAsiaTheme="minorEastAsia"/>
          <w:lang w:eastAsia="zh-CN"/>
        </w:rPr>
        <w:t xml:space="preserve">Tx </w:t>
      </w:r>
      <w:bookmarkStart w:id="4" w:name="_Hlk178591433"/>
      <w:r w:rsidR="00145F56">
        <w:rPr>
          <w:rFonts w:eastAsiaTheme="minorEastAsia"/>
          <w:lang w:eastAsia="zh-CN"/>
        </w:rPr>
        <w:t xml:space="preserve">RF requirements </w:t>
      </w:r>
      <w:proofErr w:type="gramStart"/>
      <w:r w:rsidR="00145F56">
        <w:rPr>
          <w:rFonts w:eastAsiaTheme="minorEastAsia"/>
          <w:lang w:eastAsia="zh-CN"/>
        </w:rPr>
        <w:t xml:space="preserve">for </w:t>
      </w:r>
      <w:r w:rsidR="000D7F4E">
        <w:rPr>
          <w:rFonts w:eastAsiaTheme="minorEastAsia"/>
          <w:lang w:eastAsia="zh-CN"/>
        </w:rPr>
        <w:t xml:space="preserve"> NR</w:t>
      </w:r>
      <w:proofErr w:type="gramEnd"/>
      <w:r w:rsidR="000D7F4E">
        <w:rPr>
          <w:rFonts w:eastAsiaTheme="minorEastAsia"/>
          <w:lang w:eastAsia="zh-CN"/>
        </w:rPr>
        <w:t xml:space="preserve"> </w:t>
      </w:r>
      <w:r w:rsidR="00145F56">
        <w:rPr>
          <w:rFonts w:eastAsiaTheme="minorEastAsia"/>
          <w:lang w:eastAsia="zh-CN"/>
        </w:rPr>
        <w:t>NTN</w:t>
      </w:r>
      <w:r w:rsidR="000D7F4E">
        <w:rPr>
          <w:rFonts w:eastAsiaTheme="minorEastAsia"/>
          <w:lang w:eastAsia="zh-CN"/>
        </w:rPr>
        <w:t xml:space="preserve"> HPUE.</w:t>
      </w:r>
      <w:bookmarkEnd w:id="4"/>
    </w:p>
    <w:p w14:paraId="0F93E8BE" w14:textId="6CF6CCB3" w:rsidR="00D50C15" w:rsidRDefault="00D50C15" w:rsidP="00D50C15">
      <w:pPr>
        <w:pStyle w:val="1"/>
        <w:numPr>
          <w:ilvl w:val="0"/>
          <w:numId w:val="3"/>
        </w:numPr>
      </w:pPr>
      <w:r>
        <w:t>Discussion</w:t>
      </w:r>
    </w:p>
    <w:p w14:paraId="124EE352" w14:textId="77777777" w:rsidR="008B5857" w:rsidRPr="008B5857" w:rsidRDefault="008B5857" w:rsidP="008B5857">
      <w:pPr>
        <w:pStyle w:val="af6"/>
        <w:widowControl w:val="0"/>
        <w:spacing w:beforeLines="50" w:before="120" w:afterLines="50" w:after="120"/>
        <w:ind w:left="0"/>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 xml:space="preserve">In the R-19, the purpose of NTN HPUE is to introduce PC1, PC1.5 </w:t>
      </w:r>
      <w:r w:rsidRPr="008B5857">
        <w:rPr>
          <w:rFonts w:ascii="Times New Roman" w:eastAsiaTheme="minorEastAsia" w:hAnsi="Times New Roman" w:hint="eastAsia"/>
          <w:sz w:val="20"/>
          <w:szCs w:val="24"/>
          <w:lang w:val="en-GB" w:eastAsia="zh-CN"/>
        </w:rPr>
        <w:t>and</w:t>
      </w:r>
      <w:r w:rsidRPr="008B5857">
        <w:rPr>
          <w:rFonts w:ascii="Times New Roman" w:eastAsiaTheme="minorEastAsia" w:hAnsi="Times New Roman"/>
          <w:sz w:val="20"/>
          <w:szCs w:val="24"/>
          <w:lang w:val="en-GB" w:eastAsia="zh-CN"/>
        </w:rPr>
        <w:t xml:space="preserve"> PC2 for NTN bands and</w:t>
      </w:r>
    </w:p>
    <w:p w14:paraId="77737C94" w14:textId="77777777" w:rsidR="008B5857" w:rsidRPr="008B5857" w:rsidRDefault="008B5857" w:rsidP="008B5857">
      <w:pPr>
        <w:pStyle w:val="af6"/>
        <w:widowControl w:val="0"/>
        <w:numPr>
          <w:ilvl w:val="0"/>
          <w:numId w:val="36"/>
        </w:numPr>
        <w:spacing w:after="180" w:line="240" w:lineRule="auto"/>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PC2 will apply to both handheld and non-handheld UE</w:t>
      </w:r>
    </w:p>
    <w:p w14:paraId="247F3806" w14:textId="77777777" w:rsidR="008B5857" w:rsidRPr="008B5857" w:rsidRDefault="008B5857" w:rsidP="008B5857">
      <w:pPr>
        <w:pStyle w:val="af6"/>
        <w:widowControl w:val="0"/>
        <w:numPr>
          <w:ilvl w:val="0"/>
          <w:numId w:val="36"/>
        </w:numPr>
        <w:spacing w:after="180" w:line="240" w:lineRule="auto"/>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PC1 and PC1.5 are prioritized for non-handheld UE</w:t>
      </w:r>
    </w:p>
    <w:p w14:paraId="75A0481A" w14:textId="351FE625" w:rsidR="00A72A16" w:rsidRDefault="00145F56" w:rsidP="00A72A16">
      <w:pPr>
        <w:pStyle w:val="af6"/>
        <w:widowControl w:val="0"/>
        <w:spacing w:beforeLines="50" w:before="120" w:afterLines="50" w:after="120"/>
        <w:ind w:left="0"/>
        <w:contextualSpacing w:val="0"/>
        <w:jc w:val="both"/>
        <w:rPr>
          <w:rFonts w:ascii="Times New Roman" w:eastAsiaTheme="minorEastAsia" w:hAnsi="Times New Roman"/>
          <w:sz w:val="20"/>
          <w:szCs w:val="24"/>
          <w:lang w:val="en-GB" w:eastAsia="zh-CN"/>
        </w:rPr>
      </w:pPr>
      <w:r w:rsidRPr="00A72A16">
        <w:rPr>
          <w:rFonts w:ascii="Times New Roman" w:eastAsiaTheme="minorEastAsia" w:hAnsi="Times New Roman"/>
          <w:sz w:val="20"/>
          <w:szCs w:val="24"/>
          <w:lang w:val="en-GB" w:eastAsia="zh-CN"/>
        </w:rPr>
        <w:t xml:space="preserve">In </w:t>
      </w:r>
      <w:r w:rsidR="008B5857" w:rsidRPr="00A72A16">
        <w:rPr>
          <w:rFonts w:ascii="Times New Roman" w:eastAsiaTheme="minorEastAsia" w:hAnsi="Times New Roman"/>
          <w:sz w:val="20"/>
          <w:szCs w:val="24"/>
          <w:lang w:val="en-GB" w:eastAsia="zh-CN"/>
        </w:rPr>
        <w:t>last</w:t>
      </w:r>
      <w:r w:rsidRPr="00A72A16">
        <w:rPr>
          <w:rFonts w:ascii="Times New Roman" w:eastAsiaTheme="minorEastAsia" w:hAnsi="Times New Roman"/>
          <w:sz w:val="20"/>
          <w:szCs w:val="24"/>
          <w:lang w:val="en-GB" w:eastAsia="zh-CN"/>
        </w:rPr>
        <w:t xml:space="preserve"> meeting, </w:t>
      </w:r>
      <w:r w:rsidR="00F35B01" w:rsidRPr="00A72A16">
        <w:rPr>
          <w:rFonts w:ascii="Times New Roman" w:eastAsiaTheme="minorEastAsia" w:hAnsi="Times New Roman"/>
          <w:sz w:val="20"/>
          <w:szCs w:val="24"/>
          <w:lang w:val="en-GB" w:eastAsia="zh-CN"/>
        </w:rPr>
        <w:t xml:space="preserve">the architecture of NTN HPUE was discussed, and </w:t>
      </w:r>
      <w:r w:rsidRPr="00A72A16">
        <w:rPr>
          <w:rFonts w:ascii="Times New Roman" w:eastAsiaTheme="minorEastAsia" w:hAnsi="Times New Roman"/>
          <w:sz w:val="20"/>
          <w:szCs w:val="24"/>
          <w:lang w:val="en-GB" w:eastAsia="zh-CN"/>
        </w:rPr>
        <w:t>it agreed</w:t>
      </w:r>
      <w:r w:rsidR="00A72A16" w:rsidRPr="00A72A16">
        <w:rPr>
          <w:rFonts w:ascii="Times New Roman" w:eastAsiaTheme="minorEastAsia" w:hAnsi="Times New Roman"/>
          <w:sz w:val="20"/>
          <w:szCs w:val="24"/>
          <w:lang w:val="en-GB" w:eastAsia="zh-CN"/>
        </w:rPr>
        <w:t xml:space="preserve"> For PC2 (NR NTN), 1 Tx and 2 Tx</w:t>
      </w:r>
      <w:r w:rsidR="00A72A16">
        <w:rPr>
          <w:rFonts w:ascii="Times New Roman" w:eastAsiaTheme="minorEastAsia" w:hAnsi="Times New Roman"/>
          <w:sz w:val="20"/>
          <w:szCs w:val="24"/>
          <w:lang w:val="en-GB" w:eastAsia="zh-CN"/>
        </w:rPr>
        <w:t xml:space="preserve"> for PC2 NR NTN UE</w:t>
      </w:r>
      <w:r w:rsidR="00A72A16" w:rsidRPr="00A72A16">
        <w:rPr>
          <w:rFonts w:ascii="Times New Roman" w:eastAsiaTheme="minorEastAsia" w:hAnsi="Times New Roman"/>
          <w:sz w:val="20"/>
          <w:szCs w:val="24"/>
          <w:lang w:val="en-GB" w:eastAsia="zh-CN"/>
        </w:rPr>
        <w:t xml:space="preserve"> are to be considered for requirements</w:t>
      </w:r>
      <w:r w:rsidR="00A72A16">
        <w:rPr>
          <w:rFonts w:ascii="Times New Roman" w:eastAsiaTheme="minorEastAsia" w:hAnsi="Times New Roman"/>
          <w:sz w:val="20"/>
          <w:szCs w:val="24"/>
          <w:lang w:val="en-GB" w:eastAsia="zh-CN"/>
        </w:rPr>
        <w:t xml:space="preserve"> and </w:t>
      </w:r>
      <w:r w:rsidR="00A72A16" w:rsidRPr="00A72A16">
        <w:rPr>
          <w:rFonts w:ascii="Times New Roman" w:eastAsiaTheme="minorEastAsia" w:hAnsi="Times New Roman"/>
          <w:sz w:val="20"/>
          <w:szCs w:val="24"/>
          <w:lang w:val="en-GB" w:eastAsia="zh-CN"/>
        </w:rPr>
        <w:t>the architecture</w:t>
      </w:r>
      <w:r w:rsidR="00A72A16">
        <w:rPr>
          <w:rFonts w:ascii="Times New Roman" w:eastAsiaTheme="minorEastAsia" w:hAnsi="Times New Roman"/>
          <w:sz w:val="20"/>
          <w:szCs w:val="24"/>
          <w:lang w:val="en-GB" w:eastAsia="zh-CN"/>
        </w:rPr>
        <w:t xml:space="preserve"> for other power class need further study.</w:t>
      </w:r>
    </w:p>
    <w:p w14:paraId="2CAC34A9" w14:textId="49EC2692" w:rsidR="00A72A16" w:rsidRDefault="00A72A16" w:rsidP="00A72A16">
      <w:pPr>
        <w:rPr>
          <w:rFonts w:eastAsia="宋体"/>
          <w:lang w:eastAsia="zh-CN"/>
        </w:rPr>
      </w:pPr>
      <w:r>
        <w:rPr>
          <w:rFonts w:eastAsia="宋体" w:hint="eastAsia"/>
          <w:lang w:eastAsia="zh-CN"/>
        </w:rPr>
        <w:t xml:space="preserve">PC1.5 </w:t>
      </w:r>
      <w:r>
        <w:rPr>
          <w:rFonts w:eastAsia="宋体"/>
          <w:lang w:eastAsia="zh-CN"/>
        </w:rPr>
        <w:t>for TN was introduced only for TDD currently and the typical architecture is 2Tx</w:t>
      </w:r>
      <w:r w:rsidR="000E3F3B">
        <w:rPr>
          <w:rFonts w:eastAsia="宋体"/>
          <w:lang w:eastAsia="zh-CN"/>
        </w:rPr>
        <w:t xml:space="preserve"> and 4Tx also was introduced</w:t>
      </w:r>
      <w:r>
        <w:rPr>
          <w:rFonts w:eastAsia="宋体"/>
          <w:lang w:eastAsia="zh-CN"/>
        </w:rPr>
        <w:t xml:space="preserve">. </w:t>
      </w:r>
      <w:r>
        <w:rPr>
          <w:rFonts w:eastAsia="宋体" w:hint="eastAsia"/>
          <w:lang w:eastAsia="zh-CN"/>
        </w:rPr>
        <w:t xml:space="preserve">For </w:t>
      </w:r>
      <w:r>
        <w:rPr>
          <w:rFonts w:eastAsia="宋体"/>
          <w:lang w:eastAsia="zh-CN"/>
        </w:rPr>
        <w:t xml:space="preserve">TN </w:t>
      </w:r>
      <w:r>
        <w:rPr>
          <w:rFonts w:eastAsia="宋体" w:hint="eastAsia"/>
          <w:lang w:eastAsia="zh-CN"/>
        </w:rPr>
        <w:t xml:space="preserve">FDD, </w:t>
      </w:r>
      <w:r>
        <w:rPr>
          <w:rFonts w:eastAsia="宋体"/>
          <w:lang w:eastAsia="zh-CN"/>
        </w:rPr>
        <w:t>currently</w:t>
      </w:r>
      <w:r>
        <w:rPr>
          <w:rFonts w:eastAsia="宋体" w:hint="eastAsia"/>
          <w:lang w:eastAsia="zh-CN"/>
        </w:rPr>
        <w:t xml:space="preserve"> there is still no PC1.5 definition</w:t>
      </w:r>
      <w:r w:rsidR="008E21AC">
        <w:rPr>
          <w:rFonts w:eastAsia="宋体"/>
          <w:lang w:eastAsia="zh-CN"/>
        </w:rPr>
        <w:t xml:space="preserve"> due </w:t>
      </w:r>
      <w:r>
        <w:rPr>
          <w:rFonts w:eastAsia="宋体" w:hint="eastAsia"/>
          <w:lang w:eastAsia="zh-CN"/>
        </w:rPr>
        <w:t xml:space="preserve">the high power 26dBm </w:t>
      </w:r>
      <w:r>
        <w:rPr>
          <w:rFonts w:eastAsia="宋体"/>
          <w:lang w:eastAsia="zh-CN"/>
        </w:rPr>
        <w:t>PA</w:t>
      </w:r>
      <w:r>
        <w:rPr>
          <w:rFonts w:eastAsia="宋体" w:hint="eastAsia"/>
          <w:lang w:eastAsia="zh-CN"/>
        </w:rPr>
        <w:t>.</w:t>
      </w:r>
      <w:r>
        <w:rPr>
          <w:rFonts w:eastAsia="宋体"/>
          <w:lang w:eastAsia="zh-CN"/>
        </w:rPr>
        <w:t xml:space="preserve"> </w:t>
      </w:r>
      <w:r>
        <w:rPr>
          <w:rFonts w:eastAsia="宋体" w:hint="eastAsia"/>
          <w:lang w:eastAsia="zh-CN"/>
        </w:rPr>
        <w:t>F</w:t>
      </w:r>
      <w:r w:rsidRPr="00A72A16">
        <w:rPr>
          <w:rFonts w:eastAsia="宋体"/>
          <w:lang w:eastAsia="zh-CN"/>
        </w:rPr>
        <w:t>ortunately</w:t>
      </w:r>
      <w:r>
        <w:rPr>
          <w:rFonts w:eastAsia="宋体"/>
          <w:lang w:eastAsia="zh-CN"/>
        </w:rPr>
        <w:t xml:space="preserve">, PC2 </w:t>
      </w:r>
      <w:r w:rsidR="000E3F3B">
        <w:rPr>
          <w:rFonts w:eastAsia="宋体"/>
          <w:lang w:eastAsia="zh-CN"/>
        </w:rPr>
        <w:t>can be implemented by 1Tx for TN FDD band, and RAN4 also agree consider 1Tx for NTN PC2 UE. Therefore, we can use 2Tx for PC1.5 NTN UE as the starting point. Considering the implementation complexity of UE, 3Tx has been introduced for CA</w:t>
      </w:r>
      <w:r w:rsidR="00E93E89">
        <w:rPr>
          <w:rFonts w:eastAsia="宋体"/>
          <w:lang w:eastAsia="zh-CN"/>
        </w:rPr>
        <w:t>,</w:t>
      </w:r>
      <w:r w:rsidR="000E3F3B">
        <w:rPr>
          <w:rFonts w:eastAsia="宋体"/>
          <w:lang w:eastAsia="zh-CN"/>
        </w:rPr>
        <w:t xml:space="preserve"> and </w:t>
      </w:r>
      <w:r w:rsidR="00E93E89">
        <w:rPr>
          <w:rFonts w:eastAsia="宋体"/>
          <w:lang w:eastAsia="zh-CN"/>
        </w:rPr>
        <w:t xml:space="preserve">it </w:t>
      </w:r>
      <w:r w:rsidR="000E3F3B">
        <w:rPr>
          <w:rFonts w:eastAsia="宋体"/>
          <w:lang w:eastAsia="zh-CN"/>
        </w:rPr>
        <w:t xml:space="preserve">is </w:t>
      </w:r>
      <w:r w:rsidR="00E93E89">
        <w:rPr>
          <w:rFonts w:eastAsia="宋体"/>
          <w:lang w:eastAsia="zh-CN"/>
        </w:rPr>
        <w:t xml:space="preserve">discussing for single carrier for TN PC3 and PC2 in related MIMO WID. 3Tx can apply to NTN UE to </w:t>
      </w:r>
      <w:bookmarkStart w:id="5" w:name="OLE_LINK2"/>
      <w:r w:rsidR="00E93E89">
        <w:rPr>
          <w:rFonts w:eastAsia="宋体"/>
          <w:lang w:eastAsia="zh-CN"/>
        </w:rPr>
        <w:t>reduce the implementation complexity</w:t>
      </w:r>
      <w:bookmarkEnd w:id="5"/>
      <w:r w:rsidR="00E93E89">
        <w:rPr>
          <w:rFonts w:eastAsia="宋体"/>
          <w:lang w:eastAsia="zh-CN"/>
        </w:rPr>
        <w:t xml:space="preserve"> compared to the 4Tx.</w:t>
      </w:r>
    </w:p>
    <w:p w14:paraId="22F17F45" w14:textId="20E28092" w:rsidR="00E93E89" w:rsidRPr="00E93E89" w:rsidRDefault="00E93E89" w:rsidP="00A72A16">
      <w:pPr>
        <w:rPr>
          <w:rFonts w:eastAsiaTheme="minorEastAsia"/>
          <w:b/>
          <w:bCs/>
          <w:szCs w:val="24"/>
          <w:lang w:eastAsia="zh-CN"/>
        </w:rPr>
      </w:pPr>
      <w:r w:rsidRPr="00E93E89">
        <w:rPr>
          <w:rFonts w:eastAsia="宋体"/>
          <w:b/>
          <w:bCs/>
          <w:lang w:eastAsia="zh-CN"/>
        </w:rPr>
        <w:t xml:space="preserve">Proposal 1: </w:t>
      </w:r>
      <w:r w:rsidRPr="00E93E89">
        <w:rPr>
          <w:rFonts w:eastAsiaTheme="minorEastAsia"/>
          <w:b/>
          <w:bCs/>
          <w:szCs w:val="24"/>
          <w:lang w:eastAsia="zh-CN"/>
        </w:rPr>
        <w:t>2Tx and 3 Tx for PC1.5 NR NTN UE can be considered for</w:t>
      </w:r>
      <w:r w:rsidR="001834ED">
        <w:rPr>
          <w:rFonts w:eastAsiaTheme="minorEastAsia"/>
          <w:b/>
          <w:bCs/>
          <w:szCs w:val="24"/>
          <w:lang w:eastAsia="zh-CN"/>
        </w:rPr>
        <w:t xml:space="preserve"> requirements </w:t>
      </w:r>
      <w:r w:rsidRPr="00E93E89">
        <w:rPr>
          <w:rFonts w:eastAsiaTheme="minorEastAsia"/>
          <w:b/>
          <w:bCs/>
          <w:szCs w:val="24"/>
          <w:lang w:eastAsia="zh-CN"/>
        </w:rPr>
        <w:t>as the starting point.</w:t>
      </w:r>
    </w:p>
    <w:p w14:paraId="189042E2" w14:textId="494C5ECE" w:rsidR="00E93E89" w:rsidRDefault="00E93E89" w:rsidP="00A72A16">
      <w:pPr>
        <w:rPr>
          <w:rFonts w:eastAsia="宋体"/>
          <w:lang w:eastAsia="zh-CN"/>
        </w:rPr>
      </w:pPr>
      <w:r>
        <w:rPr>
          <w:rFonts w:eastAsia="宋体"/>
          <w:lang w:eastAsia="zh-CN"/>
        </w:rPr>
        <w:t>About PC1, it applied to</w:t>
      </w:r>
      <w:r w:rsidR="008E21AC">
        <w:rPr>
          <w:rFonts w:eastAsia="宋体" w:hint="eastAsia"/>
          <w:lang w:eastAsia="zh-CN"/>
        </w:rPr>
        <w:t xml:space="preserve"> non-handheld </w:t>
      </w:r>
      <w:r w:rsidR="008E21AC">
        <w:rPr>
          <w:rFonts w:eastAsia="宋体"/>
          <w:lang w:eastAsia="zh-CN"/>
        </w:rPr>
        <w:t xml:space="preserve">UE </w:t>
      </w:r>
      <w:r w:rsidR="008E21AC">
        <w:rPr>
          <w:rFonts w:eastAsia="宋体" w:hint="eastAsia"/>
          <w:lang w:eastAsia="zh-CN"/>
        </w:rPr>
        <w:t>only</w:t>
      </w:r>
      <w:r w:rsidR="008E21AC">
        <w:rPr>
          <w:rFonts w:eastAsia="宋体"/>
          <w:lang w:eastAsia="zh-CN"/>
        </w:rPr>
        <w:t>, the main limitation is still because of the higher power 26dBm PA</w:t>
      </w:r>
      <w:r w:rsidR="008E21AC">
        <w:rPr>
          <w:rFonts w:eastAsia="宋体" w:hint="eastAsia"/>
          <w:lang w:eastAsia="zh-CN"/>
        </w:rPr>
        <w:t xml:space="preserve">. </w:t>
      </w:r>
      <w:r w:rsidR="008E21AC">
        <w:rPr>
          <w:rFonts w:eastAsia="宋体"/>
          <w:lang w:eastAsia="zh-CN"/>
        </w:rPr>
        <w:t>to reduce the implementation complexity</w:t>
      </w:r>
      <w:r w:rsidR="008E21AC">
        <w:rPr>
          <w:rFonts w:eastAsia="宋体" w:hint="eastAsia"/>
          <w:lang w:eastAsia="zh-CN"/>
        </w:rPr>
        <w:t xml:space="preserve"> </w:t>
      </w:r>
      <w:r w:rsidR="008E21AC">
        <w:rPr>
          <w:rFonts w:eastAsia="宋体"/>
          <w:lang w:eastAsia="zh-CN"/>
        </w:rPr>
        <w:t>and make PC1 can be widely used in TN and NTN UE, 3Tx can study as the starting point.</w:t>
      </w:r>
    </w:p>
    <w:p w14:paraId="0ABA2085" w14:textId="761AD247" w:rsidR="00A72A16" w:rsidRPr="00F13E53" w:rsidRDefault="008E21AC" w:rsidP="00F13E53">
      <w:pPr>
        <w:rPr>
          <w:rFonts w:eastAsiaTheme="minorEastAsia"/>
          <w:b/>
          <w:bCs/>
          <w:szCs w:val="24"/>
          <w:lang w:eastAsia="zh-CN"/>
        </w:rPr>
      </w:pPr>
      <w:r w:rsidRPr="00E93E89">
        <w:rPr>
          <w:rFonts w:eastAsia="宋体"/>
          <w:b/>
          <w:bCs/>
          <w:lang w:eastAsia="zh-CN"/>
        </w:rPr>
        <w:t xml:space="preserve">Proposal </w:t>
      </w:r>
      <w:r>
        <w:rPr>
          <w:rFonts w:eastAsia="宋体"/>
          <w:b/>
          <w:bCs/>
          <w:lang w:eastAsia="zh-CN"/>
        </w:rPr>
        <w:t>2</w:t>
      </w:r>
      <w:r w:rsidRPr="00E93E89">
        <w:rPr>
          <w:rFonts w:eastAsia="宋体"/>
          <w:b/>
          <w:bCs/>
          <w:lang w:eastAsia="zh-CN"/>
        </w:rPr>
        <w:t>:</w:t>
      </w:r>
      <w:r w:rsidRPr="00E93E89">
        <w:rPr>
          <w:rFonts w:eastAsiaTheme="minorEastAsia"/>
          <w:b/>
          <w:bCs/>
          <w:szCs w:val="24"/>
          <w:lang w:eastAsia="zh-CN"/>
        </w:rPr>
        <w:t xml:space="preserve"> 3 Tx for PC1 NR NTN UE can be </w:t>
      </w:r>
      <w:r>
        <w:rPr>
          <w:rFonts w:eastAsiaTheme="minorEastAsia"/>
          <w:b/>
          <w:bCs/>
          <w:szCs w:val="24"/>
          <w:lang w:eastAsia="zh-CN"/>
        </w:rPr>
        <w:t>studied</w:t>
      </w:r>
      <w:r w:rsidRPr="00E93E89">
        <w:rPr>
          <w:rFonts w:eastAsiaTheme="minorEastAsia"/>
          <w:b/>
          <w:bCs/>
          <w:szCs w:val="24"/>
          <w:lang w:eastAsia="zh-CN"/>
        </w:rPr>
        <w:t xml:space="preserve"> for</w:t>
      </w:r>
      <w:r w:rsidR="001834ED">
        <w:rPr>
          <w:rFonts w:eastAsiaTheme="minorEastAsia"/>
          <w:b/>
          <w:bCs/>
          <w:szCs w:val="24"/>
          <w:lang w:eastAsia="zh-CN"/>
        </w:rPr>
        <w:t xml:space="preserve"> requirements</w:t>
      </w:r>
      <w:r w:rsidRPr="00E93E89">
        <w:rPr>
          <w:rFonts w:eastAsiaTheme="minorEastAsia"/>
          <w:b/>
          <w:bCs/>
          <w:szCs w:val="24"/>
          <w:lang w:eastAsia="zh-CN"/>
        </w:rPr>
        <w:t xml:space="preserve"> as the starting point.</w:t>
      </w:r>
    </w:p>
    <w:p w14:paraId="18192669" w14:textId="77777777" w:rsidR="00F35B01" w:rsidRDefault="00F35B01" w:rsidP="00F35B01">
      <w:pPr>
        <w:rPr>
          <w:rFonts w:eastAsiaTheme="minorEastAsia"/>
          <w:lang w:eastAsia="zh-CN"/>
        </w:rPr>
      </w:pPr>
      <w:r>
        <w:rPr>
          <w:rFonts w:eastAsiaTheme="minorEastAsia" w:hint="eastAsia"/>
          <w:lang w:eastAsia="zh-CN"/>
        </w:rPr>
        <w:t>F</w:t>
      </w:r>
      <w:r>
        <w:rPr>
          <w:rFonts w:eastAsiaTheme="minorEastAsia"/>
          <w:lang w:eastAsia="zh-CN"/>
        </w:rPr>
        <w:t>or the SAR issue for handheld UE, currently, 3GPP has introduced the uplink duty cycle and higher power class than default power class. From NTN UE perspective, especially for current usage of NTN UE, the most important and feasible use case is message and phone call. In such case, a large duty cycle is easy to maintain while not much influencing the service quality. Furthermore, with the spirit of introducing the higher power class, if contradictorily, larger P-MPR is used to fulfil the SAR requirement, this will make the HPUE feature unreasonable. In such case, we believe the duty cycle solution is a much better way which can ensure the SAR regulation as well as the service quality and the coverage. However, as also discussed in other places, the duty cycle method needs to fulfil the regulation and this needs more investigation.</w:t>
      </w:r>
    </w:p>
    <w:p w14:paraId="651491E3" w14:textId="561D7F7B" w:rsidR="00BB3274" w:rsidRPr="00F13E53" w:rsidRDefault="00F35B01" w:rsidP="004D0C38">
      <w:pPr>
        <w:rPr>
          <w:rFonts w:eastAsiaTheme="minorEastAsia"/>
          <w:b/>
          <w:lang w:eastAsia="zh-CN"/>
        </w:rPr>
      </w:pPr>
      <w:r w:rsidRPr="00F52939">
        <w:rPr>
          <w:rFonts w:eastAsiaTheme="minorEastAsia" w:hint="eastAsia"/>
          <w:b/>
          <w:lang w:eastAsia="zh-CN"/>
        </w:rPr>
        <w:t>P</w:t>
      </w:r>
      <w:r w:rsidRPr="00F52939">
        <w:rPr>
          <w:rFonts w:eastAsiaTheme="minorEastAsia"/>
          <w:b/>
          <w:lang w:eastAsia="zh-CN"/>
        </w:rPr>
        <w:t xml:space="preserve">roposal </w:t>
      </w:r>
      <w:r w:rsidR="00F13E53">
        <w:rPr>
          <w:rFonts w:eastAsiaTheme="minorEastAsia"/>
          <w:b/>
          <w:lang w:eastAsia="zh-CN"/>
        </w:rPr>
        <w:t>3</w:t>
      </w:r>
      <w:r w:rsidRPr="00F52939">
        <w:rPr>
          <w:rFonts w:eastAsiaTheme="minorEastAsia"/>
          <w:b/>
          <w:lang w:eastAsia="zh-CN"/>
        </w:rPr>
        <w:t>: Further investigate the duty cycle method for regulation of NTN hand-held UE.</w:t>
      </w:r>
    </w:p>
    <w:p w14:paraId="23F7D8A3" w14:textId="6E6DCC07" w:rsidR="002A4970" w:rsidRPr="004D0C38" w:rsidRDefault="0023469E" w:rsidP="004D0C38">
      <w:pPr>
        <w:pStyle w:val="1"/>
        <w:numPr>
          <w:ilvl w:val="0"/>
          <w:numId w:val="26"/>
        </w:numPr>
      </w:pPr>
      <w:r>
        <w:t>Conclusion</w:t>
      </w:r>
    </w:p>
    <w:p w14:paraId="51052A90" w14:textId="149D28FF" w:rsidR="00F13E53" w:rsidRPr="00DF15C4" w:rsidRDefault="00F13E53" w:rsidP="00F13E53">
      <w:pPr>
        <w:rPr>
          <w:rFonts w:eastAsiaTheme="minorEastAsia"/>
          <w:lang w:eastAsia="zh-CN"/>
        </w:rPr>
      </w:pPr>
      <w:r>
        <w:rPr>
          <w:rFonts w:eastAsiaTheme="minorEastAsia"/>
          <w:lang w:val="en-US" w:eastAsia="zh-CN"/>
        </w:rPr>
        <w:t>In t</w:t>
      </w:r>
      <w:r w:rsidR="0023469E">
        <w:rPr>
          <w:rFonts w:eastAsiaTheme="minorEastAsia"/>
          <w:lang w:val="en-US" w:eastAsia="zh-CN"/>
        </w:rPr>
        <w:t>his paper</w:t>
      </w:r>
      <w:r>
        <w:rPr>
          <w:rFonts w:eastAsiaTheme="minorEastAsia"/>
          <w:lang w:eastAsia="zh-CN"/>
        </w:rPr>
        <w:t xml:space="preserve"> we give further discussion on the TX requirement for HPUE NTN. The proposals are as following:</w:t>
      </w:r>
    </w:p>
    <w:p w14:paraId="4C07B9C4" w14:textId="6D917D38" w:rsidR="00F13E53" w:rsidRPr="00E93E89" w:rsidRDefault="00F13E53" w:rsidP="00F13E53">
      <w:pPr>
        <w:rPr>
          <w:rFonts w:eastAsiaTheme="minorEastAsia"/>
          <w:b/>
          <w:bCs/>
          <w:szCs w:val="24"/>
          <w:lang w:eastAsia="zh-CN"/>
        </w:rPr>
      </w:pPr>
      <w:r w:rsidRPr="00E93E89">
        <w:rPr>
          <w:rFonts w:eastAsia="宋体"/>
          <w:b/>
          <w:bCs/>
          <w:lang w:eastAsia="zh-CN"/>
        </w:rPr>
        <w:t xml:space="preserve">Proposal 1: </w:t>
      </w:r>
      <w:r w:rsidRPr="00E93E89">
        <w:rPr>
          <w:rFonts w:eastAsiaTheme="minorEastAsia"/>
          <w:b/>
          <w:bCs/>
          <w:szCs w:val="24"/>
          <w:lang w:eastAsia="zh-CN"/>
        </w:rPr>
        <w:t xml:space="preserve">2Tx and 3 Tx for PC1.5 NR NTN UE can be considered </w:t>
      </w:r>
      <w:r w:rsidR="001834ED" w:rsidRPr="00E93E89">
        <w:rPr>
          <w:rFonts w:eastAsiaTheme="minorEastAsia"/>
          <w:b/>
          <w:bCs/>
          <w:szCs w:val="24"/>
          <w:lang w:eastAsia="zh-CN"/>
        </w:rPr>
        <w:t>for</w:t>
      </w:r>
      <w:r w:rsidR="001834ED">
        <w:rPr>
          <w:rFonts w:eastAsiaTheme="minorEastAsia"/>
          <w:b/>
          <w:bCs/>
          <w:szCs w:val="24"/>
          <w:lang w:eastAsia="zh-CN"/>
        </w:rPr>
        <w:t xml:space="preserve"> requirements</w:t>
      </w:r>
      <w:r w:rsidRPr="00E93E89">
        <w:rPr>
          <w:rFonts w:eastAsiaTheme="minorEastAsia"/>
          <w:b/>
          <w:bCs/>
          <w:szCs w:val="24"/>
          <w:lang w:eastAsia="zh-CN"/>
        </w:rPr>
        <w:t xml:space="preserve"> as the starting point.</w:t>
      </w:r>
    </w:p>
    <w:p w14:paraId="017C38D3" w14:textId="2D62C10D" w:rsidR="00F13E53" w:rsidRPr="00F13E53" w:rsidRDefault="00F13E53" w:rsidP="00F13E53">
      <w:pPr>
        <w:rPr>
          <w:rFonts w:eastAsiaTheme="minorEastAsia"/>
          <w:b/>
          <w:bCs/>
          <w:szCs w:val="24"/>
          <w:lang w:eastAsia="zh-CN"/>
        </w:rPr>
      </w:pPr>
      <w:r w:rsidRPr="00E93E89">
        <w:rPr>
          <w:rFonts w:eastAsia="宋体"/>
          <w:b/>
          <w:bCs/>
          <w:lang w:eastAsia="zh-CN"/>
        </w:rPr>
        <w:t xml:space="preserve">Proposal </w:t>
      </w:r>
      <w:r>
        <w:rPr>
          <w:rFonts w:eastAsia="宋体"/>
          <w:b/>
          <w:bCs/>
          <w:lang w:eastAsia="zh-CN"/>
        </w:rPr>
        <w:t>2</w:t>
      </w:r>
      <w:r w:rsidRPr="00E93E89">
        <w:rPr>
          <w:rFonts w:eastAsia="宋体"/>
          <w:b/>
          <w:bCs/>
          <w:lang w:eastAsia="zh-CN"/>
        </w:rPr>
        <w:t>:</w:t>
      </w:r>
      <w:r w:rsidRPr="00E93E89">
        <w:rPr>
          <w:rFonts w:eastAsiaTheme="minorEastAsia"/>
          <w:b/>
          <w:bCs/>
          <w:szCs w:val="24"/>
          <w:lang w:eastAsia="zh-CN"/>
        </w:rPr>
        <w:t xml:space="preserve"> 3 Tx for PC1 NR NTN UE can be </w:t>
      </w:r>
      <w:r>
        <w:rPr>
          <w:rFonts w:eastAsiaTheme="minorEastAsia"/>
          <w:b/>
          <w:bCs/>
          <w:szCs w:val="24"/>
          <w:lang w:eastAsia="zh-CN"/>
        </w:rPr>
        <w:t>studied</w:t>
      </w:r>
      <w:r w:rsidRPr="00E93E89">
        <w:rPr>
          <w:rFonts w:eastAsiaTheme="minorEastAsia"/>
          <w:b/>
          <w:bCs/>
          <w:szCs w:val="24"/>
          <w:lang w:eastAsia="zh-CN"/>
        </w:rPr>
        <w:t xml:space="preserve"> for </w:t>
      </w:r>
      <w:r w:rsidR="001834ED">
        <w:rPr>
          <w:rFonts w:eastAsiaTheme="minorEastAsia"/>
          <w:b/>
          <w:bCs/>
          <w:szCs w:val="24"/>
          <w:lang w:eastAsia="zh-CN"/>
        </w:rPr>
        <w:t>requirements</w:t>
      </w:r>
      <w:r w:rsidRPr="00E93E89">
        <w:rPr>
          <w:rFonts w:eastAsiaTheme="minorEastAsia"/>
          <w:b/>
          <w:bCs/>
          <w:szCs w:val="24"/>
          <w:lang w:eastAsia="zh-CN"/>
        </w:rPr>
        <w:t xml:space="preserve"> as the starting point.</w:t>
      </w:r>
    </w:p>
    <w:p w14:paraId="7161C6B6" w14:textId="595AC8C3" w:rsidR="004D0C38" w:rsidRPr="00F13E53" w:rsidRDefault="00F13E53" w:rsidP="00F13E53">
      <w:pPr>
        <w:rPr>
          <w:rFonts w:eastAsiaTheme="minorEastAsia"/>
          <w:b/>
          <w:lang w:eastAsia="zh-CN"/>
        </w:rPr>
      </w:pPr>
      <w:r w:rsidRPr="00F52939">
        <w:rPr>
          <w:rFonts w:eastAsiaTheme="minorEastAsia" w:hint="eastAsia"/>
          <w:b/>
          <w:lang w:eastAsia="zh-CN"/>
        </w:rPr>
        <w:t>P</w:t>
      </w:r>
      <w:r w:rsidRPr="00F52939">
        <w:rPr>
          <w:rFonts w:eastAsiaTheme="minorEastAsia"/>
          <w:b/>
          <w:lang w:eastAsia="zh-CN"/>
        </w:rPr>
        <w:t xml:space="preserve">roposal </w:t>
      </w:r>
      <w:r>
        <w:rPr>
          <w:rFonts w:eastAsiaTheme="minorEastAsia"/>
          <w:b/>
          <w:lang w:eastAsia="zh-CN"/>
        </w:rPr>
        <w:t>3</w:t>
      </w:r>
      <w:r w:rsidRPr="00F52939">
        <w:rPr>
          <w:rFonts w:eastAsiaTheme="minorEastAsia"/>
          <w:b/>
          <w:lang w:eastAsia="zh-CN"/>
        </w:rPr>
        <w:t>: Further investigate the duty cycle method for regulation of NTN hand-held UE.</w:t>
      </w:r>
    </w:p>
    <w:bookmarkEnd w:id="1"/>
    <w:p w14:paraId="2A7D4084" w14:textId="77777777" w:rsidR="00F5037E" w:rsidRDefault="00F5037E" w:rsidP="00F5037E">
      <w:pPr>
        <w:pStyle w:val="1"/>
        <w:numPr>
          <w:ilvl w:val="0"/>
          <w:numId w:val="3"/>
        </w:numPr>
      </w:pPr>
      <w:r>
        <w:lastRenderedPageBreak/>
        <w:t>Reference</w:t>
      </w:r>
    </w:p>
    <w:p w14:paraId="25C37ECE" w14:textId="715D6078" w:rsidR="00145F56" w:rsidRPr="00156648" w:rsidRDefault="00F5037E" w:rsidP="00156648">
      <w:bookmarkStart w:id="6" w:name="OLE_LINK1"/>
      <w:r>
        <w:rPr>
          <w:rFonts w:eastAsiaTheme="minorEastAsia" w:hint="eastAsia"/>
          <w:lang w:eastAsia="zh-CN"/>
        </w:rPr>
        <w:t>[</w:t>
      </w:r>
      <w:r>
        <w:rPr>
          <w:rFonts w:eastAsiaTheme="minorEastAsia"/>
          <w:lang w:eastAsia="zh-CN"/>
        </w:rPr>
        <w:t xml:space="preserve">1] </w:t>
      </w:r>
      <w:hyperlink r:id="rId9" w:history="1">
        <w:r w:rsidR="00156648" w:rsidRPr="00156648">
          <w:rPr>
            <w:rFonts w:eastAsiaTheme="minorEastAsia"/>
            <w:lang w:eastAsia="zh-CN"/>
          </w:rPr>
          <w:t>R4-2414452</w:t>
        </w:r>
      </w:hyperlink>
      <w:r w:rsidR="00156648" w:rsidRPr="00156648">
        <w:rPr>
          <w:rFonts w:eastAsiaTheme="minorEastAsia"/>
          <w:lang w:eastAsia="zh-CN"/>
        </w:rPr>
        <w:t>,</w:t>
      </w:r>
      <w:r w:rsidR="00156648">
        <w:rPr>
          <w:rFonts w:eastAsiaTheme="minorEastAsia"/>
          <w:lang w:eastAsia="zh-CN"/>
        </w:rPr>
        <w:t xml:space="preserve"> </w:t>
      </w:r>
      <w:r w:rsidR="00156648" w:rsidRPr="00156648">
        <w:rPr>
          <w:rFonts w:eastAsiaTheme="minorEastAsia"/>
          <w:lang w:eastAsia="zh-CN"/>
        </w:rPr>
        <w:t>WF on UE RF requirements for NTN HPUE</w:t>
      </w:r>
      <w:r w:rsidRPr="00615E8A">
        <w:rPr>
          <w:rFonts w:eastAsiaTheme="minorEastAsia"/>
          <w:lang w:eastAsia="zh-CN"/>
        </w:rPr>
        <w:t xml:space="preserve">, </w:t>
      </w:r>
      <w:r w:rsidR="00156648">
        <w:rPr>
          <w:rFonts w:eastAsiaTheme="minorEastAsia"/>
          <w:lang w:eastAsia="zh-CN"/>
        </w:rPr>
        <w:t>Samsung</w:t>
      </w:r>
      <w:r w:rsidRPr="00615E8A">
        <w:rPr>
          <w:rFonts w:eastAsiaTheme="minorEastAsia"/>
          <w:lang w:eastAsia="zh-CN"/>
        </w:rPr>
        <w:t>, RAN4#11</w:t>
      </w:r>
      <w:r w:rsidR="00156648">
        <w:rPr>
          <w:rFonts w:eastAsiaTheme="minorEastAsia"/>
          <w:lang w:eastAsia="zh-CN"/>
        </w:rPr>
        <w:t>2</w:t>
      </w:r>
      <w:r w:rsidRPr="00615E8A">
        <w:rPr>
          <w:rFonts w:eastAsiaTheme="minorEastAsia"/>
          <w:lang w:eastAsia="zh-CN"/>
        </w:rPr>
        <w:t xml:space="preserve"> 2024-0</w:t>
      </w:r>
      <w:r w:rsidR="00156648">
        <w:rPr>
          <w:rFonts w:eastAsiaTheme="minorEastAsia"/>
          <w:lang w:eastAsia="zh-CN"/>
        </w:rPr>
        <w:t>8</w:t>
      </w:r>
      <w:bookmarkEnd w:id="6"/>
    </w:p>
    <w:sectPr w:rsidR="00145F56" w:rsidRPr="001566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A9E4" w14:textId="77777777" w:rsidR="00C75FD9" w:rsidRDefault="00C75FD9">
      <w:r>
        <w:separator/>
      </w:r>
    </w:p>
  </w:endnote>
  <w:endnote w:type="continuationSeparator" w:id="0">
    <w:p w14:paraId="63BC79A8" w14:textId="77777777" w:rsidR="00C75FD9" w:rsidRDefault="00C7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8CF6" w14:textId="77777777" w:rsidR="00C75FD9" w:rsidRDefault="00C75FD9">
      <w:r>
        <w:separator/>
      </w:r>
    </w:p>
  </w:footnote>
  <w:footnote w:type="continuationSeparator" w:id="0">
    <w:p w14:paraId="76F57BD4" w14:textId="77777777" w:rsidR="00C75FD9" w:rsidRDefault="00C75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735"/>
    <w:multiLevelType w:val="hybridMultilevel"/>
    <w:tmpl w:val="956A85DC"/>
    <w:lvl w:ilvl="0" w:tplc="CEF2A472">
      <w:start w:val="1"/>
      <w:numFmt w:val="bullet"/>
      <w:lvlText w:val="◦"/>
      <w:lvlJc w:val="left"/>
      <w:pPr>
        <w:tabs>
          <w:tab w:val="num" w:pos="720"/>
        </w:tabs>
        <w:ind w:left="720" w:hanging="360"/>
      </w:pPr>
      <w:rPr>
        <w:rFonts w:ascii="Calibri" w:hAnsi="Calibri" w:hint="default"/>
      </w:rPr>
    </w:lvl>
    <w:lvl w:ilvl="1" w:tplc="4B685F9A" w:tentative="1">
      <w:start w:val="1"/>
      <w:numFmt w:val="bullet"/>
      <w:lvlText w:val="◦"/>
      <w:lvlJc w:val="left"/>
      <w:pPr>
        <w:tabs>
          <w:tab w:val="num" w:pos="1440"/>
        </w:tabs>
        <w:ind w:left="1440" w:hanging="360"/>
      </w:pPr>
      <w:rPr>
        <w:rFonts w:ascii="Calibri" w:hAnsi="Calibri" w:hint="default"/>
      </w:rPr>
    </w:lvl>
    <w:lvl w:ilvl="2" w:tplc="206AE25A" w:tentative="1">
      <w:start w:val="1"/>
      <w:numFmt w:val="bullet"/>
      <w:lvlText w:val="◦"/>
      <w:lvlJc w:val="left"/>
      <w:pPr>
        <w:tabs>
          <w:tab w:val="num" w:pos="2160"/>
        </w:tabs>
        <w:ind w:left="2160" w:hanging="360"/>
      </w:pPr>
      <w:rPr>
        <w:rFonts w:ascii="Calibri" w:hAnsi="Calibri" w:hint="default"/>
      </w:rPr>
    </w:lvl>
    <w:lvl w:ilvl="3" w:tplc="4F6C5FC8">
      <w:start w:val="1"/>
      <w:numFmt w:val="bullet"/>
      <w:lvlText w:val="◦"/>
      <w:lvlJc w:val="left"/>
      <w:pPr>
        <w:tabs>
          <w:tab w:val="num" w:pos="2880"/>
        </w:tabs>
        <w:ind w:left="2880" w:hanging="360"/>
      </w:pPr>
      <w:rPr>
        <w:rFonts w:ascii="Calibri" w:hAnsi="Calibri" w:hint="default"/>
      </w:rPr>
    </w:lvl>
    <w:lvl w:ilvl="4" w:tplc="10CEF7EC">
      <w:numFmt w:val="bullet"/>
      <w:lvlText w:val="◦"/>
      <w:lvlJc w:val="left"/>
      <w:pPr>
        <w:tabs>
          <w:tab w:val="num" w:pos="3600"/>
        </w:tabs>
        <w:ind w:left="3600" w:hanging="360"/>
      </w:pPr>
      <w:rPr>
        <w:rFonts w:ascii="Calibri" w:hAnsi="Calibri" w:hint="default"/>
      </w:rPr>
    </w:lvl>
    <w:lvl w:ilvl="5" w:tplc="B688F798">
      <w:numFmt w:val="bullet"/>
      <w:lvlText w:val="◦"/>
      <w:lvlJc w:val="left"/>
      <w:pPr>
        <w:tabs>
          <w:tab w:val="num" w:pos="4320"/>
        </w:tabs>
        <w:ind w:left="4320" w:hanging="360"/>
      </w:pPr>
      <w:rPr>
        <w:rFonts w:ascii="Calibri" w:hAnsi="Calibri" w:hint="default"/>
      </w:rPr>
    </w:lvl>
    <w:lvl w:ilvl="6" w:tplc="2110C40A" w:tentative="1">
      <w:start w:val="1"/>
      <w:numFmt w:val="bullet"/>
      <w:lvlText w:val="◦"/>
      <w:lvlJc w:val="left"/>
      <w:pPr>
        <w:tabs>
          <w:tab w:val="num" w:pos="5040"/>
        </w:tabs>
        <w:ind w:left="5040" w:hanging="360"/>
      </w:pPr>
      <w:rPr>
        <w:rFonts w:ascii="Calibri" w:hAnsi="Calibri" w:hint="default"/>
      </w:rPr>
    </w:lvl>
    <w:lvl w:ilvl="7" w:tplc="513A90D2" w:tentative="1">
      <w:start w:val="1"/>
      <w:numFmt w:val="bullet"/>
      <w:lvlText w:val="◦"/>
      <w:lvlJc w:val="left"/>
      <w:pPr>
        <w:tabs>
          <w:tab w:val="num" w:pos="5760"/>
        </w:tabs>
        <w:ind w:left="5760" w:hanging="360"/>
      </w:pPr>
      <w:rPr>
        <w:rFonts w:ascii="Calibri" w:hAnsi="Calibri" w:hint="default"/>
      </w:rPr>
    </w:lvl>
    <w:lvl w:ilvl="8" w:tplc="2D765CD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EB54F6"/>
    <w:multiLevelType w:val="hybridMultilevel"/>
    <w:tmpl w:val="32488466"/>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D2E3C09"/>
    <w:multiLevelType w:val="hybridMultilevel"/>
    <w:tmpl w:val="391677BC"/>
    <w:lvl w:ilvl="0" w:tplc="EC7E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7"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6"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0"/>
  </w:num>
  <w:num w:numId="2">
    <w:abstractNumId w:val="16"/>
  </w:num>
  <w:num w:numId="3">
    <w:abstractNumId w:val="3"/>
  </w:num>
  <w:num w:numId="4">
    <w:abstractNumId w:val="31"/>
  </w:num>
  <w:num w:numId="5">
    <w:abstractNumId w:val="7"/>
  </w:num>
  <w:num w:numId="6">
    <w:abstractNumId w:val="13"/>
  </w:num>
  <w:num w:numId="7">
    <w:abstractNumId w:val="12"/>
  </w:num>
  <w:num w:numId="8">
    <w:abstractNumId w:val="4"/>
  </w:num>
  <w:num w:numId="9">
    <w:abstractNumId w:val="27"/>
  </w:num>
  <w:num w:numId="10">
    <w:abstractNumId w:val="8"/>
  </w:num>
  <w:num w:numId="11">
    <w:abstractNumId w:val="23"/>
  </w:num>
  <w:num w:numId="12">
    <w:abstractNumId w:val="28"/>
  </w:num>
  <w:num w:numId="13">
    <w:abstractNumId w:val="17"/>
  </w:num>
  <w:num w:numId="14">
    <w:abstractNumId w:val="29"/>
  </w:num>
  <w:num w:numId="15">
    <w:abstractNumId w:val="34"/>
  </w:num>
  <w:num w:numId="16">
    <w:abstractNumId w:val="2"/>
  </w:num>
  <w:num w:numId="17">
    <w:abstractNumId w:val="18"/>
  </w:num>
  <w:num w:numId="18">
    <w:abstractNumId w:val="24"/>
  </w:num>
  <w:num w:numId="19">
    <w:abstractNumId w:val="30"/>
  </w:num>
  <w:num w:numId="20">
    <w:abstractNumId w:val="25"/>
  </w:num>
  <w:num w:numId="21">
    <w:abstractNumId w:val="32"/>
  </w:num>
  <w:num w:numId="22">
    <w:abstractNumId w:val="33"/>
  </w:num>
  <w:num w:numId="23">
    <w:abstractNumId w:val="5"/>
  </w:num>
  <w:num w:numId="24">
    <w:abstractNumId w:val="19"/>
  </w:num>
  <w:num w:numId="25">
    <w:abstractNumId w:val="35"/>
  </w:num>
  <w:num w:numId="26">
    <w:abstractNumId w:val="11"/>
  </w:num>
  <w:num w:numId="27">
    <w:abstractNumId w:val="15"/>
  </w:num>
  <w:num w:numId="28">
    <w:abstractNumId w:val="9"/>
  </w:num>
  <w:num w:numId="29">
    <w:abstractNumId w:val="22"/>
  </w:num>
  <w:num w:numId="30">
    <w:abstractNumId w:val="14"/>
  </w:num>
  <w:num w:numId="31">
    <w:abstractNumId w:val="10"/>
  </w:num>
  <w:num w:numId="32">
    <w:abstractNumId w:val="0"/>
  </w:num>
  <w:num w:numId="33">
    <w:abstractNumId w:val="6"/>
  </w:num>
  <w:num w:numId="34">
    <w:abstractNumId w:val="21"/>
  </w:num>
  <w:num w:numId="35">
    <w:abstractNumId w:val="26"/>
  </w:num>
  <w:num w:numId="3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0AF9"/>
    <w:rsid w:val="00081A68"/>
    <w:rsid w:val="00082322"/>
    <w:rsid w:val="00082810"/>
    <w:rsid w:val="00083267"/>
    <w:rsid w:val="00083540"/>
    <w:rsid w:val="00083D29"/>
    <w:rsid w:val="000852AB"/>
    <w:rsid w:val="00085C75"/>
    <w:rsid w:val="0008614B"/>
    <w:rsid w:val="00086BBD"/>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2E8B"/>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D7F4E"/>
    <w:rsid w:val="000E080B"/>
    <w:rsid w:val="000E11ED"/>
    <w:rsid w:val="000E18FE"/>
    <w:rsid w:val="000E26EC"/>
    <w:rsid w:val="000E3EEF"/>
    <w:rsid w:val="000E3F3B"/>
    <w:rsid w:val="000E444B"/>
    <w:rsid w:val="000E5008"/>
    <w:rsid w:val="000E660C"/>
    <w:rsid w:val="000E7163"/>
    <w:rsid w:val="000F00E4"/>
    <w:rsid w:val="000F0972"/>
    <w:rsid w:val="000F2DB9"/>
    <w:rsid w:val="000F2E4A"/>
    <w:rsid w:val="000F5BDB"/>
    <w:rsid w:val="000F603A"/>
    <w:rsid w:val="000F625A"/>
    <w:rsid w:val="000F7D42"/>
    <w:rsid w:val="001003E3"/>
    <w:rsid w:val="00103359"/>
    <w:rsid w:val="001033D0"/>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5F56"/>
    <w:rsid w:val="00146E22"/>
    <w:rsid w:val="0014754F"/>
    <w:rsid w:val="001511C0"/>
    <w:rsid w:val="00151FC2"/>
    <w:rsid w:val="00152172"/>
    <w:rsid w:val="00152F69"/>
    <w:rsid w:val="0015332E"/>
    <w:rsid w:val="00153528"/>
    <w:rsid w:val="00154C40"/>
    <w:rsid w:val="0015570F"/>
    <w:rsid w:val="0015587C"/>
    <w:rsid w:val="00155DE7"/>
    <w:rsid w:val="00156648"/>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4ED"/>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53E"/>
    <w:rsid w:val="00197D3C"/>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AFA"/>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2E84"/>
    <w:rsid w:val="002138EA"/>
    <w:rsid w:val="00214022"/>
    <w:rsid w:val="00214FBD"/>
    <w:rsid w:val="00216838"/>
    <w:rsid w:val="00216854"/>
    <w:rsid w:val="00216EB9"/>
    <w:rsid w:val="00217CA8"/>
    <w:rsid w:val="00217F27"/>
    <w:rsid w:val="00220566"/>
    <w:rsid w:val="00220D6F"/>
    <w:rsid w:val="00222897"/>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2F4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7D2"/>
    <w:rsid w:val="00286F44"/>
    <w:rsid w:val="00287895"/>
    <w:rsid w:val="00287CE3"/>
    <w:rsid w:val="00287D6C"/>
    <w:rsid w:val="002903FD"/>
    <w:rsid w:val="00292B09"/>
    <w:rsid w:val="00292E5D"/>
    <w:rsid w:val="002959A7"/>
    <w:rsid w:val="00296975"/>
    <w:rsid w:val="00296B9F"/>
    <w:rsid w:val="00297E6A"/>
    <w:rsid w:val="002A000E"/>
    <w:rsid w:val="002A0240"/>
    <w:rsid w:val="002A3662"/>
    <w:rsid w:val="002A390E"/>
    <w:rsid w:val="002A3B4C"/>
    <w:rsid w:val="002A3D2D"/>
    <w:rsid w:val="002A4686"/>
    <w:rsid w:val="002A4970"/>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9D5"/>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28C"/>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31"/>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E88"/>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63E"/>
    <w:rsid w:val="004C2D35"/>
    <w:rsid w:val="004C3AF6"/>
    <w:rsid w:val="004C7C0E"/>
    <w:rsid w:val="004D0C38"/>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494"/>
    <w:rsid w:val="005E0BA1"/>
    <w:rsid w:val="005E108B"/>
    <w:rsid w:val="005E12CD"/>
    <w:rsid w:val="005E163E"/>
    <w:rsid w:val="005E2F1B"/>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0FBE"/>
    <w:rsid w:val="006112FB"/>
    <w:rsid w:val="00611CD9"/>
    <w:rsid w:val="00612745"/>
    <w:rsid w:val="00612CAE"/>
    <w:rsid w:val="00613518"/>
    <w:rsid w:val="00614F2A"/>
    <w:rsid w:val="00615C5D"/>
    <w:rsid w:val="00615E8A"/>
    <w:rsid w:val="0061691F"/>
    <w:rsid w:val="006210C4"/>
    <w:rsid w:val="0062126D"/>
    <w:rsid w:val="00621C46"/>
    <w:rsid w:val="00621EF2"/>
    <w:rsid w:val="00622B32"/>
    <w:rsid w:val="00622ECE"/>
    <w:rsid w:val="00623DE9"/>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F00"/>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258"/>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E6498"/>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4A3"/>
    <w:rsid w:val="007066FA"/>
    <w:rsid w:val="00706986"/>
    <w:rsid w:val="00706D01"/>
    <w:rsid w:val="00707941"/>
    <w:rsid w:val="00711C4E"/>
    <w:rsid w:val="00712236"/>
    <w:rsid w:val="007149AA"/>
    <w:rsid w:val="00715FB4"/>
    <w:rsid w:val="007162EF"/>
    <w:rsid w:val="007172A4"/>
    <w:rsid w:val="00720148"/>
    <w:rsid w:val="007204CA"/>
    <w:rsid w:val="00721148"/>
    <w:rsid w:val="0072139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2B7B"/>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3D9E"/>
    <w:rsid w:val="00825101"/>
    <w:rsid w:val="008264ED"/>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97F74"/>
    <w:rsid w:val="008A0242"/>
    <w:rsid w:val="008A088D"/>
    <w:rsid w:val="008A0A78"/>
    <w:rsid w:val="008A0DB0"/>
    <w:rsid w:val="008A196C"/>
    <w:rsid w:val="008A2729"/>
    <w:rsid w:val="008A377C"/>
    <w:rsid w:val="008A3C69"/>
    <w:rsid w:val="008A46C5"/>
    <w:rsid w:val="008A5C41"/>
    <w:rsid w:val="008A5C93"/>
    <w:rsid w:val="008A5CE8"/>
    <w:rsid w:val="008A5FBE"/>
    <w:rsid w:val="008A6143"/>
    <w:rsid w:val="008A6E47"/>
    <w:rsid w:val="008A743D"/>
    <w:rsid w:val="008B0710"/>
    <w:rsid w:val="008B0ABC"/>
    <w:rsid w:val="008B0B0F"/>
    <w:rsid w:val="008B0F05"/>
    <w:rsid w:val="008B16DD"/>
    <w:rsid w:val="008B1847"/>
    <w:rsid w:val="008B2287"/>
    <w:rsid w:val="008B345A"/>
    <w:rsid w:val="008B4433"/>
    <w:rsid w:val="008B448F"/>
    <w:rsid w:val="008B5857"/>
    <w:rsid w:val="008B597C"/>
    <w:rsid w:val="008B5C74"/>
    <w:rsid w:val="008B5FFF"/>
    <w:rsid w:val="008B63F0"/>
    <w:rsid w:val="008B68E7"/>
    <w:rsid w:val="008C0435"/>
    <w:rsid w:val="008C0C28"/>
    <w:rsid w:val="008C13BB"/>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1AC"/>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07B2C"/>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5CD2"/>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09A"/>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6FC0"/>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10B"/>
    <w:rsid w:val="009C5DD4"/>
    <w:rsid w:val="009C5E85"/>
    <w:rsid w:val="009C6214"/>
    <w:rsid w:val="009C68B9"/>
    <w:rsid w:val="009C68CA"/>
    <w:rsid w:val="009C6EE6"/>
    <w:rsid w:val="009C7156"/>
    <w:rsid w:val="009C7664"/>
    <w:rsid w:val="009D3C9E"/>
    <w:rsid w:val="009D594A"/>
    <w:rsid w:val="009D5CFC"/>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1384"/>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40E"/>
    <w:rsid w:val="00A449AF"/>
    <w:rsid w:val="00A44FF1"/>
    <w:rsid w:val="00A452C2"/>
    <w:rsid w:val="00A452CC"/>
    <w:rsid w:val="00A45933"/>
    <w:rsid w:val="00A45E4D"/>
    <w:rsid w:val="00A46028"/>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2A16"/>
    <w:rsid w:val="00A73AA7"/>
    <w:rsid w:val="00A740E0"/>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EC8"/>
    <w:rsid w:val="00A934B3"/>
    <w:rsid w:val="00A93B37"/>
    <w:rsid w:val="00A96C33"/>
    <w:rsid w:val="00A97247"/>
    <w:rsid w:val="00A97442"/>
    <w:rsid w:val="00A97B06"/>
    <w:rsid w:val="00AA0462"/>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A7C21"/>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4A90"/>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3D0E"/>
    <w:rsid w:val="00B442B4"/>
    <w:rsid w:val="00B45D4F"/>
    <w:rsid w:val="00B467E7"/>
    <w:rsid w:val="00B46BC2"/>
    <w:rsid w:val="00B474DD"/>
    <w:rsid w:val="00B4796E"/>
    <w:rsid w:val="00B5042F"/>
    <w:rsid w:val="00B5043F"/>
    <w:rsid w:val="00B50619"/>
    <w:rsid w:val="00B50A7E"/>
    <w:rsid w:val="00B52220"/>
    <w:rsid w:val="00B5296E"/>
    <w:rsid w:val="00B5441D"/>
    <w:rsid w:val="00B5483C"/>
    <w:rsid w:val="00B55048"/>
    <w:rsid w:val="00B55146"/>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739"/>
    <w:rsid w:val="00B948C0"/>
    <w:rsid w:val="00B95507"/>
    <w:rsid w:val="00B95B57"/>
    <w:rsid w:val="00B960EA"/>
    <w:rsid w:val="00B965FE"/>
    <w:rsid w:val="00B96A17"/>
    <w:rsid w:val="00B9705E"/>
    <w:rsid w:val="00BA0BB7"/>
    <w:rsid w:val="00BA0BBA"/>
    <w:rsid w:val="00BA0D2D"/>
    <w:rsid w:val="00BA1972"/>
    <w:rsid w:val="00BA25BC"/>
    <w:rsid w:val="00BA2DC3"/>
    <w:rsid w:val="00BA3526"/>
    <w:rsid w:val="00BA3829"/>
    <w:rsid w:val="00BA5EFD"/>
    <w:rsid w:val="00BB0923"/>
    <w:rsid w:val="00BB3274"/>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6853"/>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67F96"/>
    <w:rsid w:val="00C70505"/>
    <w:rsid w:val="00C70686"/>
    <w:rsid w:val="00C708DD"/>
    <w:rsid w:val="00C7255C"/>
    <w:rsid w:val="00C72798"/>
    <w:rsid w:val="00C736A3"/>
    <w:rsid w:val="00C738A7"/>
    <w:rsid w:val="00C73B35"/>
    <w:rsid w:val="00C747CA"/>
    <w:rsid w:val="00C74B4D"/>
    <w:rsid w:val="00C75280"/>
    <w:rsid w:val="00C759A3"/>
    <w:rsid w:val="00C75FD9"/>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C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8D5"/>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0F65"/>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12D"/>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57B"/>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0C01"/>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6AB0"/>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7F"/>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20F"/>
    <w:rsid w:val="00E93E8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2ECF"/>
    <w:rsid w:val="00F03102"/>
    <w:rsid w:val="00F04035"/>
    <w:rsid w:val="00F0487B"/>
    <w:rsid w:val="00F04BD9"/>
    <w:rsid w:val="00F0557F"/>
    <w:rsid w:val="00F05B38"/>
    <w:rsid w:val="00F05D4D"/>
    <w:rsid w:val="00F05DFF"/>
    <w:rsid w:val="00F0614C"/>
    <w:rsid w:val="00F072D8"/>
    <w:rsid w:val="00F0785E"/>
    <w:rsid w:val="00F07C7D"/>
    <w:rsid w:val="00F10310"/>
    <w:rsid w:val="00F10B79"/>
    <w:rsid w:val="00F10C29"/>
    <w:rsid w:val="00F10D39"/>
    <w:rsid w:val="00F11517"/>
    <w:rsid w:val="00F12D23"/>
    <w:rsid w:val="00F13CED"/>
    <w:rsid w:val="00F13E53"/>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0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31E"/>
    <w:rsid w:val="00F54609"/>
    <w:rsid w:val="00F5534E"/>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0C88"/>
    <w:rsid w:val="00FD109D"/>
    <w:rsid w:val="00FD1BEB"/>
    <w:rsid w:val="00FD30C9"/>
    <w:rsid w:val="00FD3252"/>
    <w:rsid w:val="00FD446A"/>
    <w:rsid w:val="00FD4C86"/>
    <w:rsid w:val="00FD4F68"/>
    <w:rsid w:val="00FD5C0C"/>
    <w:rsid w:val="00FD68FD"/>
    <w:rsid w:val="00FD7526"/>
    <w:rsid w:val="00FD76E1"/>
    <w:rsid w:val="00FE095C"/>
    <w:rsid w:val="00FE11AB"/>
    <w:rsid w:val="00FE2007"/>
    <w:rsid w:val="00FE2D57"/>
    <w:rsid w:val="00FE59D7"/>
    <w:rsid w:val="00FE61A4"/>
    <w:rsid w:val="00FE61FB"/>
    <w:rsid w:val="00FE6651"/>
    <w:rsid w:val="00FE72F5"/>
    <w:rsid w:val="00FF04B3"/>
    <w:rsid w:val="00FF0948"/>
    <w:rsid w:val="00FF1125"/>
    <w:rsid w:val="00FF1331"/>
    <w:rsid w:val="00FF3120"/>
    <w:rsid w:val="00FF54FC"/>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3E5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610F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8058023">
      <w:bodyDiv w:val="1"/>
      <w:marLeft w:val="0"/>
      <w:marRight w:val="0"/>
      <w:marTop w:val="0"/>
      <w:marBottom w:val="0"/>
      <w:divBdr>
        <w:top w:val="none" w:sz="0" w:space="0" w:color="auto"/>
        <w:left w:val="none" w:sz="0" w:space="0" w:color="auto"/>
        <w:bottom w:val="none" w:sz="0" w:space="0" w:color="auto"/>
        <w:right w:val="none" w:sz="0" w:space="0" w:color="auto"/>
      </w:divBdr>
      <w:divsChild>
        <w:div w:id="1147279804">
          <w:marLeft w:val="1181"/>
          <w:marRight w:val="0"/>
          <w:marTop w:val="40"/>
          <w:marBottom w:val="80"/>
          <w:divBdr>
            <w:top w:val="none" w:sz="0" w:space="0" w:color="auto"/>
            <w:left w:val="none" w:sz="0" w:space="0" w:color="auto"/>
            <w:bottom w:val="none" w:sz="0" w:space="0" w:color="auto"/>
            <w:right w:val="none" w:sz="0" w:space="0" w:color="auto"/>
          </w:divBdr>
        </w:div>
        <w:div w:id="2110616331">
          <w:marLeft w:val="1469"/>
          <w:marRight w:val="0"/>
          <w:marTop w:val="40"/>
          <w:marBottom w:val="80"/>
          <w:divBdr>
            <w:top w:val="none" w:sz="0" w:space="0" w:color="auto"/>
            <w:left w:val="none" w:sz="0" w:space="0" w:color="auto"/>
            <w:bottom w:val="none" w:sz="0" w:space="0" w:color="auto"/>
            <w:right w:val="none" w:sz="0" w:space="0" w:color="auto"/>
          </w:divBdr>
        </w:div>
        <w:div w:id="821166627">
          <w:marLeft w:val="1728"/>
          <w:marRight w:val="0"/>
          <w:marTop w:val="40"/>
          <w:marBottom w:val="80"/>
          <w:divBdr>
            <w:top w:val="none" w:sz="0" w:space="0" w:color="auto"/>
            <w:left w:val="none" w:sz="0" w:space="0" w:color="auto"/>
            <w:bottom w:val="none" w:sz="0" w:space="0" w:color="auto"/>
            <w:right w:val="none" w:sz="0" w:space="0" w:color="auto"/>
          </w:divBdr>
        </w:div>
        <w:div w:id="2057272113">
          <w:marLeft w:val="1728"/>
          <w:marRight w:val="0"/>
          <w:marTop w:val="40"/>
          <w:marBottom w:val="80"/>
          <w:divBdr>
            <w:top w:val="none" w:sz="0" w:space="0" w:color="auto"/>
            <w:left w:val="none" w:sz="0" w:space="0" w:color="auto"/>
            <w:bottom w:val="none" w:sz="0" w:space="0" w:color="auto"/>
            <w:right w:val="none" w:sz="0" w:space="0" w:color="auto"/>
          </w:divBdr>
        </w:div>
        <w:div w:id="1129199396">
          <w:marLeft w:val="1469"/>
          <w:marRight w:val="0"/>
          <w:marTop w:val="40"/>
          <w:marBottom w:val="80"/>
          <w:divBdr>
            <w:top w:val="none" w:sz="0" w:space="0" w:color="auto"/>
            <w:left w:val="none" w:sz="0" w:space="0" w:color="auto"/>
            <w:bottom w:val="none" w:sz="0" w:space="0" w:color="auto"/>
            <w:right w:val="none" w:sz="0" w:space="0" w:color="auto"/>
          </w:divBdr>
        </w:div>
        <w:div w:id="684938125">
          <w:marLeft w:val="1469"/>
          <w:marRight w:val="0"/>
          <w:marTop w:val="40"/>
          <w:marBottom w:val="8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4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4</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476</cp:revision>
  <dcterms:created xsi:type="dcterms:W3CDTF">2023-08-11T00:59:00Z</dcterms:created>
  <dcterms:modified xsi:type="dcterms:W3CDTF">2024-09-30T05:40:00Z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