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ascii="Arial" w:hAnsi="Arial" w:cs="Arial"/>
          <w:b/>
          <w:bCs/>
          <w:sz w:val="24"/>
          <w:szCs w:val="24"/>
          <w:lang w:val="en-US" w:eastAsia="zh-CN"/>
        </w:rPr>
      </w:pPr>
      <w:bookmarkStart w:id="0" w:name="Title"/>
      <w:bookmarkEnd w:id="0"/>
      <w:bookmarkStart w:id="1" w:name="DocumentFor"/>
      <w:bookmarkEnd w:id="1"/>
      <w:r>
        <w:rPr>
          <w:rFonts w:hint="default" w:ascii="Arial" w:hAnsi="Arial" w:cs="Arial"/>
          <w:b/>
          <w:bCs/>
          <w:sz w:val="24"/>
          <w:szCs w:val="24"/>
          <w:lang w:val="en-US" w:eastAsia="zh-CN"/>
        </w:rPr>
        <w:t>3GPP TSG-RAN WG4 Meeting #111</w:t>
      </w:r>
      <w:r>
        <w:rPr>
          <w:rFonts w:hint="default" w:ascii="Arial" w:hAnsi="Arial" w:cs="Arial"/>
          <w:b/>
          <w:bCs/>
          <w:sz w:val="24"/>
          <w:szCs w:val="24"/>
          <w:lang w:val="en-US" w:eastAsia="zh-CN"/>
        </w:rPr>
        <w:tab/>
      </w:r>
      <w:r>
        <w:rPr>
          <w:rFonts w:hint="default" w:ascii="Arial" w:hAnsi="Arial" w:cs="Arial"/>
          <w:b/>
          <w:bCs/>
          <w:sz w:val="24"/>
          <w:szCs w:val="24"/>
          <w:lang w:val="en-US" w:eastAsia="zh-CN"/>
        </w:rPr>
        <w:tab/>
      </w:r>
      <w:r>
        <w:rPr>
          <w:rFonts w:hint="default" w:ascii="Arial" w:hAnsi="Arial" w:cs="Arial"/>
          <w:b/>
          <w:bCs/>
          <w:sz w:val="24"/>
          <w:szCs w:val="24"/>
          <w:lang w:val="en-US" w:eastAsia="zh-CN"/>
        </w:rPr>
        <w:tab/>
      </w:r>
      <w:r>
        <w:rPr>
          <w:rFonts w:hint="default"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eastAsia" w:ascii="Arial" w:hAnsi="Arial" w:cs="Arial"/>
          <w:b/>
          <w:bCs/>
          <w:sz w:val="24"/>
          <w:szCs w:val="24"/>
          <w:lang w:val="en-US" w:eastAsia="zh-CN"/>
        </w:rPr>
        <w:tab/>
      </w:r>
      <w:r>
        <w:rPr>
          <w:rFonts w:hint="default" w:ascii="Arial" w:hAnsi="Arial" w:cs="Arial"/>
          <w:b/>
          <w:bCs/>
          <w:sz w:val="24"/>
          <w:szCs w:val="24"/>
          <w:lang w:val="en-US" w:eastAsia="zh-CN"/>
        </w:rPr>
        <w:t>R4-240</w:t>
      </w:r>
      <w:r>
        <w:rPr>
          <w:rFonts w:hint="eastAsia" w:ascii="Arial" w:hAnsi="Arial" w:cs="Arial"/>
          <w:b/>
          <w:bCs/>
          <w:sz w:val="24"/>
          <w:szCs w:val="24"/>
          <w:lang w:val="en-US" w:eastAsia="zh-CN"/>
        </w:rPr>
        <w:t>8224</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Fukuoka City, Fukuoka , Japan, 20th – 24th May, 2024</w:t>
      </w:r>
    </w:p>
    <w:p>
      <w:pPr>
        <w:bidi w:val="0"/>
        <w:rPr>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10.12.2.2</w:t>
      </w:r>
      <w:bookmarkStart w:id="2" w:name="_GoBack"/>
      <w:bookmarkEnd w:id="2"/>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new RF requirement for SBFD</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hint="eastAsia" w:ascii="Times New Roman" w:hAnsi="Times New Roman"/>
          <w:sz w:val="20"/>
          <w:lang w:val="en-US" w:eastAsia="zh-CN"/>
        </w:rPr>
      </w:pPr>
      <w:r>
        <w:rPr>
          <w:rFonts w:hint="eastAsia" w:ascii="Times New Roman" w:hAnsi="Times New Roman"/>
          <w:sz w:val="20"/>
          <w:lang w:val="en-US" w:eastAsia="zh-CN"/>
        </w:rPr>
        <w:t>In TR 38.858, the impacts on SBFD requirements have been analyzed</w:t>
      </w:r>
      <w:r>
        <w:rPr>
          <w:rFonts w:ascii="Times New Roman" w:hAnsi="Times New Roman"/>
          <w:sz w:val="20"/>
        </w:rPr>
        <w:t>.</w:t>
      </w:r>
      <w:r>
        <w:rPr>
          <w:rFonts w:hint="eastAsia" w:ascii="Times New Roman" w:hAnsi="Times New Roman"/>
          <w:sz w:val="20"/>
          <w:lang w:val="en-US" w:eastAsia="zh-CN"/>
        </w:rPr>
        <w:t xml:space="preserve"> RAN4 has identified which </w:t>
      </w:r>
      <w:r>
        <w:rPr>
          <w:rFonts w:hint="eastAsia" w:ascii="Times New Roman" w:hAnsi="Times New Roman"/>
          <w:b w:val="0"/>
          <w:bCs w:val="0"/>
          <w:sz w:val="20"/>
          <w:szCs w:val="20"/>
          <w:lang w:val="en-US" w:eastAsia="zh-CN"/>
        </w:rPr>
        <w:t>legacy requirements are still applicable, which legacy requirements are not applicable and which new requirements are needed</w:t>
      </w:r>
      <w:r>
        <w:rPr>
          <w:rFonts w:hint="eastAsia" w:ascii="Times New Roman" w:hAnsi="Times New Roman"/>
          <w:sz w:val="20"/>
          <w:lang w:val="en-US" w:eastAsia="zh-CN"/>
        </w:rPr>
        <w:t xml:space="preserve">. </w:t>
      </w:r>
    </w:p>
    <w:p>
      <w:pPr>
        <w:spacing w:after="180"/>
        <w:rPr>
          <w:rFonts w:hint="default" w:ascii="Times New Roman" w:hAnsi="Times New Roman"/>
          <w:sz w:val="20"/>
          <w:lang w:val="en-US" w:eastAsia="zh-CN"/>
        </w:rPr>
      </w:pPr>
      <w:r>
        <w:rPr>
          <w:rFonts w:hint="eastAsia" w:ascii="Times New Roman" w:hAnsi="Times New Roman"/>
          <w:sz w:val="20"/>
          <w:lang w:val="en-US" w:eastAsia="zh-CN"/>
        </w:rPr>
        <w:t>In last meeting, WF on SBFD BS requirement is approved with several agreements. [1]</w:t>
      </w:r>
    </w:p>
    <w:p>
      <w:pPr>
        <w:spacing w:after="180"/>
        <w:rPr>
          <w:rFonts w:hint="default" w:ascii="Times New Roman" w:hAnsi="Times New Roman"/>
          <w:sz w:val="20"/>
          <w:lang w:val="en-US" w:eastAsia="zh-CN"/>
        </w:rPr>
      </w:pPr>
      <w:r>
        <w:rPr>
          <w:rFonts w:hint="eastAsia" w:ascii="Times New Roman" w:hAnsi="Times New Roman"/>
          <w:sz w:val="20"/>
          <w:lang w:val="en-US" w:eastAsia="zh-CN"/>
        </w:rPr>
        <w:t>In this contribution, we continue the RF requirements discussion based on the output of study item phase.</w:t>
      </w:r>
    </w:p>
    <w:p>
      <w:pPr>
        <w:keepNext/>
        <w:keepLines/>
        <w:widowControl/>
        <w:numPr>
          <w:ilvl w:val="0"/>
          <w:numId w:val="1"/>
        </w:numPr>
        <w:pBdr>
          <w:top w:val="single" w:color="auto" w:sz="12" w:space="1"/>
        </w:pBdr>
        <w:tabs>
          <w:tab w:val="left" w:pos="567"/>
        </w:tabs>
        <w:adjustRightInd w:val="0"/>
        <w:spacing w:before="240" w:after="180"/>
        <w:ind w:left="510" w:hanging="510"/>
        <w:outlineLvl w:val="0"/>
        <w:rPr>
          <w:rFonts w:hint="default" w:ascii="Arial" w:hAnsi="Arial" w:eastAsiaTheme="minorEastAsia" w:cstheme="minorBidi"/>
          <w:sz w:val="32"/>
          <w:szCs w:val="36"/>
          <w:lang w:val="en-US" w:eastAsia="zh-CN"/>
        </w:rPr>
      </w:pPr>
      <w:r>
        <w:rPr>
          <w:rFonts w:hint="eastAsia" w:ascii="Arial" w:hAnsi="Arial" w:eastAsiaTheme="minorEastAsia" w:cstheme="minorBidi"/>
          <w:sz w:val="32"/>
          <w:szCs w:val="36"/>
        </w:rPr>
        <w:t>Discussion</w:t>
      </w:r>
    </w:p>
    <w:p>
      <w:pPr>
        <w:pStyle w:val="4"/>
        <w:numPr>
          <w:ilvl w:val="1"/>
          <w:numId w:val="1"/>
        </w:numPr>
        <w:bidi w:val="0"/>
        <w:rPr>
          <w:rFonts w:hint="eastAsia"/>
          <w:lang w:val="en-US" w:eastAsia="zh-CN"/>
        </w:rPr>
      </w:pPr>
      <w:r>
        <w:rPr>
          <w:rFonts w:hint="eastAsia"/>
          <w:lang w:val="en-US" w:eastAsia="zh-CN"/>
        </w:rPr>
        <w:t xml:space="preserve"> transient period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list the output at study item phase.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 </w:t>
            </w:r>
          </w:p>
          <w:p>
            <w:pPr>
              <w:spacing w:before="120" w:line="280" w:lineRule="atLeast"/>
              <w:rPr>
                <w:rFonts w:hint="default" w:ascii="Times New Roman" w:hAnsi="Times New Roman" w:cs="Times New Roman"/>
                <w:b w:val="0"/>
                <w:bCs w:val="0"/>
                <w:sz w:val="20"/>
                <w:szCs w:val="20"/>
                <w:vertAlign w:val="baseline"/>
                <w:lang w:val="en-US" w:eastAsia="zh-CN"/>
              </w:rPr>
            </w:pPr>
            <w:r>
              <w:rPr>
                <w:rFonts w:hint="default" w:ascii="Times New Roman" w:hAnsi="Times New Roman" w:cs="Times New Roman"/>
                <w:sz w:val="20"/>
                <w:szCs w:val="20"/>
                <w:lang w:val="en-US" w:eastAsia="zh-CN"/>
              </w:rPr>
              <w:t>Regarding the transition period requirement, RAN4 mainly focus on the transition period related with SBFD. Based on the RAN4 study, between the non-SBFD slot and SBFD slot and vice versa, a transition period is needed. If the SBFD configuration between adjacent SBFD slots is the same, then no transition period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spacing w:before="120" w:line="280" w:lineRule="atLeast"/>
              <w:rPr>
                <w:rFonts w:hint="default" w:ascii="Times New Roman" w:hAnsi="Times New Roman" w:cs="Times New Roman"/>
                <w:sz w:val="20"/>
                <w:szCs w:val="20"/>
                <w:lang w:val="en-US" w:eastAsia="zh-CN"/>
              </w:rPr>
            </w:pPr>
            <w:r>
              <w:rPr>
                <w:rFonts w:ascii="Times" w:hAnsi="Times" w:eastAsia="Malgun Gothic"/>
                <w:lang w:eastAsia="zh-CN"/>
              </w:rPr>
              <w:t>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Pr>
                <w:rFonts w:hint="eastAsia" w:ascii="Times" w:hAnsi="Times"/>
              </w:rPr>
              <w:t xml:space="preserve"> </w:t>
            </w:r>
            <w:r>
              <w:rPr>
                <w:rFonts w:ascii="Times" w:hAnsi="Times"/>
              </w:rPr>
              <w:t>A guard period between SBFD and non-SBFD symbols may or may not be required at gNB and/or UE side depending on gNB/UE implementation and/or SBFD operation.</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 main reason of this transient period is SBFD gNB may need some additional time to update the number of Tx/Rx units, the Tx power, the number of antenna element/panel, the spatial beamforming algorithm. This requirement is implementation basis and we can consider the worst case for final minimum RF requirements. For legacy gNB, the transient period is the time period during which the transmitter is changing from the transmitter OFF period to the transmitter ON period or vice versa. In theory the transient period for SBFD should not be larger than legacy ON-OFF transient period. Besides, the transient period between SBFD reconfiguration should not be larger than the transient period from SBFD to non-SBFD.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1: the transient period for SBFD should not be larger than legacy ON-OFF transient period. Besides, the transient period between SBFD reconfiguration should not be larger than the transient period from SBFD to non-SBFD.</w:t>
      </w:r>
    </w:p>
    <w:p>
      <w:pPr>
        <w:pStyle w:val="4"/>
        <w:numPr>
          <w:ilvl w:val="0"/>
          <w:numId w:val="0"/>
        </w:numPr>
        <w:bidi w:val="0"/>
        <w:ind w:leftChars="0"/>
        <w:rPr>
          <w:rFonts w:hint="default"/>
          <w:lang w:val="en-US" w:eastAsia="zh-CN"/>
        </w:rPr>
      </w:pPr>
      <w:r>
        <w:rPr>
          <w:rFonts w:hint="eastAsia"/>
          <w:lang w:val="en-US" w:eastAsia="zh-CN"/>
        </w:rPr>
        <w:t>2.5 in-channel adjacent sub-band leakage ratio</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Following capture </w:t>
      </w:r>
      <w:r>
        <w:rPr>
          <w:rFonts w:hint="eastAsia" w:ascii="Times New Roman" w:hAnsi="Times New Roman" w:cs="Times New Roman"/>
          <w:sz w:val="20"/>
          <w:szCs w:val="20"/>
          <w:lang w:val="en-US" w:eastAsia="zh-CN"/>
        </w:rPr>
        <w:t>the agreements from TR 38.858 for in-channel adjacent subband leakage ratio requirements</w:t>
      </w:r>
      <w:r>
        <w:rPr>
          <w:rFonts w:hint="default" w:ascii="Times New Roman" w:hAnsi="Times New Roman" w:cs="Times New Roman"/>
          <w:sz w:val="20"/>
          <w:szCs w:val="20"/>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lang w:val="en-US" w:eastAsia="zh-CN"/>
              </w:rPr>
              <w:t>For the potential new requirement of in-channel adjacent subband leakage ratio, it is concluded that further study is needed on the necessity of this requirement in normative phase.</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rPr>
          <w:rFonts w:hint="eastAsia" w:ascii="Times New Roman" w:hAnsi="Times New Roman" w:cs="Times New Roman"/>
          <w:b w:val="0"/>
          <w:bCs w:val="0"/>
          <w:sz w:val="20"/>
          <w:szCs w:val="2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When sub-band Tx leakage fall into Rx sub-band within the same carrier, this interference may contribute to REFSENSE level. Previous agreements are that further study i</w:t>
      </w:r>
      <w:r>
        <w:rPr>
          <w:rFonts w:hint="default" w:ascii="Times New Roman" w:hAnsi="Times New Roman" w:cs="Times New Roman"/>
          <w:b w:val="0"/>
          <w:bCs w:val="0"/>
          <w:sz w:val="20"/>
          <w:szCs w:val="20"/>
          <w:lang w:val="en-US" w:eastAsia="zh-CN"/>
        </w:rPr>
        <w:t>f OTA sensitivity should be defined considering all of the scenarios including self-interference, inter-site interference and inter-sector interference.</w:t>
      </w:r>
      <w:r>
        <w:rPr>
          <w:rFonts w:hint="eastAsia" w:ascii="Times New Roman" w:hAnsi="Times New Roman" w:cs="Times New Roman"/>
          <w:b w:val="0"/>
          <w:bCs w:val="0"/>
          <w:sz w:val="20"/>
          <w:szCs w:val="20"/>
          <w:lang w:val="en-US" w:eastAsia="zh-CN"/>
        </w:rPr>
        <w:t xml:space="preserve"> So this sub-band leakage requirements falling into the same carrier should be discussed together with OTA sensitivity requirements. </w:t>
      </w:r>
    </w:p>
    <w:p>
      <w:pPr>
        <w:keepNext w:val="0"/>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Observation 2: This sub-band Tx leakage falling into the same carrier can be discussed together with OTA sensitivity requirements. </w:t>
      </w:r>
      <w:r>
        <w:rPr>
          <w:rFonts w:hint="eastAsia" w:ascii="Times New Roman" w:hAnsi="Times New Roman" w:cs="Times New Roman"/>
          <w:b w:val="0"/>
          <w:bCs w:val="0"/>
          <w:sz w:val="20"/>
          <w:szCs w:val="2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When sub-band Tx leakage fall into adjacent carrier, this is something like ACLR. The similar definition methodology could be reused with assumed equal Tx bandwidth and Rx bandwidth. As stated in section 2.4, this general sub-band Tx leakage not applies for co-located case.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Besides, we should also keep in mind that interference may still occur even with infinitely increased SBFD performance. For example when co-exist with legacy NR network, interference may still occur even with infinitely increased SBFD performance. But when co-exist with SBFD of different configuration, interference could be avoided by increased SBFD performance. So before defining sub-band Tx leakage when falling into adjacent carrier, we should identify the assumption of adjacent network performance, i.e. with legacy 3GPP requirement or with enhanced requirements.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Observation 3: RAN4 should at first identify the assumption of adjacent network performance for sub-band leakage requirement definition, i.e. whether inter-operator using adjacent carrier follow legacy 3GPP requirement or allow enhanced performance. </w:t>
      </w:r>
    </w:p>
    <w:p>
      <w:pPr>
        <w:pStyle w:val="4"/>
        <w:numPr>
          <w:ilvl w:val="0"/>
          <w:numId w:val="0"/>
        </w:numPr>
        <w:bidi w:val="0"/>
        <w:ind w:leftChars="0"/>
        <w:rPr>
          <w:rFonts w:hint="default"/>
          <w:lang w:val="en-US" w:eastAsia="zh-CN"/>
        </w:rPr>
      </w:pPr>
      <w:r>
        <w:rPr>
          <w:rFonts w:hint="eastAsia"/>
          <w:lang w:val="en-US" w:eastAsia="zh-CN"/>
        </w:rPr>
        <w:t>2.6 in-channel adjacent sub-band selectivity or blocking</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Last meeting agreement is listed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spacing w:before="120" w:line="280" w:lineRule="atLeast"/>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lang w:val="en-US" w:eastAsia="zh-CN"/>
              </w:rPr>
              <w:t>For the potential new requirements of in-channel adjacent subband blocking and selectivity, it is concluded that further study is needed on the necessity of this requirement in normative phase.</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legacy ACS and blocking requirements, the main difference are the interference signal level and interference signal position. For ACS, the interference signal is at first adjacent channel and interference signal power is calculated based on sensitivity desense and ACS value. For in-band blocking, the interference signal is at second adjacent channel and interference signal power is 9dB higher derived as 95% point on CDF of all gNB</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total input power level. So the ACS requirement and blocking requirement can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t replace each other.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The same story of ACS and blocking also applies for sub-band case. We need both selectivity and blocking requirements. One is based on co-existence conclusion to meet 5% throughput loss and the other is with higher interference level with another sub-band frequency offset.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both sub-band selectivity and blocking requirements should be defined.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Regarding how to conclude sub-band selectivity and blocking requirements, the story is much similar as stated in section 2.3 for sub-band Tx leakage.</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When Tx interference signal is within the same carrier, this sub-band selectivity may contribute to REFSENSE degradation. Previous agreements are that further study i</w:t>
      </w:r>
      <w:r>
        <w:rPr>
          <w:rFonts w:hint="default" w:ascii="Times New Roman" w:hAnsi="Times New Roman" w:cs="Times New Roman"/>
          <w:b w:val="0"/>
          <w:bCs w:val="0"/>
          <w:sz w:val="20"/>
          <w:szCs w:val="20"/>
          <w:lang w:val="en-US" w:eastAsia="zh-CN"/>
        </w:rPr>
        <w:t>f OTA sensitivity should be defined considering all of the scenarios including self-interference, inter-site interference and inter-sector interference.</w:t>
      </w:r>
      <w:r>
        <w:rPr>
          <w:rFonts w:hint="eastAsia" w:ascii="Times New Roman" w:hAnsi="Times New Roman" w:cs="Times New Roman"/>
          <w:b w:val="0"/>
          <w:bCs w:val="0"/>
          <w:sz w:val="20"/>
          <w:szCs w:val="20"/>
          <w:lang w:val="en-US" w:eastAsia="zh-CN"/>
        </w:rPr>
        <w:t xml:space="preserve"> Sub-band selectivity requirements when Tx interference is within the same carrier should be discussed together with OTA sensitivity requirements. If </w:t>
      </w:r>
      <w:r>
        <w:rPr>
          <w:rFonts w:hint="default" w:ascii="Times New Roman" w:hAnsi="Times New Roman" w:cs="Times New Roman"/>
          <w:b w:val="0"/>
          <w:bCs w:val="0"/>
          <w:sz w:val="20"/>
          <w:szCs w:val="20"/>
          <w:lang w:val="en-US" w:eastAsia="zh-CN"/>
        </w:rPr>
        <w:t>OTA sensitivity</w:t>
      </w:r>
      <w:r>
        <w:rPr>
          <w:rFonts w:hint="eastAsia" w:ascii="Times New Roman" w:hAnsi="Times New Roman" w:cs="Times New Roman"/>
          <w:b w:val="0"/>
          <w:bCs w:val="0"/>
          <w:sz w:val="20"/>
          <w:szCs w:val="20"/>
          <w:lang w:val="en-US" w:eastAsia="zh-CN"/>
        </w:rPr>
        <w:t xml:space="preserve"> will consider encompass these sub-band interference, sub-band selectivity with Tx interference signal within carrier is not needed.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4: Sub-band selectivity requirements when Tx interference is within the same carrier can be discussed together with OTA sensitivity requirements. If </w:t>
      </w:r>
      <w:r>
        <w:rPr>
          <w:rFonts w:hint="default" w:ascii="Times New Roman" w:hAnsi="Times New Roman" w:cs="Times New Roman"/>
          <w:b/>
          <w:bCs/>
          <w:sz w:val="20"/>
          <w:szCs w:val="20"/>
          <w:lang w:val="en-US" w:eastAsia="zh-CN"/>
        </w:rPr>
        <w:t>OTA sensitivity</w:t>
      </w:r>
      <w:r>
        <w:rPr>
          <w:rFonts w:hint="eastAsia" w:ascii="Times New Roman" w:hAnsi="Times New Roman" w:cs="Times New Roman"/>
          <w:b/>
          <w:bCs/>
          <w:sz w:val="20"/>
          <w:szCs w:val="20"/>
          <w:lang w:val="en-US" w:eastAsia="zh-CN"/>
        </w:rPr>
        <w:t xml:space="preserve"> will encompass these sub-band interference, sub-band selectivity with Tx interference signal within carrier is not needed.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When Tx interference signal is in adjacent carrier, the same as discussed in section 2.3 for sub-band Tx leakage.</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highlight w:val="none"/>
          <w:lang w:val="en-US" w:eastAsia="zh-CN"/>
        </w:rPr>
        <w:t>Observation 5: RAN4 should at first identify the assumption of adjacent network performance for sub-band selectivity requirement definition, i.e. whether inter-operator using adjacent carrier follow 3GPP requirement or allow enhanced performance.</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SBFD RF requirements are discussed with following observations and proposals.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1: the transient period for SBFD should not be larger than legacy ON-OFF transient period. Besides, the transient period between SBFD reconfiguration should not be larger than the transient period from SBFD to non-SBFD.</w:t>
      </w:r>
    </w:p>
    <w:p>
      <w:pPr>
        <w:spacing w:after="156" w:afterLines="5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2: This sub-band Tx leakage falling into the same carrier can be discussed together with OTA sensitivity requirements.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Observation 3: RAN4 should at first identify the assumption of adjacent network performance for sub-band leakage requirement definition, i.e. whether inter-operator using adjacent carrier follow legacy 3GPP requirement or allow enhanced performance.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4: Sub-band selectivity requirements when Tx interference is within the same carrier can be discussed together with OTA sensitivity requirements. If </w:t>
      </w:r>
      <w:r>
        <w:rPr>
          <w:rFonts w:hint="default" w:ascii="Times New Roman" w:hAnsi="Times New Roman" w:cs="Times New Roman"/>
          <w:b/>
          <w:bCs/>
          <w:sz w:val="20"/>
          <w:szCs w:val="20"/>
          <w:lang w:val="en-US" w:eastAsia="zh-CN"/>
        </w:rPr>
        <w:t>OTA sensitivity</w:t>
      </w:r>
      <w:r>
        <w:rPr>
          <w:rFonts w:hint="eastAsia" w:ascii="Times New Roman" w:hAnsi="Times New Roman" w:cs="Times New Roman"/>
          <w:b/>
          <w:bCs/>
          <w:sz w:val="20"/>
          <w:szCs w:val="20"/>
          <w:lang w:val="en-US" w:eastAsia="zh-CN"/>
        </w:rPr>
        <w:t xml:space="preserve"> will encompass these sub-band interference, sub-band selectivity with Tx interference signal within carrier is not needed.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Observation 5: RAN4 should at first identify the assumption of adjacent network performance for sub-band selectivity requirement definition, i.e. whether inter-operator using adjacent carrier follow 3GPP requirement or allow enhanced performance.</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both sub-band selectivity and blocking requirements should be defined.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bCs/>
          <w:sz w:val="20"/>
          <w:szCs w:val="20"/>
          <w:highlight w:val="none"/>
          <w:lang w:val="en-US" w:eastAsia="zh-CN"/>
        </w:rPr>
      </w:pP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widowControl/>
        <w:overflowPunct w:val="0"/>
        <w:autoSpaceDE w:val="0"/>
        <w:autoSpaceDN w:val="0"/>
        <w:adjustRightInd w:val="0"/>
        <w:spacing w:after="180"/>
        <w:jc w:val="left"/>
        <w:textAlignment w:val="baseline"/>
        <w:rPr>
          <w:rFonts w:hint="eastAsia" w:ascii="Times New Roman" w:hAnsi="Times New Roman"/>
          <w:sz w:val="20"/>
          <w:szCs w:val="20"/>
          <w:lang w:val="en-US" w:eastAsia="zh-CN"/>
        </w:rPr>
      </w:pPr>
      <w:r>
        <w:rPr>
          <w:rFonts w:hint="eastAsia" w:ascii="Times New Roman" w:hAnsi="Times New Roman"/>
          <w:sz w:val="20"/>
          <w:szCs w:val="20"/>
        </w:rPr>
        <w:t xml:space="preserve">[1] </w:t>
      </w:r>
      <w:r>
        <w:rPr>
          <w:rFonts w:hint="eastAsia" w:ascii="Times New Roman" w:hAnsi="Times New Roman"/>
          <w:sz w:val="20"/>
          <w:szCs w:val="20"/>
          <w:lang w:val="en-US" w:eastAsia="zh-CN"/>
        </w:rPr>
        <w:t xml:space="preserve">TR 38.858, </w:t>
      </w:r>
    </w:p>
    <w:p>
      <w:pPr>
        <w:widowControl/>
        <w:overflowPunct w:val="0"/>
        <w:autoSpaceDE w:val="0"/>
        <w:autoSpaceDN w:val="0"/>
        <w:adjustRightInd w:val="0"/>
        <w:spacing w:after="180"/>
        <w:jc w:val="left"/>
        <w:textAlignment w:val="baseline"/>
        <w:rPr>
          <w:rFonts w:hint="default" w:ascii="Times New Roman" w:hAnsi="Times New Roman"/>
          <w:sz w:val="20"/>
          <w:szCs w:val="20"/>
          <w:lang w:val="en-US" w:eastAsia="zh-CN"/>
        </w:rPr>
      </w:pPr>
      <w:r>
        <w:rPr>
          <w:rFonts w:hint="eastAsia" w:ascii="Times New Roman" w:hAnsi="Times New Roman"/>
          <w:sz w:val="20"/>
          <w:szCs w:val="20"/>
          <w:lang w:val="en-US" w:eastAsia="zh-CN"/>
        </w:rPr>
        <w:t>[2] R4-2406107, Way Forward for [110bis][313] NR_duplex_evo, Samsung, #110bis meeting</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9AF7C"/>
    <w:multiLevelType w:val="multilevel"/>
    <w:tmpl w:val="BB69AF7C"/>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C365C1"/>
    <w:rsid w:val="01DE089D"/>
    <w:rsid w:val="020970C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9686A"/>
    <w:rsid w:val="076E27BD"/>
    <w:rsid w:val="0770402F"/>
    <w:rsid w:val="07BA06BE"/>
    <w:rsid w:val="07CA6B66"/>
    <w:rsid w:val="08973524"/>
    <w:rsid w:val="08A65D3D"/>
    <w:rsid w:val="0900762B"/>
    <w:rsid w:val="09626007"/>
    <w:rsid w:val="09993AB5"/>
    <w:rsid w:val="09F66D51"/>
    <w:rsid w:val="0ABA1F25"/>
    <w:rsid w:val="0ADD2F10"/>
    <w:rsid w:val="0AE962F7"/>
    <w:rsid w:val="0AF159BB"/>
    <w:rsid w:val="0B0758A7"/>
    <w:rsid w:val="0B1B4548"/>
    <w:rsid w:val="0B98539E"/>
    <w:rsid w:val="0BB17964"/>
    <w:rsid w:val="0BE65845"/>
    <w:rsid w:val="0BF0521B"/>
    <w:rsid w:val="0BFE4B3A"/>
    <w:rsid w:val="0C8D3125"/>
    <w:rsid w:val="0CCF7411"/>
    <w:rsid w:val="0D545798"/>
    <w:rsid w:val="0D624402"/>
    <w:rsid w:val="0DB4420C"/>
    <w:rsid w:val="0E037D57"/>
    <w:rsid w:val="0E1D4B35"/>
    <w:rsid w:val="0E5F68A3"/>
    <w:rsid w:val="0E7813A9"/>
    <w:rsid w:val="0EBE690E"/>
    <w:rsid w:val="0F1A117A"/>
    <w:rsid w:val="0F5116AE"/>
    <w:rsid w:val="0F596ABB"/>
    <w:rsid w:val="0F5F4247"/>
    <w:rsid w:val="0F6273CA"/>
    <w:rsid w:val="0F7D4B34"/>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350710"/>
    <w:rsid w:val="156354FD"/>
    <w:rsid w:val="15724A4B"/>
    <w:rsid w:val="157A51BC"/>
    <w:rsid w:val="15CD7D54"/>
    <w:rsid w:val="16371982"/>
    <w:rsid w:val="164B4D9F"/>
    <w:rsid w:val="168B5B89"/>
    <w:rsid w:val="16B91C11"/>
    <w:rsid w:val="16EF50D6"/>
    <w:rsid w:val="17133C9A"/>
    <w:rsid w:val="175862BF"/>
    <w:rsid w:val="17A04468"/>
    <w:rsid w:val="18135A10"/>
    <w:rsid w:val="18642373"/>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3D0B9B"/>
    <w:rsid w:val="1E76570A"/>
    <w:rsid w:val="1E884DB6"/>
    <w:rsid w:val="1EAC2B52"/>
    <w:rsid w:val="1EC47A07"/>
    <w:rsid w:val="1F1F489E"/>
    <w:rsid w:val="1F2F076D"/>
    <w:rsid w:val="1F383249"/>
    <w:rsid w:val="1FEF4A96"/>
    <w:rsid w:val="200A7D1E"/>
    <w:rsid w:val="201828B7"/>
    <w:rsid w:val="203D39F0"/>
    <w:rsid w:val="20817033"/>
    <w:rsid w:val="20990887"/>
    <w:rsid w:val="20EA2C10"/>
    <w:rsid w:val="21D70408"/>
    <w:rsid w:val="221E7789"/>
    <w:rsid w:val="228B3B2E"/>
    <w:rsid w:val="22D8243B"/>
    <w:rsid w:val="23037E47"/>
    <w:rsid w:val="23197958"/>
    <w:rsid w:val="235E2230"/>
    <w:rsid w:val="2370600B"/>
    <w:rsid w:val="24082B2D"/>
    <w:rsid w:val="241B0EB4"/>
    <w:rsid w:val="24513BF6"/>
    <w:rsid w:val="24683E4B"/>
    <w:rsid w:val="246C2851"/>
    <w:rsid w:val="24841763"/>
    <w:rsid w:val="2488042D"/>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F15616"/>
    <w:rsid w:val="2805016B"/>
    <w:rsid w:val="282A4CAC"/>
    <w:rsid w:val="286036CB"/>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8A2F49"/>
    <w:rsid w:val="2C9F3BCE"/>
    <w:rsid w:val="2CA64350"/>
    <w:rsid w:val="2CF4664D"/>
    <w:rsid w:val="2D4D79AC"/>
    <w:rsid w:val="2E9C0F87"/>
    <w:rsid w:val="2EB8044F"/>
    <w:rsid w:val="2EC16B9C"/>
    <w:rsid w:val="2EDF426C"/>
    <w:rsid w:val="2EEC4E92"/>
    <w:rsid w:val="2F1C0982"/>
    <w:rsid w:val="2F283914"/>
    <w:rsid w:val="2F747966"/>
    <w:rsid w:val="2FCB6344"/>
    <w:rsid w:val="2FEC1523"/>
    <w:rsid w:val="30524DF2"/>
    <w:rsid w:val="306308F3"/>
    <w:rsid w:val="306B7868"/>
    <w:rsid w:val="3099089E"/>
    <w:rsid w:val="31490DA5"/>
    <w:rsid w:val="315F5D75"/>
    <w:rsid w:val="317D1F9D"/>
    <w:rsid w:val="31E91E87"/>
    <w:rsid w:val="3243059C"/>
    <w:rsid w:val="325B51AB"/>
    <w:rsid w:val="32697D44"/>
    <w:rsid w:val="326D0948"/>
    <w:rsid w:val="328A5CFA"/>
    <w:rsid w:val="32C835E0"/>
    <w:rsid w:val="32DF7982"/>
    <w:rsid w:val="336E17F0"/>
    <w:rsid w:val="33D1180E"/>
    <w:rsid w:val="33E2230D"/>
    <w:rsid w:val="33FB26D9"/>
    <w:rsid w:val="351D0231"/>
    <w:rsid w:val="35962F2D"/>
    <w:rsid w:val="35B71496"/>
    <w:rsid w:val="35CC12CF"/>
    <w:rsid w:val="35D319E6"/>
    <w:rsid w:val="35E768F5"/>
    <w:rsid w:val="35F4081D"/>
    <w:rsid w:val="36075C31"/>
    <w:rsid w:val="36510879"/>
    <w:rsid w:val="372F46A7"/>
    <w:rsid w:val="37726C9D"/>
    <w:rsid w:val="379344BE"/>
    <w:rsid w:val="37B21027"/>
    <w:rsid w:val="37BD6848"/>
    <w:rsid w:val="37CC6816"/>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C365B8"/>
    <w:rsid w:val="3CD51844"/>
    <w:rsid w:val="3D08452F"/>
    <w:rsid w:val="3D5001A7"/>
    <w:rsid w:val="3D55441E"/>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733C91"/>
    <w:rsid w:val="42916AC5"/>
    <w:rsid w:val="42EB4612"/>
    <w:rsid w:val="431A5724"/>
    <w:rsid w:val="436807A8"/>
    <w:rsid w:val="439901E8"/>
    <w:rsid w:val="43EC12FF"/>
    <w:rsid w:val="43F11B33"/>
    <w:rsid w:val="43F17986"/>
    <w:rsid w:val="444678CE"/>
    <w:rsid w:val="44565A46"/>
    <w:rsid w:val="447E086E"/>
    <w:rsid w:val="44B37A44"/>
    <w:rsid w:val="44B454C5"/>
    <w:rsid w:val="44C125DD"/>
    <w:rsid w:val="44DD6689"/>
    <w:rsid w:val="44E7774D"/>
    <w:rsid w:val="45127C50"/>
    <w:rsid w:val="4524487F"/>
    <w:rsid w:val="45830A1B"/>
    <w:rsid w:val="458D51A8"/>
    <w:rsid w:val="459B4244"/>
    <w:rsid w:val="45A33E4B"/>
    <w:rsid w:val="45A94422"/>
    <w:rsid w:val="45CC5F92"/>
    <w:rsid w:val="465C2D4B"/>
    <w:rsid w:val="465C457C"/>
    <w:rsid w:val="46E67A01"/>
    <w:rsid w:val="47262D4B"/>
    <w:rsid w:val="47E2567D"/>
    <w:rsid w:val="47F00216"/>
    <w:rsid w:val="48FF25D1"/>
    <w:rsid w:val="49281A93"/>
    <w:rsid w:val="492F313E"/>
    <w:rsid w:val="495010D7"/>
    <w:rsid w:val="4955555E"/>
    <w:rsid w:val="49570A61"/>
    <w:rsid w:val="49E453DD"/>
    <w:rsid w:val="49EE4458"/>
    <w:rsid w:val="4A521971"/>
    <w:rsid w:val="4A772194"/>
    <w:rsid w:val="4A9C4E28"/>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5A1A99"/>
    <w:rsid w:val="4E723844"/>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FC46EA"/>
    <w:rsid w:val="5350703E"/>
    <w:rsid w:val="53645CDE"/>
    <w:rsid w:val="538C361F"/>
    <w:rsid w:val="53A46AC8"/>
    <w:rsid w:val="53A54549"/>
    <w:rsid w:val="53F47B4C"/>
    <w:rsid w:val="5403314B"/>
    <w:rsid w:val="544A4CD7"/>
    <w:rsid w:val="545309AA"/>
    <w:rsid w:val="54DE26CA"/>
    <w:rsid w:val="552827AD"/>
    <w:rsid w:val="55584783"/>
    <w:rsid w:val="55835CD9"/>
    <w:rsid w:val="558E2FA7"/>
    <w:rsid w:val="55B464A8"/>
    <w:rsid w:val="55BD2802"/>
    <w:rsid w:val="55F969E7"/>
    <w:rsid w:val="56024028"/>
    <w:rsid w:val="5616190A"/>
    <w:rsid w:val="567E13F4"/>
    <w:rsid w:val="56941399"/>
    <w:rsid w:val="569F71AC"/>
    <w:rsid w:val="56F83407"/>
    <w:rsid w:val="571F34FB"/>
    <w:rsid w:val="572210F5"/>
    <w:rsid w:val="572A730E"/>
    <w:rsid w:val="576146B9"/>
    <w:rsid w:val="577865C9"/>
    <w:rsid w:val="578F7CCE"/>
    <w:rsid w:val="57E1103B"/>
    <w:rsid w:val="58467715"/>
    <w:rsid w:val="587B1239"/>
    <w:rsid w:val="58B65B9B"/>
    <w:rsid w:val="593309E8"/>
    <w:rsid w:val="59BC0B47"/>
    <w:rsid w:val="59FB712C"/>
    <w:rsid w:val="5A050D40"/>
    <w:rsid w:val="5A8A0BF0"/>
    <w:rsid w:val="5AA83DCD"/>
    <w:rsid w:val="5B2F7529"/>
    <w:rsid w:val="5BBA168B"/>
    <w:rsid w:val="5BBD01B3"/>
    <w:rsid w:val="5CAC7D1A"/>
    <w:rsid w:val="5CCF11D3"/>
    <w:rsid w:val="5D1154C0"/>
    <w:rsid w:val="5D4A309B"/>
    <w:rsid w:val="5D7F7CF2"/>
    <w:rsid w:val="5D851C35"/>
    <w:rsid w:val="5E1A7EF1"/>
    <w:rsid w:val="5E2A018B"/>
    <w:rsid w:val="5E3A1833"/>
    <w:rsid w:val="5EA04BEE"/>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50047D"/>
    <w:rsid w:val="63B41D56"/>
    <w:rsid w:val="640E1B35"/>
    <w:rsid w:val="6412053C"/>
    <w:rsid w:val="64430D0B"/>
    <w:rsid w:val="644E6752"/>
    <w:rsid w:val="648065F1"/>
    <w:rsid w:val="65046BCA"/>
    <w:rsid w:val="650A2CD2"/>
    <w:rsid w:val="651D6610"/>
    <w:rsid w:val="6566621E"/>
    <w:rsid w:val="65821697"/>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B483A91"/>
    <w:rsid w:val="6B6320BC"/>
    <w:rsid w:val="6B9F60AC"/>
    <w:rsid w:val="6C0A3B4F"/>
    <w:rsid w:val="6C254067"/>
    <w:rsid w:val="6C3426E1"/>
    <w:rsid w:val="6C7A1884"/>
    <w:rsid w:val="6D031B69"/>
    <w:rsid w:val="6D172A07"/>
    <w:rsid w:val="6D2E4BAB"/>
    <w:rsid w:val="6D63623C"/>
    <w:rsid w:val="6D70388A"/>
    <w:rsid w:val="6D853006"/>
    <w:rsid w:val="6E123F24"/>
    <w:rsid w:val="6E3B72E7"/>
    <w:rsid w:val="6E680DA5"/>
    <w:rsid w:val="6EA0288E"/>
    <w:rsid w:val="6EE509F4"/>
    <w:rsid w:val="6F023405"/>
    <w:rsid w:val="6F25039A"/>
    <w:rsid w:val="6F2F13D2"/>
    <w:rsid w:val="6F5C614F"/>
    <w:rsid w:val="6F9E36AB"/>
    <w:rsid w:val="6FBC2EB1"/>
    <w:rsid w:val="70623166"/>
    <w:rsid w:val="709C35CE"/>
    <w:rsid w:val="70B30FF5"/>
    <w:rsid w:val="70F86AD9"/>
    <w:rsid w:val="71032079"/>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DEF708E"/>
    <w:rsid w:val="7E4C3A0F"/>
    <w:rsid w:val="7E4C3A98"/>
    <w:rsid w:val="7E9A0203"/>
    <w:rsid w:val="7E9E07CB"/>
    <w:rsid w:val="7EA426D4"/>
    <w:rsid w:val="7EDD5D31"/>
    <w:rsid w:val="7EFD70B3"/>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5"/>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49"/>
    <w:semiHidden/>
    <w:unhideWhenUsed/>
    <w:qFormat/>
    <w:uiPriority w:val="9"/>
    <w:pPr>
      <w:keepNext/>
      <w:keepLines/>
      <w:spacing w:before="280" w:after="290" w:line="376" w:lineRule="auto"/>
      <w:outlineLvl w:val="4"/>
    </w:pPr>
    <w:rPr>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8"/>
    <w:semiHidden/>
    <w:unhideWhenUsed/>
    <w:qFormat/>
    <w:uiPriority w:val="99"/>
    <w:rPr>
      <w:rFonts w:ascii="宋体"/>
      <w:sz w:val="18"/>
      <w:szCs w:val="18"/>
    </w:rPr>
  </w:style>
  <w:style w:type="paragraph" w:styleId="8">
    <w:name w:val="annotation text"/>
    <w:basedOn w:val="1"/>
    <w:link w:val="36"/>
    <w:unhideWhenUsed/>
    <w:qFormat/>
    <w:uiPriority w:val="0"/>
    <w:pPr>
      <w:jc w:val="left"/>
    </w:p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8"/>
    <w:next w:val="8"/>
    <w:link w:val="37"/>
    <w:semiHidden/>
    <w:unhideWhenUsed/>
    <w:qFormat/>
    <w:uiPriority w:val="99"/>
    <w:rPr>
      <w:b/>
      <w:bCs/>
    </w:rPr>
  </w:style>
  <w:style w:type="table" w:styleId="16">
    <w:name w:val="Table Grid"/>
    <w:basedOn w:val="15"/>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unhideWhenUsed/>
    <w:qFormat/>
    <w:uiPriority w:val="99"/>
    <w:rPr>
      <w:color w:val="0000FF"/>
      <w:u w:val="single"/>
    </w:rPr>
  </w:style>
  <w:style w:type="character" w:styleId="19">
    <w:name w:val="annotation reference"/>
    <w:basedOn w:val="17"/>
    <w:unhideWhenUsed/>
    <w:qFormat/>
    <w:uiPriority w:val="99"/>
    <w:rPr>
      <w:sz w:val="21"/>
      <w:szCs w:val="21"/>
    </w:rPr>
  </w:style>
  <w:style w:type="character" w:customStyle="1" w:styleId="20">
    <w:name w:val="Header Char"/>
    <w:basedOn w:val="17"/>
    <w:link w:val="11"/>
    <w:qFormat/>
    <w:uiPriority w:val="99"/>
    <w:rPr>
      <w:sz w:val="18"/>
      <w:szCs w:val="18"/>
    </w:rPr>
  </w:style>
  <w:style w:type="character" w:customStyle="1" w:styleId="21">
    <w:name w:val="Footer Char"/>
    <w:basedOn w:val="17"/>
    <w:link w:val="10"/>
    <w:qFormat/>
    <w:uiPriority w:val="99"/>
    <w:rPr>
      <w:sz w:val="18"/>
      <w:szCs w:val="18"/>
    </w:rPr>
  </w:style>
  <w:style w:type="character" w:customStyle="1" w:styleId="22">
    <w:name w:val="Char Char"/>
    <w:link w:val="23"/>
    <w:qFormat/>
    <w:uiPriority w:val="0"/>
    <w:rPr>
      <w:rFonts w:ascii="Arial" w:hAnsi="Arial"/>
      <w:sz w:val="32"/>
      <w:szCs w:val="36"/>
    </w:rPr>
  </w:style>
  <w:style w:type="paragraph" w:customStyle="1" w:styleId="23">
    <w:name w:val="Char"/>
    <w:basedOn w:val="24"/>
    <w:link w:val="22"/>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4">
    <w:name w:val="List Paragraph"/>
    <w:basedOn w:val="1"/>
    <w:link w:val="40"/>
    <w:qFormat/>
    <w:uiPriority w:val="34"/>
    <w:pPr>
      <w:ind w:firstLine="420" w:firstLineChars="200"/>
    </w:pPr>
  </w:style>
  <w:style w:type="character" w:customStyle="1" w:styleId="25">
    <w:name w:val="TAH Car"/>
    <w:link w:val="26"/>
    <w:qFormat/>
    <w:uiPriority w:val="0"/>
    <w:rPr>
      <w:rFonts w:ascii="Arial" w:hAnsi="Arial" w:eastAsia="Times New Roman" w:cs="Times New Roman"/>
      <w:b/>
      <w:kern w:val="0"/>
      <w:sz w:val="18"/>
      <w:szCs w:val="20"/>
      <w:lang w:val="en-GB" w:eastAsia="ja-JP"/>
    </w:rPr>
  </w:style>
  <w:style w:type="paragraph" w:customStyle="1" w:styleId="26">
    <w:name w:val="TAH"/>
    <w:basedOn w:val="27"/>
    <w:link w:val="25"/>
    <w:qFormat/>
    <w:uiPriority w:val="0"/>
    <w:rPr>
      <w:b/>
    </w:rPr>
  </w:style>
  <w:style w:type="paragraph" w:customStyle="1" w:styleId="27">
    <w:name w:val="TAC"/>
    <w:basedOn w:val="28"/>
    <w:link w:val="31"/>
    <w:qFormat/>
    <w:uiPriority w:val="0"/>
    <w:pPr>
      <w:overflowPunct w:val="0"/>
      <w:autoSpaceDE w:val="0"/>
      <w:autoSpaceDN w:val="0"/>
      <w:adjustRightInd w:val="0"/>
      <w:jc w:val="center"/>
      <w:textAlignment w:val="baseline"/>
    </w:pPr>
    <w:rPr>
      <w:lang w:eastAsia="ja-JP"/>
    </w:rPr>
  </w:style>
  <w:style w:type="paragraph" w:customStyle="1" w:styleId="28">
    <w:name w:val="TAL"/>
    <w:basedOn w:val="1"/>
    <w:link w:val="35"/>
    <w:qFormat/>
    <w:uiPriority w:val="0"/>
    <w:pPr>
      <w:keepNext/>
      <w:keepLines/>
      <w:widowControl/>
      <w:jc w:val="left"/>
    </w:pPr>
    <w:rPr>
      <w:rFonts w:ascii="Arial" w:hAnsi="Arial" w:eastAsia="Times New Roman"/>
      <w:kern w:val="0"/>
      <w:sz w:val="18"/>
      <w:szCs w:val="20"/>
      <w:lang w:val="en-GB" w:eastAsia="en-US"/>
    </w:rPr>
  </w:style>
  <w:style w:type="character" w:customStyle="1" w:styleId="29">
    <w:name w:val="B1 Char"/>
    <w:link w:val="30"/>
    <w:qFormat/>
    <w:uiPriority w:val="0"/>
    <w:rPr>
      <w:rFonts w:ascii="Times New Roman" w:hAnsi="Times New Roman" w:eastAsia="MS Mincho"/>
      <w:lang w:val="en-GB" w:eastAsia="de-DE"/>
    </w:rPr>
  </w:style>
  <w:style w:type="paragraph" w:customStyle="1" w:styleId="30">
    <w:name w:val="B1"/>
    <w:basedOn w:val="12"/>
    <w:link w:val="29"/>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1">
    <w:name w:val="TAC Char"/>
    <w:link w:val="27"/>
    <w:qFormat/>
    <w:uiPriority w:val="0"/>
    <w:rPr>
      <w:rFonts w:ascii="Arial" w:hAnsi="Arial" w:eastAsia="Times New Roman" w:cs="Times New Roman"/>
      <w:kern w:val="0"/>
      <w:sz w:val="18"/>
      <w:szCs w:val="20"/>
      <w:lang w:val="en-GB" w:eastAsia="ja-JP"/>
    </w:rPr>
  </w:style>
  <w:style w:type="paragraph" w:styleId="32">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3">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4">
    <w:name w:val="Balloon Text Char"/>
    <w:basedOn w:val="17"/>
    <w:link w:val="9"/>
    <w:semiHidden/>
    <w:qFormat/>
    <w:uiPriority w:val="99"/>
    <w:rPr>
      <w:rFonts w:ascii="CG Times (WN)" w:hAnsi="CG Times (WN)" w:eastAsia="宋体" w:cs="Times New Roman"/>
      <w:sz w:val="18"/>
      <w:szCs w:val="18"/>
    </w:rPr>
  </w:style>
  <w:style w:type="character" w:customStyle="1" w:styleId="35">
    <w:name w:val="TAL Char"/>
    <w:link w:val="28"/>
    <w:qFormat/>
    <w:uiPriority w:val="0"/>
    <w:rPr>
      <w:rFonts w:ascii="Arial" w:hAnsi="Arial" w:eastAsia="Times New Roman" w:cs="Times New Roman"/>
      <w:kern w:val="0"/>
      <w:sz w:val="18"/>
      <w:szCs w:val="20"/>
      <w:lang w:val="en-GB" w:eastAsia="en-US"/>
    </w:rPr>
  </w:style>
  <w:style w:type="character" w:customStyle="1" w:styleId="36">
    <w:name w:val="Comment Text Char"/>
    <w:basedOn w:val="17"/>
    <w:link w:val="8"/>
    <w:qFormat/>
    <w:uiPriority w:val="0"/>
    <w:rPr>
      <w:rFonts w:ascii="CG Times (WN)" w:hAnsi="CG Times (WN)" w:eastAsia="宋体" w:cs="Times New Roman"/>
    </w:rPr>
  </w:style>
  <w:style w:type="character" w:customStyle="1" w:styleId="37">
    <w:name w:val="Comment Subject Char"/>
    <w:basedOn w:val="36"/>
    <w:link w:val="14"/>
    <w:semiHidden/>
    <w:qFormat/>
    <w:uiPriority w:val="99"/>
    <w:rPr>
      <w:rFonts w:ascii="CG Times (WN)" w:hAnsi="CG Times (WN)" w:eastAsia="宋体" w:cs="Times New Roman"/>
      <w:b/>
      <w:bCs/>
    </w:rPr>
  </w:style>
  <w:style w:type="character" w:customStyle="1" w:styleId="38">
    <w:name w:val="Document Map Char"/>
    <w:basedOn w:val="17"/>
    <w:link w:val="7"/>
    <w:semiHidden/>
    <w:qFormat/>
    <w:uiPriority w:val="99"/>
    <w:rPr>
      <w:rFonts w:ascii="宋体" w:hAnsi="CG Times (WN)" w:eastAsia="宋体" w:cs="Times New Roman"/>
      <w:sz w:val="18"/>
      <w:szCs w:val="18"/>
    </w:rPr>
  </w:style>
  <w:style w:type="character" w:customStyle="1" w:styleId="39">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0">
    <w:name w:val="List Paragraph Char"/>
    <w:link w:val="24"/>
    <w:qFormat/>
    <w:uiPriority w:val="34"/>
    <w:rPr>
      <w:rFonts w:ascii="CG Times (WN)" w:hAnsi="CG Times (WN)" w:eastAsia="宋体" w:cs="Times New Roma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2">
    <w:name w:val="Heading 2 Char"/>
    <w:basedOn w:val="17"/>
    <w:link w:val="3"/>
    <w:qFormat/>
    <w:uiPriority w:val="9"/>
    <w:rPr>
      <w:rFonts w:asciiTheme="majorHAnsi" w:hAnsiTheme="majorHAnsi" w:eastAsiaTheme="majorEastAsia" w:cstheme="majorBidi"/>
      <w:b/>
      <w:bCs/>
      <w:sz w:val="32"/>
      <w:szCs w:val="32"/>
    </w:rPr>
  </w:style>
  <w:style w:type="table" w:customStyle="1" w:styleId="43">
    <w:name w:val="网格型1"/>
    <w:basedOn w:val="15"/>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
    <w:name w:val="网格型2"/>
    <w:basedOn w:val="15"/>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5">
    <w:name w:val="Heading 3 Char"/>
    <w:basedOn w:val="17"/>
    <w:link w:val="4"/>
    <w:qFormat/>
    <w:uiPriority w:val="9"/>
    <w:rPr>
      <w:rFonts w:ascii="Arial" w:hAnsi="Arial" w:eastAsia="Arial Unicode MS" w:cs="Times New Roman"/>
      <w:bCs/>
      <w:sz w:val="30"/>
      <w:szCs w:val="32"/>
    </w:rPr>
  </w:style>
  <w:style w:type="table" w:customStyle="1" w:styleId="46">
    <w:name w:val="网格型3"/>
    <w:basedOn w:val="15"/>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laceholder Text"/>
    <w:basedOn w:val="17"/>
    <w:semiHidden/>
    <w:qFormat/>
    <w:uiPriority w:val="99"/>
    <w:rPr>
      <w:color w:val="808080"/>
    </w:rPr>
  </w:style>
  <w:style w:type="table" w:customStyle="1" w:styleId="48">
    <w:name w:val="Table Grid1"/>
    <w:basedOn w:val="15"/>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
    <w:name w:val="Heading 5 Char"/>
    <w:basedOn w:val="17"/>
    <w:link w:val="5"/>
    <w:semiHidden/>
    <w:qFormat/>
    <w:uiPriority w:val="9"/>
    <w:rPr>
      <w:rFonts w:ascii="CG Times (WN)" w:hAnsi="CG Times (WN)" w:eastAsia="宋体" w:cs="Times New Roman"/>
      <w:b/>
      <w:bCs/>
      <w:sz w:val="28"/>
      <w:szCs w:val="28"/>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
    <w:qFormat/>
    <w:uiPriority w:val="0"/>
    <w:pPr>
      <w:ind w:left="851"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0</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2024-05-13T11:12:37Z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