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7CDF57CD"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C2704B">
        <w:rPr>
          <w:rFonts w:cs="Arial"/>
          <w:sz w:val="24"/>
          <w:szCs w:val="24"/>
          <w:lang w:val="de-DE"/>
        </w:rPr>
        <w:t>1</w:t>
      </w:r>
      <w:r w:rsidR="00006351" w:rsidRPr="00DB3907">
        <w:rPr>
          <w:rFonts w:cs="Arial"/>
          <w:sz w:val="24"/>
          <w:szCs w:val="24"/>
          <w:lang w:val="de-DE"/>
        </w:rPr>
        <w:tab/>
      </w:r>
      <w:r w:rsidR="000E255E" w:rsidRPr="000E255E">
        <w:rPr>
          <w:rFonts w:cs="Arial"/>
          <w:sz w:val="24"/>
          <w:szCs w:val="24"/>
          <w:lang w:val="de-DE"/>
        </w:rPr>
        <w:t>R4-2409063</w:t>
      </w:r>
    </w:p>
    <w:p w14:paraId="1BDB0B17" w14:textId="5BA62F9C" w:rsidR="007B2CE0" w:rsidRPr="00C3099F" w:rsidRDefault="00C2704B" w:rsidP="00C3099F">
      <w:pPr>
        <w:tabs>
          <w:tab w:val="left" w:pos="1985"/>
        </w:tabs>
        <w:spacing w:after="0"/>
        <w:jc w:val="both"/>
        <w:rPr>
          <w:rFonts w:ascii="Arial" w:eastAsia="MS Mincho" w:hAnsi="Arial" w:cs="Arial"/>
          <w:b/>
          <w:sz w:val="24"/>
          <w:szCs w:val="24"/>
          <w:lang w:eastAsia="zh-TW"/>
        </w:rPr>
      </w:pPr>
      <w:r w:rsidRPr="00C2704B">
        <w:rPr>
          <w:rFonts w:ascii="Arial" w:hAnsi="Arial"/>
          <w:b/>
          <w:sz w:val="24"/>
          <w:szCs w:val="24"/>
          <w:lang w:eastAsia="zh-CN"/>
        </w:rPr>
        <w:t>Fukuoka, Japan, 20th – 24th May, 2024</w:t>
      </w:r>
      <w:r w:rsidR="001674F2" w:rsidRPr="001674F2">
        <w:rPr>
          <w:rFonts w:ascii="Arial" w:hAnsi="Arial"/>
          <w:b/>
          <w:sz w:val="24"/>
          <w:szCs w:val="24"/>
          <w:lang w:eastAsia="zh-CN"/>
        </w:rPr>
        <w:cr/>
      </w:r>
    </w:p>
    <w:p w14:paraId="16783F2C" w14:textId="0A446A84"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F779C8">
        <w:rPr>
          <w:rFonts w:ascii="Arial" w:hAnsi="Arial"/>
          <w:sz w:val="24"/>
          <w:lang w:val="en-US"/>
        </w:rPr>
        <w:t>1</w:t>
      </w:r>
      <w:r w:rsidR="00C2704B">
        <w:rPr>
          <w:rFonts w:ascii="Arial" w:hAnsi="Arial"/>
          <w:sz w:val="24"/>
          <w:lang w:val="en-US"/>
        </w:rPr>
        <w:t>0</w:t>
      </w:r>
      <w:r w:rsidR="00F779C8">
        <w:rPr>
          <w:rFonts w:ascii="Arial" w:hAnsi="Arial"/>
          <w:sz w:val="24"/>
          <w:lang w:val="en-US"/>
        </w:rPr>
        <w:t>.</w:t>
      </w:r>
      <w:r w:rsidR="0035120D">
        <w:rPr>
          <w:rFonts w:ascii="Arial" w:hAnsi="Arial"/>
          <w:sz w:val="24"/>
          <w:lang w:val="en-US"/>
        </w:rPr>
        <w:t>3.</w:t>
      </w:r>
      <w:r w:rsidR="00CC3BB4">
        <w:rPr>
          <w:rFonts w:ascii="Arial" w:hAnsi="Arial"/>
          <w:sz w:val="24"/>
          <w:lang w:val="en-US"/>
        </w:rPr>
        <w:t>3</w:t>
      </w:r>
    </w:p>
    <w:p w14:paraId="1E1C2FD0" w14:textId="23405718"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 Inc</w:t>
      </w:r>
      <w:r w:rsidR="00BD4D42">
        <w:rPr>
          <w:rFonts w:ascii="Arial" w:hAnsi="Arial"/>
          <w:sz w:val="24"/>
          <w:lang w:val="en-US"/>
        </w:rPr>
        <w:t>.</w:t>
      </w:r>
    </w:p>
    <w:p w14:paraId="3A62F436" w14:textId="532EAEC6"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507DF9">
        <w:rPr>
          <w:rFonts w:ascii="Arial" w:hAnsi="Arial"/>
          <w:sz w:val="24"/>
          <w:lang w:val="en-US"/>
        </w:rPr>
        <w:t xml:space="preserve">IMT parameters for </w:t>
      </w:r>
      <w:r w:rsidR="00A32E79">
        <w:rPr>
          <w:rFonts w:ascii="Arial" w:hAnsi="Arial"/>
          <w:sz w:val="24"/>
          <w:lang w:val="en-US"/>
        </w:rPr>
        <w:t>7125</w:t>
      </w:r>
      <w:r w:rsidR="00507DF9">
        <w:rPr>
          <w:rFonts w:ascii="Arial" w:hAnsi="Arial"/>
          <w:sz w:val="24"/>
          <w:lang w:val="en-US"/>
        </w:rPr>
        <w:t xml:space="preserve"> to </w:t>
      </w:r>
      <w:r w:rsidR="00A32E79">
        <w:rPr>
          <w:rFonts w:ascii="Arial" w:hAnsi="Arial"/>
          <w:sz w:val="24"/>
          <w:lang w:val="en-US"/>
        </w:rPr>
        <w:t>84</w:t>
      </w:r>
      <w:r w:rsidR="00507DF9">
        <w:rPr>
          <w:rFonts w:ascii="Arial" w:hAnsi="Arial"/>
          <w:sz w:val="24"/>
          <w:lang w:val="en-US"/>
        </w:rPr>
        <w:t>00MHz</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0623814D" w14:textId="5F070B0A" w:rsidR="00131263" w:rsidRDefault="00507DF9" w:rsidP="00131263">
      <w:pPr>
        <w:jc w:val="both"/>
        <w:rPr>
          <w:lang w:val="en-US"/>
        </w:rPr>
      </w:pPr>
      <w:r>
        <w:rPr>
          <w:lang w:val="en-US" w:eastAsia="zh-TW"/>
        </w:rPr>
        <w:t xml:space="preserve">In the latest </w:t>
      </w:r>
      <w:r w:rsidRPr="00507DF9">
        <w:rPr>
          <w:lang w:val="en-US"/>
        </w:rPr>
        <w:t>World Radiocommunication Conference 2023 (WRC-23)</w:t>
      </w:r>
      <w:r w:rsidR="002F198B">
        <w:rPr>
          <w:lang w:val="en-US"/>
        </w:rPr>
        <w:t xml:space="preserve"> meeting</w:t>
      </w:r>
      <w:r w:rsidRPr="00507DF9">
        <w:rPr>
          <w:lang w:val="en-US"/>
        </w:rPr>
        <w:t>,</w:t>
      </w:r>
      <w:r w:rsidR="002F198B">
        <w:rPr>
          <w:lang w:val="en-US"/>
        </w:rPr>
        <w:t xml:space="preserve"> </w:t>
      </w:r>
      <w:r w:rsidR="002F198B" w:rsidRPr="00507DF9">
        <w:rPr>
          <w:lang w:val="en-US"/>
        </w:rPr>
        <w:t>three frequency ranges (4400-4800 MHz, 7125-8400 MHz, and 14800-15350 MHz)</w:t>
      </w:r>
      <w:r w:rsidR="002F198B">
        <w:rPr>
          <w:lang w:val="en-US"/>
        </w:rPr>
        <w:t xml:space="preserve"> are identified </w:t>
      </w:r>
      <w:r w:rsidR="002F198B" w:rsidRPr="00507DF9">
        <w:rPr>
          <w:lang w:val="en-US"/>
        </w:rPr>
        <w:t>as potential candidates</w:t>
      </w:r>
      <w:r w:rsidR="002F198B">
        <w:rPr>
          <w:lang w:val="en-US"/>
        </w:rPr>
        <w:t xml:space="preserve"> for IMT-2030. </w:t>
      </w:r>
      <w:r w:rsidR="002F198B" w:rsidRPr="00507DF9">
        <w:rPr>
          <w:lang w:val="en-US"/>
        </w:rPr>
        <w:t>ITU-R Working Party 5D (WP5D</w:t>
      </w:r>
      <w:r w:rsidR="002F198B">
        <w:rPr>
          <w:lang w:val="en-US"/>
        </w:rPr>
        <w:t>)</w:t>
      </w:r>
      <w:r w:rsidR="002F198B" w:rsidRPr="002F198B">
        <w:rPr>
          <w:lang w:val="en-US"/>
        </w:rPr>
        <w:t xml:space="preserve"> </w:t>
      </w:r>
      <w:r w:rsidR="002F198B" w:rsidRPr="00507DF9">
        <w:rPr>
          <w:lang w:val="en-US"/>
        </w:rPr>
        <w:t>was tasked with conducting sharing and compatibility studies</w:t>
      </w:r>
      <w:r w:rsidR="00131263">
        <w:rPr>
          <w:lang w:val="en-US"/>
        </w:rPr>
        <w:t>, and a</w:t>
      </w:r>
      <w:r w:rsidR="002F198B">
        <w:rPr>
          <w:lang w:val="en-US"/>
        </w:rPr>
        <w:t xml:space="preserve"> LS [</w:t>
      </w:r>
      <w:r w:rsidR="00131263">
        <w:rPr>
          <w:lang w:val="en-US"/>
        </w:rPr>
        <w:t>1</w:t>
      </w:r>
      <w:r w:rsidR="002F198B">
        <w:rPr>
          <w:lang w:val="en-US"/>
        </w:rPr>
        <w:t xml:space="preserve">] </w:t>
      </w:r>
      <w:r w:rsidR="00131263">
        <w:rPr>
          <w:lang w:val="en-US"/>
        </w:rPr>
        <w:t>was sent to</w:t>
      </w:r>
      <w:r w:rsidR="002F198B">
        <w:rPr>
          <w:lang w:val="en-US"/>
        </w:rPr>
        <w:t xml:space="preserve"> </w:t>
      </w:r>
      <w:r w:rsidR="00131263">
        <w:rPr>
          <w:lang w:val="en-US"/>
        </w:rPr>
        <w:t xml:space="preserve">request </w:t>
      </w:r>
      <w:r w:rsidR="002F198B">
        <w:rPr>
          <w:lang w:val="en-US"/>
        </w:rPr>
        <w:t xml:space="preserve">RAN4 </w:t>
      </w:r>
      <w:r w:rsidR="00834B48">
        <w:rPr>
          <w:lang w:val="en-US"/>
        </w:rPr>
        <w:t xml:space="preserve">to </w:t>
      </w:r>
      <w:r w:rsidR="00131263">
        <w:rPr>
          <w:lang w:val="en-US"/>
        </w:rPr>
        <w:t>provid</w:t>
      </w:r>
      <w:r w:rsidR="00834B48">
        <w:rPr>
          <w:lang w:val="en-US"/>
        </w:rPr>
        <w:t>e</w:t>
      </w:r>
      <w:r w:rsidR="002F198B">
        <w:rPr>
          <w:lang w:val="en-US"/>
        </w:rPr>
        <w:t xml:space="preserve"> technical parameters for these candidate frequency range.</w:t>
      </w:r>
      <w:r w:rsidR="002F198B">
        <w:rPr>
          <w:rFonts w:hint="eastAsia"/>
          <w:lang w:val="en-US" w:eastAsia="zh-TW"/>
        </w:rPr>
        <w:t xml:space="preserve"> </w:t>
      </w:r>
      <w:r w:rsidR="00131263" w:rsidRPr="00507DF9">
        <w:rPr>
          <w:lang w:val="en-US"/>
        </w:rPr>
        <w:t xml:space="preserve">In response, a </w:t>
      </w:r>
      <w:r w:rsidR="00131263">
        <w:rPr>
          <w:lang w:val="en-US"/>
        </w:rPr>
        <w:t>s</w:t>
      </w:r>
      <w:r w:rsidR="00131263" w:rsidRPr="00507DF9">
        <w:rPr>
          <w:lang w:val="en-US"/>
        </w:rPr>
        <w:t xml:space="preserve">tudy </w:t>
      </w:r>
      <w:r w:rsidR="00131263">
        <w:rPr>
          <w:lang w:val="en-US"/>
        </w:rPr>
        <w:t>i</w:t>
      </w:r>
      <w:r w:rsidR="00131263" w:rsidRPr="00507DF9">
        <w:rPr>
          <w:lang w:val="en-US"/>
        </w:rPr>
        <w:t xml:space="preserve">tem </w:t>
      </w:r>
      <w:r w:rsidR="00131263">
        <w:rPr>
          <w:lang w:val="en-US"/>
        </w:rPr>
        <w:t>[</w:t>
      </w:r>
      <w:r w:rsidR="00BE579C">
        <w:rPr>
          <w:lang w:val="en-US"/>
        </w:rPr>
        <w:t>2</w:t>
      </w:r>
      <w:r w:rsidR="00131263">
        <w:rPr>
          <w:lang w:val="en-US"/>
        </w:rPr>
        <w:t xml:space="preserve">] </w:t>
      </w:r>
      <w:r w:rsidR="005836E6">
        <w:rPr>
          <w:lang w:val="en-US"/>
        </w:rPr>
        <w:t>for</w:t>
      </w:r>
      <w:r w:rsidR="00131263" w:rsidRPr="00507DF9">
        <w:rPr>
          <w:lang w:val="en-US"/>
        </w:rPr>
        <w:t xml:space="preserve"> the</w:t>
      </w:r>
      <w:r w:rsidR="00131263">
        <w:rPr>
          <w:lang w:val="en-US"/>
        </w:rPr>
        <w:t>se</w:t>
      </w:r>
      <w:r w:rsidR="00131263" w:rsidRPr="00507DF9">
        <w:rPr>
          <w:lang w:val="en-US"/>
        </w:rPr>
        <w:t xml:space="preserve"> </w:t>
      </w:r>
      <w:r w:rsidR="00131263">
        <w:rPr>
          <w:lang w:val="en-US"/>
        </w:rPr>
        <w:t>IMT</w:t>
      </w:r>
      <w:r w:rsidR="00131263" w:rsidRPr="00507DF9">
        <w:rPr>
          <w:lang w:val="en-US"/>
        </w:rPr>
        <w:t xml:space="preserve"> technical parameters</w:t>
      </w:r>
      <w:r w:rsidR="00131263">
        <w:rPr>
          <w:lang w:val="en-US"/>
        </w:rPr>
        <w:t xml:space="preserve"> </w:t>
      </w:r>
      <w:r w:rsidR="005836E6">
        <w:rPr>
          <w:lang w:val="en-US"/>
        </w:rPr>
        <w:t>has been</w:t>
      </w:r>
      <w:r w:rsidR="00131263">
        <w:rPr>
          <w:lang w:val="en-US"/>
        </w:rPr>
        <w:t xml:space="preserve"> approved in </w:t>
      </w:r>
      <w:r w:rsidR="00131263" w:rsidRPr="00507DF9">
        <w:rPr>
          <w:lang w:val="en-US"/>
        </w:rPr>
        <w:t xml:space="preserve">RAN#103. </w:t>
      </w:r>
      <w:r w:rsidR="00834B48">
        <w:rPr>
          <w:lang w:val="en-US"/>
        </w:rPr>
        <w:t>The objective of the WID is shown as follows.</w:t>
      </w:r>
    </w:p>
    <w:tbl>
      <w:tblPr>
        <w:tblStyle w:val="TableGrid"/>
        <w:tblW w:w="0" w:type="auto"/>
        <w:tblLook w:val="04A0" w:firstRow="1" w:lastRow="0" w:firstColumn="1" w:lastColumn="0" w:noHBand="0" w:noVBand="1"/>
      </w:tblPr>
      <w:tblGrid>
        <w:gridCol w:w="9621"/>
      </w:tblGrid>
      <w:tr w:rsidR="00131263" w14:paraId="65F4902E" w14:textId="77777777" w:rsidTr="00C93874">
        <w:tc>
          <w:tcPr>
            <w:tcW w:w="9621" w:type="dxa"/>
          </w:tcPr>
          <w:p w14:paraId="7C304417" w14:textId="77777777" w:rsidR="00834B48" w:rsidRDefault="00834B48" w:rsidP="00834B48">
            <w:pPr>
              <w:spacing w:after="0"/>
              <w:rPr>
                <w:bCs/>
              </w:rPr>
            </w:pPr>
            <w:r>
              <w:rPr>
                <w:bCs/>
              </w:rPr>
              <w:t xml:space="preserve">The following objectives are defined for the frequency ranges in question: </w:t>
            </w:r>
          </w:p>
          <w:p w14:paraId="62B1188B" w14:textId="77777777" w:rsidR="00834B48" w:rsidRDefault="00834B48" w:rsidP="00834B48">
            <w:pPr>
              <w:spacing w:after="0"/>
              <w:rPr>
                <w:bCs/>
              </w:rPr>
            </w:pPr>
          </w:p>
          <w:p w14:paraId="3F0785CE" w14:textId="77777777" w:rsidR="00834B48" w:rsidRPr="006B5206" w:rsidRDefault="00834B48" w:rsidP="00834B48">
            <w:pPr>
              <w:numPr>
                <w:ilvl w:val="0"/>
                <w:numId w:val="56"/>
              </w:numPr>
              <w:overflowPunct w:val="0"/>
              <w:autoSpaceDE w:val="0"/>
              <w:autoSpaceDN w:val="0"/>
              <w:adjustRightInd w:val="0"/>
              <w:spacing w:after="0"/>
              <w:textAlignment w:val="baseline"/>
              <w:rPr>
                <w:bCs/>
                <w:highlight w:val="yellow"/>
              </w:rPr>
            </w:pPr>
            <w:r w:rsidRPr="006B5206">
              <w:rPr>
                <w:bCs/>
                <w:highlight w:val="yellow"/>
              </w:rPr>
              <w:t>Study the IMT parameters relevant for sharing and compatibility for 7125 to 8400 MHz frequency range.</w:t>
            </w:r>
          </w:p>
          <w:p w14:paraId="1EA50C99" w14:textId="77777777" w:rsidR="00834B48" w:rsidRDefault="00834B48" w:rsidP="00834B48">
            <w:pPr>
              <w:numPr>
                <w:ilvl w:val="0"/>
                <w:numId w:val="56"/>
              </w:numPr>
              <w:overflowPunct w:val="0"/>
              <w:autoSpaceDE w:val="0"/>
              <w:autoSpaceDN w:val="0"/>
              <w:adjustRightInd w:val="0"/>
              <w:spacing w:after="0"/>
              <w:textAlignment w:val="baseline"/>
              <w:rPr>
                <w:bCs/>
              </w:rPr>
            </w:pPr>
            <w:r>
              <w:rPr>
                <w:bCs/>
              </w:rPr>
              <w:t>Study the IMT parameters relevant for sharing and compatibility for 14800 to 15350 MHz f</w:t>
            </w:r>
            <w:r w:rsidRPr="0055126D">
              <w:rPr>
                <w:bCs/>
              </w:rPr>
              <w:t>requency range.</w:t>
            </w:r>
          </w:p>
          <w:p w14:paraId="3CE11E7A" w14:textId="77777777" w:rsidR="00834B48" w:rsidRDefault="00834B48" w:rsidP="00834B48">
            <w:pPr>
              <w:spacing w:after="0"/>
              <w:ind w:left="720"/>
              <w:rPr>
                <w:bCs/>
              </w:rPr>
            </w:pPr>
          </w:p>
          <w:p w14:paraId="3BEBF3CB" w14:textId="6DE0CE86" w:rsidR="00131263" w:rsidRPr="00834B48" w:rsidRDefault="00834B48" w:rsidP="00834B48">
            <w:pPr>
              <w:pStyle w:val="NO"/>
            </w:pPr>
            <w:r>
              <w:t>NOTE:</w:t>
            </w:r>
            <w:r>
              <w:tab/>
            </w:r>
            <w:r>
              <w:rPr>
                <w:bCs/>
              </w:rPr>
              <w:t xml:space="preserve">IMT parameters relevant for sharing and compatibility for </w:t>
            </w:r>
            <w:r>
              <w:t xml:space="preserve">4400 to 4800 MHz are reused from the already available RAN4 evaluations. </w:t>
            </w:r>
          </w:p>
        </w:tc>
      </w:tr>
    </w:tbl>
    <w:p w14:paraId="36538502" w14:textId="746555F9" w:rsidR="00507DF9" w:rsidRPr="00BD586F" w:rsidRDefault="00834B48" w:rsidP="00507DF9">
      <w:pPr>
        <w:jc w:val="both"/>
        <w:rPr>
          <w:lang w:val="en-US"/>
        </w:rPr>
      </w:pPr>
      <w:r>
        <w:rPr>
          <w:lang w:val="en-US"/>
        </w:rPr>
        <w:t>In RAN4#110bis</w:t>
      </w:r>
      <w:r w:rsidRPr="00060A4E">
        <w:rPr>
          <w:lang w:val="en-US"/>
        </w:rPr>
        <w:t>,</w:t>
      </w:r>
      <w:r>
        <w:rPr>
          <w:lang w:val="en-US"/>
        </w:rPr>
        <w:t xml:space="preserve"> the IMT parameters for </w:t>
      </w:r>
      <w:r w:rsidR="006E1CFF">
        <w:rPr>
          <w:lang w:val="en-US"/>
        </w:rPr>
        <w:t xml:space="preserve">the </w:t>
      </w:r>
      <w:r>
        <w:rPr>
          <w:lang w:val="en-US"/>
        </w:rPr>
        <w:t>three frequency ranges has been discussed and some open issues are captured in the approved WF [</w:t>
      </w:r>
      <w:r w:rsidR="001327EB">
        <w:rPr>
          <w:lang w:val="en-US"/>
        </w:rPr>
        <w:t>3</w:t>
      </w:r>
      <w:r>
        <w:rPr>
          <w:lang w:val="en-US"/>
        </w:rPr>
        <w:t xml:space="preserve">]. </w:t>
      </w:r>
      <w:r w:rsidR="00582705">
        <w:rPr>
          <w:lang w:val="en-US"/>
        </w:rPr>
        <w:t xml:space="preserve">In WF, some RF Tx and Rx parameters for the frequency range </w:t>
      </w:r>
      <w:r w:rsidR="00582705">
        <w:rPr>
          <w:bCs/>
        </w:rPr>
        <w:t xml:space="preserve">7125 to 8400 MHz are listed as follows and </w:t>
      </w:r>
      <w:r w:rsidR="00582705">
        <w:rPr>
          <w:lang w:val="en-US"/>
        </w:rPr>
        <w:t xml:space="preserve">further discussion may be needed. </w:t>
      </w:r>
      <w:r w:rsidR="00BD586F">
        <w:rPr>
          <w:iCs/>
          <w:lang w:eastAsia="zh-CN"/>
        </w:rPr>
        <w:t>In this paper, we would like to share our view abou</w:t>
      </w:r>
      <w:r w:rsidR="00BB2187">
        <w:rPr>
          <w:iCs/>
          <w:lang w:eastAsia="zh-CN"/>
        </w:rPr>
        <w:t>t some</w:t>
      </w:r>
      <w:r w:rsidR="00BD586F">
        <w:rPr>
          <w:iCs/>
          <w:lang w:eastAsia="zh-CN"/>
        </w:rPr>
        <w:t xml:space="preserve"> IMT parameters for </w:t>
      </w:r>
      <w:r w:rsidR="00BD586F">
        <w:rPr>
          <w:bCs/>
        </w:rPr>
        <w:t xml:space="preserve">7125 to 8400 MHz </w:t>
      </w:r>
      <w:r w:rsidR="00BD586F">
        <w:rPr>
          <w:iCs/>
          <w:lang w:eastAsia="zh-CN"/>
        </w:rPr>
        <w:t>in the following.</w:t>
      </w:r>
    </w:p>
    <w:tbl>
      <w:tblPr>
        <w:tblStyle w:val="TableGrid"/>
        <w:tblW w:w="0" w:type="auto"/>
        <w:tblLook w:val="04A0" w:firstRow="1" w:lastRow="0" w:firstColumn="1" w:lastColumn="0" w:noHBand="0" w:noVBand="1"/>
      </w:tblPr>
      <w:tblGrid>
        <w:gridCol w:w="9621"/>
      </w:tblGrid>
      <w:tr w:rsidR="004D7ED1" w14:paraId="491AC3BD" w14:textId="77777777" w:rsidTr="004D7ED1">
        <w:tc>
          <w:tcPr>
            <w:tcW w:w="9621" w:type="dxa"/>
          </w:tcPr>
          <w:p w14:paraId="46D12910" w14:textId="77777777" w:rsidR="00BD586F" w:rsidRPr="00AB3D40" w:rsidRDefault="00BD586F" w:rsidP="00BD586F">
            <w:pPr>
              <w:pStyle w:val="Heading1"/>
              <w:rPr>
                <w:lang w:eastAsia="zh-CN"/>
              </w:rPr>
            </w:pPr>
            <w:r>
              <w:lastRenderedPageBreak/>
              <w:t>IMT parameters for Frequency 7125 – 8400 MHz</w:t>
            </w:r>
          </w:p>
          <w:p w14:paraId="612130DD" w14:textId="77777777" w:rsidR="00BD586F" w:rsidRPr="00EF3FF4" w:rsidRDefault="00BD586F" w:rsidP="00BD586F">
            <w:pPr>
              <w:spacing w:afterLines="50" w:after="120"/>
              <w:rPr>
                <w:b/>
                <w:lang w:eastAsia="zh-CN"/>
              </w:rPr>
            </w:pPr>
            <w:r>
              <w:rPr>
                <w:b/>
                <w:lang w:eastAsia="zh-CN"/>
              </w:rPr>
              <w:t>Way forward</w:t>
            </w:r>
            <w:r w:rsidRPr="00EF3FF4">
              <w:rPr>
                <w:b/>
                <w:lang w:eastAsia="zh-CN"/>
              </w:rPr>
              <w:t>:</w:t>
            </w:r>
          </w:p>
          <w:p w14:paraId="515C7742" w14:textId="77777777" w:rsidR="00BD586F" w:rsidRDefault="00BD586F" w:rsidP="00BD586F">
            <w:pPr>
              <w:pStyle w:val="B10"/>
              <w:rPr>
                <w:lang w:eastAsia="zh-CN"/>
              </w:rPr>
            </w:pPr>
            <w:r>
              <w:rPr>
                <w:lang w:eastAsia="zh-CN"/>
              </w:rPr>
              <w:t>-</w:t>
            </w:r>
            <w:r>
              <w:rPr>
                <w:lang w:eastAsia="zh-CN"/>
              </w:rPr>
              <w:tab/>
              <w:t>n104 as starting point</w:t>
            </w:r>
          </w:p>
          <w:p w14:paraId="63580B2C" w14:textId="77777777" w:rsidR="00BD586F" w:rsidRDefault="00BD586F" w:rsidP="00BD586F">
            <w:pPr>
              <w:pStyle w:val="B10"/>
              <w:ind w:left="704"/>
              <w:rPr>
                <w:lang w:eastAsia="zh-CN"/>
              </w:rPr>
            </w:pPr>
            <w:r>
              <w:rPr>
                <w:lang w:eastAsia="zh-CN"/>
              </w:rPr>
              <w:t>o</w:t>
            </w:r>
            <w:r>
              <w:rPr>
                <w:lang w:eastAsia="zh-CN"/>
              </w:rPr>
              <w:tab/>
              <w:t>Identify which parameters need further discussion and could differ from n104</w:t>
            </w:r>
          </w:p>
          <w:p w14:paraId="43B17BEA" w14:textId="77777777" w:rsidR="00BD586F" w:rsidRDefault="00BD586F" w:rsidP="00BD586F">
            <w:pPr>
              <w:pStyle w:val="B10"/>
              <w:ind w:left="0" w:firstLine="0"/>
              <w:rPr>
                <w:lang w:eastAsia="zh-CN"/>
              </w:rPr>
            </w:pPr>
          </w:p>
          <w:p w14:paraId="0AEB8D30" w14:textId="77777777" w:rsidR="00BD586F" w:rsidRPr="00D0280F" w:rsidRDefault="00BD586F" w:rsidP="00BD586F">
            <w:pPr>
              <w:ind w:left="284"/>
              <w:rPr>
                <w:u w:val="single"/>
              </w:rPr>
            </w:pPr>
            <w:r w:rsidRPr="00D0280F">
              <w:rPr>
                <w:u w:val="single"/>
              </w:rPr>
              <w:t xml:space="preserve">Issue 2-1 Duplex Method </w:t>
            </w:r>
          </w:p>
          <w:p w14:paraId="0994215D" w14:textId="77777777" w:rsidR="00BD586F" w:rsidRDefault="00BD586F" w:rsidP="00BD586F">
            <w:pPr>
              <w:pStyle w:val="ListParagraph"/>
              <w:numPr>
                <w:ilvl w:val="0"/>
                <w:numId w:val="58"/>
              </w:numPr>
              <w:ind w:left="1004"/>
              <w:contextualSpacing w:val="0"/>
            </w:pPr>
            <w:r>
              <w:t xml:space="preserve">Option 1: Align with 4GHz outcome, i.e., TDD as baseline, check SBFD </w:t>
            </w:r>
          </w:p>
          <w:p w14:paraId="12D0A5BC" w14:textId="77777777" w:rsidR="00BD586F" w:rsidRDefault="00BD586F" w:rsidP="00BD586F">
            <w:pPr>
              <w:pStyle w:val="ListParagraph"/>
              <w:numPr>
                <w:ilvl w:val="0"/>
                <w:numId w:val="58"/>
              </w:numPr>
              <w:ind w:left="1004"/>
              <w:contextualSpacing w:val="0"/>
            </w:pPr>
            <w:r>
              <w:t>Option 2: Follow n104</w:t>
            </w:r>
          </w:p>
          <w:p w14:paraId="6972D292" w14:textId="77777777" w:rsidR="00BD586F" w:rsidRDefault="00BD586F" w:rsidP="00BD586F">
            <w:pPr>
              <w:ind w:left="420"/>
            </w:pPr>
          </w:p>
          <w:p w14:paraId="75050A7F" w14:textId="77777777" w:rsidR="00BD586F" w:rsidRPr="00D0280F" w:rsidRDefault="00BD586F" w:rsidP="00BD586F">
            <w:pPr>
              <w:ind w:left="284"/>
              <w:rPr>
                <w:u w:val="single"/>
              </w:rPr>
            </w:pPr>
            <w:r w:rsidRPr="00D0280F">
              <w:rPr>
                <w:u w:val="single"/>
              </w:rPr>
              <w:t>Issue 2-2 Typical Channel Bandwidth (100MHz is maximum bandwidth)</w:t>
            </w:r>
          </w:p>
          <w:p w14:paraId="5D7093B6" w14:textId="77777777" w:rsidR="00BD586F" w:rsidRDefault="00BD586F" w:rsidP="00BD586F">
            <w:pPr>
              <w:pStyle w:val="ListParagraph"/>
              <w:numPr>
                <w:ilvl w:val="0"/>
                <w:numId w:val="58"/>
              </w:numPr>
              <w:ind w:left="1004"/>
              <w:contextualSpacing w:val="0"/>
            </w:pPr>
            <w:r>
              <w:t xml:space="preserve">n104 (100MHz) baseline </w:t>
            </w:r>
          </w:p>
          <w:p w14:paraId="42DF8469" w14:textId="77777777" w:rsidR="00BD586F" w:rsidRDefault="00BD586F" w:rsidP="00BD586F">
            <w:pPr>
              <w:pStyle w:val="ListParagraph"/>
              <w:numPr>
                <w:ilvl w:val="1"/>
                <w:numId w:val="58"/>
              </w:numPr>
              <w:contextualSpacing w:val="0"/>
            </w:pPr>
            <w:r>
              <w:t>FFS higher bandwidths (</w:t>
            </w:r>
            <w:proofErr w:type="gramStart"/>
            <w:r>
              <w:t>e.g.</w:t>
            </w:r>
            <w:proofErr w:type="gramEnd"/>
            <w:r>
              <w:t xml:space="preserve"> 200MHz)</w:t>
            </w:r>
          </w:p>
          <w:p w14:paraId="13E77B13" w14:textId="77777777" w:rsidR="00BD586F" w:rsidRDefault="00BD586F" w:rsidP="00BD586F">
            <w:pPr>
              <w:ind w:left="420"/>
            </w:pPr>
          </w:p>
          <w:p w14:paraId="326953F5" w14:textId="77777777" w:rsidR="00BD586F" w:rsidRPr="00D0280F" w:rsidRDefault="00BD586F" w:rsidP="00BD586F">
            <w:pPr>
              <w:ind w:left="284"/>
              <w:rPr>
                <w:u w:val="single"/>
              </w:rPr>
            </w:pPr>
            <w:r w:rsidRPr="00D0280F">
              <w:rPr>
                <w:u w:val="single"/>
              </w:rPr>
              <w:t>Issue 2-3 Transmit bandwidth configuration (Signal bandwidth)</w:t>
            </w:r>
          </w:p>
          <w:p w14:paraId="0DC69F7F" w14:textId="77777777" w:rsidR="00BD586F" w:rsidRDefault="00BD586F" w:rsidP="00BD586F">
            <w:pPr>
              <w:pStyle w:val="ListParagraph"/>
              <w:numPr>
                <w:ilvl w:val="0"/>
                <w:numId w:val="58"/>
              </w:numPr>
              <w:ind w:left="1004"/>
              <w:contextualSpacing w:val="0"/>
            </w:pPr>
            <w:r>
              <w:t xml:space="preserve">n104 spectrum utilization assumed </w:t>
            </w:r>
          </w:p>
          <w:p w14:paraId="17E1752D" w14:textId="77777777" w:rsidR="00BD586F" w:rsidRDefault="00BD586F" w:rsidP="00BD586F">
            <w:pPr>
              <w:pStyle w:val="ListParagraph"/>
              <w:numPr>
                <w:ilvl w:val="1"/>
                <w:numId w:val="58"/>
              </w:numPr>
              <w:contextualSpacing w:val="0"/>
            </w:pPr>
            <w:r>
              <w:t>FFS check for higher bandwidth</w:t>
            </w:r>
          </w:p>
          <w:p w14:paraId="3F58EF01" w14:textId="77777777" w:rsidR="00BD586F" w:rsidRDefault="00BD586F" w:rsidP="00BD586F">
            <w:pPr>
              <w:ind w:left="420"/>
            </w:pPr>
          </w:p>
          <w:p w14:paraId="51D5C0EB" w14:textId="77777777" w:rsidR="00BD586F" w:rsidRPr="00D0280F" w:rsidRDefault="00BD586F" w:rsidP="00BD586F">
            <w:pPr>
              <w:ind w:left="284"/>
              <w:rPr>
                <w:u w:val="single"/>
              </w:rPr>
            </w:pPr>
            <w:r w:rsidRPr="00D0280F">
              <w:rPr>
                <w:u w:val="single"/>
              </w:rPr>
              <w:t>Issue 2-4 Power dynamic range</w:t>
            </w:r>
            <w:r>
              <w:rPr>
                <w:u w:val="single"/>
              </w:rPr>
              <w:t xml:space="preserve"> (UE)</w:t>
            </w:r>
          </w:p>
          <w:p w14:paraId="1056E31F" w14:textId="77777777" w:rsidR="00BD586F" w:rsidRDefault="00BD586F" w:rsidP="00BD586F">
            <w:pPr>
              <w:pStyle w:val="ListParagraph"/>
              <w:numPr>
                <w:ilvl w:val="0"/>
                <w:numId w:val="58"/>
              </w:numPr>
              <w:ind w:left="1004"/>
              <w:contextualSpacing w:val="0"/>
            </w:pPr>
            <w:r>
              <w:t>Use n104, as appropriate for maximum output power</w:t>
            </w:r>
          </w:p>
          <w:p w14:paraId="7053D761" w14:textId="77777777" w:rsidR="00BD586F" w:rsidRDefault="00BD586F" w:rsidP="00BD586F"/>
          <w:p w14:paraId="5B7A8A24" w14:textId="77777777" w:rsidR="00BD586F" w:rsidRPr="00D0280F" w:rsidRDefault="00BD586F" w:rsidP="00BD586F">
            <w:pPr>
              <w:ind w:left="284"/>
              <w:rPr>
                <w:u w:val="single"/>
              </w:rPr>
            </w:pPr>
            <w:r w:rsidRPr="00D0280F">
              <w:rPr>
                <w:u w:val="single"/>
              </w:rPr>
              <w:t>Issue 2-5 Spectrum mask</w:t>
            </w:r>
          </w:p>
          <w:p w14:paraId="0712621F" w14:textId="77777777" w:rsidR="00BD586F" w:rsidRDefault="00BD586F" w:rsidP="00BD586F">
            <w:pPr>
              <w:pStyle w:val="ListParagraph"/>
              <w:numPr>
                <w:ilvl w:val="0"/>
                <w:numId w:val="58"/>
              </w:numPr>
              <w:ind w:left="1004"/>
              <w:contextualSpacing w:val="0"/>
            </w:pPr>
            <w:r>
              <w:t>BS:</w:t>
            </w:r>
          </w:p>
          <w:p w14:paraId="674AE6F9" w14:textId="77777777" w:rsidR="00BD586F" w:rsidRDefault="00BD586F" w:rsidP="00BD586F">
            <w:pPr>
              <w:pStyle w:val="ListParagraph"/>
              <w:numPr>
                <w:ilvl w:val="1"/>
                <w:numId w:val="57"/>
              </w:numPr>
              <w:contextualSpacing w:val="0"/>
            </w:pPr>
            <w:r>
              <w:t>n104 as basis for emissions levels</w:t>
            </w:r>
          </w:p>
          <w:p w14:paraId="3F8BC2A3" w14:textId="77777777" w:rsidR="00BD586F" w:rsidRDefault="00BD586F" w:rsidP="00BD586F">
            <w:pPr>
              <w:pStyle w:val="ListParagraph"/>
              <w:numPr>
                <w:ilvl w:val="2"/>
                <w:numId w:val="57"/>
              </w:numPr>
              <w:contextualSpacing w:val="0"/>
            </w:pPr>
            <w:proofErr w:type="spellStart"/>
            <w:r>
              <w:t>Δf</w:t>
            </w:r>
            <w:r>
              <w:rPr>
                <w:vertAlign w:val="subscript"/>
              </w:rPr>
              <w:t>OBUE</w:t>
            </w:r>
            <w:proofErr w:type="spellEnd"/>
            <w:r>
              <w:t xml:space="preserve"> and </w:t>
            </w:r>
            <w:proofErr w:type="spellStart"/>
            <w:r>
              <w:t>Δf</w:t>
            </w:r>
            <w:r w:rsidRPr="00E26071">
              <w:rPr>
                <w:vertAlign w:val="subscript"/>
              </w:rPr>
              <w:t>OOB</w:t>
            </w:r>
            <w:proofErr w:type="spellEnd"/>
            <w:r>
              <w:t xml:space="preserve"> for the BS side can be considered further. </w:t>
            </w:r>
          </w:p>
          <w:p w14:paraId="6FB6BB6F" w14:textId="77777777" w:rsidR="00BD586F" w:rsidRDefault="00BD586F" w:rsidP="00BD586F">
            <w:pPr>
              <w:pStyle w:val="ListParagraph"/>
              <w:numPr>
                <w:ilvl w:val="0"/>
                <w:numId w:val="58"/>
              </w:numPr>
              <w:ind w:left="1004"/>
              <w:contextualSpacing w:val="0"/>
            </w:pPr>
            <w:r>
              <w:t>UE:</w:t>
            </w:r>
          </w:p>
          <w:p w14:paraId="50417175" w14:textId="77777777" w:rsidR="00BD586F" w:rsidRDefault="00BD586F" w:rsidP="00BD586F">
            <w:pPr>
              <w:pStyle w:val="ListParagraph"/>
              <w:numPr>
                <w:ilvl w:val="1"/>
                <w:numId w:val="57"/>
              </w:numPr>
              <w:contextualSpacing w:val="0"/>
            </w:pPr>
            <w:r>
              <w:t>n104 as basis for emissions levels</w:t>
            </w:r>
          </w:p>
          <w:p w14:paraId="79AA7123" w14:textId="77777777" w:rsidR="00BD586F" w:rsidRDefault="00BD586F" w:rsidP="00BD586F">
            <w:pPr>
              <w:ind w:left="420"/>
            </w:pPr>
          </w:p>
          <w:p w14:paraId="1AC3518A" w14:textId="77777777" w:rsidR="00BD586F" w:rsidRPr="00D0280F" w:rsidRDefault="00BD586F" w:rsidP="00BD586F">
            <w:pPr>
              <w:ind w:left="284"/>
              <w:rPr>
                <w:u w:val="single"/>
              </w:rPr>
            </w:pPr>
            <w:r w:rsidRPr="00D0280F">
              <w:rPr>
                <w:u w:val="single"/>
              </w:rPr>
              <w:t>Issue 2-6 ACLR</w:t>
            </w:r>
          </w:p>
          <w:p w14:paraId="521BDE58" w14:textId="77777777" w:rsidR="00BD586F" w:rsidRDefault="00BD586F" w:rsidP="00BD586F">
            <w:pPr>
              <w:pStyle w:val="ListParagraph"/>
              <w:numPr>
                <w:ilvl w:val="0"/>
                <w:numId w:val="58"/>
              </w:numPr>
              <w:ind w:left="1004"/>
              <w:contextualSpacing w:val="0"/>
            </w:pPr>
            <w:r>
              <w:t>BS</w:t>
            </w:r>
          </w:p>
          <w:p w14:paraId="122DAD30" w14:textId="77777777" w:rsidR="00BD586F" w:rsidRDefault="00BD586F" w:rsidP="00BD586F">
            <w:pPr>
              <w:pStyle w:val="ListParagraph"/>
              <w:numPr>
                <w:ilvl w:val="1"/>
                <w:numId w:val="57"/>
              </w:numPr>
              <w:contextualSpacing w:val="0"/>
            </w:pPr>
            <w:r>
              <w:t>Use n104</w:t>
            </w:r>
          </w:p>
          <w:p w14:paraId="7D59CE65" w14:textId="77777777" w:rsidR="00BD586F" w:rsidRDefault="00BD586F" w:rsidP="00BD586F">
            <w:pPr>
              <w:pStyle w:val="ListParagraph"/>
              <w:numPr>
                <w:ilvl w:val="0"/>
                <w:numId w:val="58"/>
              </w:numPr>
              <w:ind w:left="1004"/>
              <w:contextualSpacing w:val="0"/>
            </w:pPr>
            <w:r>
              <w:t>UE</w:t>
            </w:r>
          </w:p>
          <w:p w14:paraId="794FEF3A" w14:textId="77777777" w:rsidR="00BD586F" w:rsidRDefault="00BD586F" w:rsidP="00BD586F">
            <w:pPr>
              <w:pStyle w:val="ListParagraph"/>
              <w:numPr>
                <w:ilvl w:val="1"/>
                <w:numId w:val="57"/>
              </w:numPr>
              <w:contextualSpacing w:val="0"/>
            </w:pPr>
            <w:r>
              <w:t>Option 1:  26dB, 27dB (study) for PC3</w:t>
            </w:r>
          </w:p>
          <w:p w14:paraId="0A996B8D" w14:textId="77777777" w:rsidR="00BD586F" w:rsidRDefault="00BD586F" w:rsidP="00BD586F">
            <w:pPr>
              <w:pStyle w:val="ListParagraph"/>
              <w:numPr>
                <w:ilvl w:val="1"/>
                <w:numId w:val="57"/>
              </w:numPr>
              <w:contextualSpacing w:val="0"/>
            </w:pPr>
            <w:r>
              <w:t>Option 2:  30dB (n104) for PC3, 31dB (n104) for PC2</w:t>
            </w:r>
          </w:p>
          <w:p w14:paraId="3ABFADDB" w14:textId="77777777" w:rsidR="00BD586F" w:rsidRDefault="00BD586F" w:rsidP="00BD586F">
            <w:pPr>
              <w:ind w:left="420"/>
            </w:pPr>
          </w:p>
          <w:p w14:paraId="667D75C9" w14:textId="77777777" w:rsidR="00BD586F" w:rsidRPr="00D0280F" w:rsidRDefault="00BD586F" w:rsidP="00BD586F">
            <w:pPr>
              <w:ind w:left="284"/>
              <w:rPr>
                <w:u w:val="single"/>
              </w:rPr>
            </w:pPr>
            <w:r w:rsidRPr="00D0280F">
              <w:rPr>
                <w:u w:val="single"/>
              </w:rPr>
              <w:t>Issue 2-7 Spurious Emissions</w:t>
            </w:r>
          </w:p>
          <w:p w14:paraId="761C87F1" w14:textId="77777777" w:rsidR="00BD586F" w:rsidRDefault="00BD586F" w:rsidP="00BD586F">
            <w:pPr>
              <w:pStyle w:val="ListParagraph"/>
              <w:numPr>
                <w:ilvl w:val="0"/>
                <w:numId w:val="58"/>
              </w:numPr>
              <w:ind w:left="1004"/>
              <w:contextualSpacing w:val="0"/>
            </w:pPr>
            <w:r>
              <w:t>BS:</w:t>
            </w:r>
          </w:p>
          <w:p w14:paraId="3F982648" w14:textId="77777777" w:rsidR="00BD586F" w:rsidRDefault="00BD586F" w:rsidP="00BD586F">
            <w:pPr>
              <w:pStyle w:val="ListParagraph"/>
              <w:numPr>
                <w:ilvl w:val="1"/>
                <w:numId w:val="57"/>
              </w:numPr>
              <w:contextualSpacing w:val="0"/>
            </w:pPr>
            <w:r>
              <w:t>Use n104</w:t>
            </w:r>
          </w:p>
          <w:p w14:paraId="4B016A0D" w14:textId="77777777" w:rsidR="00BD586F" w:rsidRDefault="00BD586F" w:rsidP="00BD586F">
            <w:pPr>
              <w:pStyle w:val="ListParagraph"/>
              <w:numPr>
                <w:ilvl w:val="0"/>
                <w:numId w:val="58"/>
              </w:numPr>
              <w:ind w:left="1004"/>
              <w:contextualSpacing w:val="0"/>
            </w:pPr>
            <w:r>
              <w:t>UE:</w:t>
            </w:r>
          </w:p>
          <w:p w14:paraId="104E6305" w14:textId="77777777" w:rsidR="00BD586F" w:rsidRDefault="00BD586F" w:rsidP="00BD586F">
            <w:pPr>
              <w:pStyle w:val="ListParagraph"/>
              <w:numPr>
                <w:ilvl w:val="1"/>
                <w:numId w:val="57"/>
              </w:numPr>
              <w:contextualSpacing w:val="0"/>
            </w:pPr>
            <w:r>
              <w:t>Use n104</w:t>
            </w:r>
          </w:p>
          <w:p w14:paraId="2A3978AE" w14:textId="77777777" w:rsidR="00BD586F" w:rsidRDefault="00BD586F" w:rsidP="00BD586F">
            <w:pPr>
              <w:ind w:left="420"/>
            </w:pPr>
          </w:p>
          <w:p w14:paraId="79D77816" w14:textId="77777777" w:rsidR="00BD586F" w:rsidRPr="00CA7341" w:rsidRDefault="00BD586F" w:rsidP="00BD586F">
            <w:pPr>
              <w:ind w:left="284"/>
              <w:rPr>
                <w:u w:val="single"/>
              </w:rPr>
            </w:pPr>
            <w:r w:rsidRPr="00D0280F">
              <w:rPr>
                <w:u w:val="single"/>
              </w:rPr>
              <w:t>Issue 2-8 Maximum output power (UE)</w:t>
            </w:r>
          </w:p>
          <w:p w14:paraId="5A26CBC4" w14:textId="77777777" w:rsidR="00BD586F" w:rsidRDefault="00BD586F" w:rsidP="00BD586F">
            <w:pPr>
              <w:pStyle w:val="ListParagraph"/>
              <w:numPr>
                <w:ilvl w:val="0"/>
                <w:numId w:val="58"/>
              </w:numPr>
              <w:ind w:left="1004"/>
              <w:contextualSpacing w:val="0"/>
            </w:pPr>
            <w:r>
              <w:t xml:space="preserve">Option 1: 23dBm only. </w:t>
            </w:r>
          </w:p>
          <w:p w14:paraId="1D640E13" w14:textId="77777777" w:rsidR="00BD586F" w:rsidRDefault="00BD586F" w:rsidP="00BD586F">
            <w:pPr>
              <w:pStyle w:val="ListParagraph"/>
              <w:numPr>
                <w:ilvl w:val="0"/>
                <w:numId w:val="58"/>
              </w:numPr>
              <w:ind w:left="1004"/>
              <w:contextualSpacing w:val="0"/>
            </w:pPr>
            <w:r>
              <w:t>Option 2: 20dBm</w:t>
            </w:r>
          </w:p>
          <w:p w14:paraId="227CA9A6" w14:textId="77777777" w:rsidR="00BD586F" w:rsidRDefault="00BD586F" w:rsidP="00BD586F">
            <w:pPr>
              <w:pStyle w:val="ListParagraph"/>
              <w:numPr>
                <w:ilvl w:val="0"/>
                <w:numId w:val="58"/>
              </w:numPr>
              <w:ind w:left="1004"/>
              <w:contextualSpacing w:val="0"/>
            </w:pPr>
            <w:r>
              <w:t>Option 3: Use n104 (23 and 26dBm)</w:t>
            </w:r>
          </w:p>
          <w:p w14:paraId="2385085E" w14:textId="77777777" w:rsidR="00BD586F" w:rsidRDefault="00BD586F" w:rsidP="00BD586F">
            <w:pPr>
              <w:pStyle w:val="ListParagraph"/>
              <w:numPr>
                <w:ilvl w:val="0"/>
                <w:numId w:val="58"/>
              </w:numPr>
              <w:ind w:left="1004"/>
              <w:contextualSpacing w:val="0"/>
            </w:pPr>
            <w:r>
              <w:t>Option 4: 29dBm</w:t>
            </w:r>
          </w:p>
          <w:p w14:paraId="419EC76E" w14:textId="77777777" w:rsidR="00BD586F" w:rsidRDefault="00BD586F" w:rsidP="00BD586F">
            <w:pPr>
              <w:ind w:left="284"/>
              <w:rPr>
                <w:u w:val="single"/>
              </w:rPr>
            </w:pPr>
          </w:p>
          <w:p w14:paraId="0355932B" w14:textId="77777777" w:rsidR="00BD586F" w:rsidRPr="00D0280F" w:rsidRDefault="00BD586F" w:rsidP="00BD586F">
            <w:pPr>
              <w:ind w:left="284"/>
              <w:rPr>
                <w:u w:val="single"/>
              </w:rPr>
            </w:pPr>
            <w:r w:rsidRPr="00D0280F">
              <w:rPr>
                <w:u w:val="single"/>
              </w:rPr>
              <w:t xml:space="preserve">Issue 2-9 Noise Figure </w:t>
            </w:r>
          </w:p>
          <w:p w14:paraId="04FB81B0" w14:textId="77777777" w:rsidR="00BD586F" w:rsidRDefault="00BD586F" w:rsidP="00BD586F">
            <w:pPr>
              <w:pStyle w:val="ListParagraph"/>
              <w:numPr>
                <w:ilvl w:val="0"/>
                <w:numId w:val="58"/>
              </w:numPr>
              <w:ind w:left="1004"/>
              <w:contextualSpacing w:val="0"/>
            </w:pPr>
            <w:r>
              <w:t>UE</w:t>
            </w:r>
          </w:p>
          <w:p w14:paraId="3FAADEBB" w14:textId="77777777" w:rsidR="00BD586F" w:rsidRDefault="00BD586F" w:rsidP="00BD586F">
            <w:pPr>
              <w:pStyle w:val="ListParagraph"/>
              <w:numPr>
                <w:ilvl w:val="1"/>
                <w:numId w:val="57"/>
              </w:numPr>
              <w:contextualSpacing w:val="0"/>
            </w:pPr>
            <w:r>
              <w:t>Option 1: Follow n104 noise figure (12dB)</w:t>
            </w:r>
          </w:p>
          <w:p w14:paraId="192F82B4" w14:textId="77777777" w:rsidR="00BD586F" w:rsidRDefault="00BD586F" w:rsidP="00BD586F">
            <w:pPr>
              <w:pStyle w:val="ListParagraph"/>
              <w:numPr>
                <w:ilvl w:val="1"/>
                <w:numId w:val="57"/>
              </w:numPr>
              <w:contextualSpacing w:val="0"/>
            </w:pPr>
            <w:r>
              <w:t xml:space="preserve">Option 2: Be consistent with information sent previously IMT-2020 28GHz, </w:t>
            </w:r>
            <w:proofErr w:type="gramStart"/>
            <w:r>
              <w:t>e.g.</w:t>
            </w:r>
            <w:proofErr w:type="gramEnd"/>
            <w:r>
              <w:t xml:space="preserve"> 10dB</w:t>
            </w:r>
          </w:p>
          <w:p w14:paraId="4EB5F3E7" w14:textId="77777777" w:rsidR="00BD586F" w:rsidRDefault="00BD586F" w:rsidP="00BD586F">
            <w:pPr>
              <w:pStyle w:val="ListParagraph"/>
              <w:numPr>
                <w:ilvl w:val="1"/>
                <w:numId w:val="57"/>
              </w:numPr>
              <w:contextualSpacing w:val="0"/>
            </w:pPr>
            <w:r>
              <w:t>Option 3: Be consistent with Previous LS to ITU-R on 6, 10GHz, NF was 9-13dB</w:t>
            </w:r>
          </w:p>
          <w:p w14:paraId="355ACDD2" w14:textId="77777777" w:rsidR="00BD586F" w:rsidRDefault="00BD586F" w:rsidP="00BD586F">
            <w:pPr>
              <w:pStyle w:val="ListParagraph"/>
              <w:numPr>
                <w:ilvl w:val="0"/>
                <w:numId w:val="58"/>
              </w:numPr>
              <w:ind w:left="1004"/>
              <w:contextualSpacing w:val="0"/>
            </w:pPr>
            <w:r>
              <w:t>BS</w:t>
            </w:r>
          </w:p>
          <w:p w14:paraId="7796B027" w14:textId="77777777" w:rsidR="00BD586F" w:rsidRDefault="00BD586F" w:rsidP="00BD586F">
            <w:pPr>
              <w:pStyle w:val="ListParagraph"/>
              <w:numPr>
                <w:ilvl w:val="1"/>
                <w:numId w:val="57"/>
              </w:numPr>
              <w:contextualSpacing w:val="0"/>
            </w:pPr>
            <w:r>
              <w:t>Option 1: Follow 38.820, i.e., 6dB WA, 11dB MR, 14dB LA</w:t>
            </w:r>
          </w:p>
          <w:p w14:paraId="6AF0B137" w14:textId="77777777" w:rsidR="00BD586F" w:rsidRDefault="00BD586F" w:rsidP="00BD586F">
            <w:pPr>
              <w:pStyle w:val="ListParagraph"/>
              <w:numPr>
                <w:ilvl w:val="1"/>
                <w:numId w:val="57"/>
              </w:numPr>
              <w:contextualSpacing w:val="0"/>
            </w:pPr>
            <w:r>
              <w:t>Option 2: Follow n104 if different</w:t>
            </w:r>
          </w:p>
          <w:p w14:paraId="2ECB7E26" w14:textId="77777777" w:rsidR="00BD586F" w:rsidRDefault="00BD586F" w:rsidP="00BD586F">
            <w:pPr>
              <w:ind w:left="284"/>
              <w:rPr>
                <w:u w:val="single"/>
              </w:rPr>
            </w:pPr>
          </w:p>
          <w:p w14:paraId="4FB33253" w14:textId="77777777" w:rsidR="00BD586F" w:rsidRPr="00D0280F" w:rsidRDefault="00BD586F" w:rsidP="00BD586F">
            <w:pPr>
              <w:ind w:left="284"/>
              <w:rPr>
                <w:u w:val="single"/>
              </w:rPr>
            </w:pPr>
            <w:r w:rsidRPr="00D0280F">
              <w:rPr>
                <w:u w:val="single"/>
              </w:rPr>
              <w:t>Issue 2-10 Sensitivity</w:t>
            </w:r>
          </w:p>
          <w:p w14:paraId="289E6EAC" w14:textId="77777777" w:rsidR="00BD586F" w:rsidRDefault="00BD586F" w:rsidP="00BD586F">
            <w:pPr>
              <w:pStyle w:val="ListParagraph"/>
              <w:numPr>
                <w:ilvl w:val="0"/>
                <w:numId w:val="58"/>
              </w:numPr>
              <w:ind w:left="1004"/>
              <w:contextualSpacing w:val="0"/>
            </w:pPr>
            <w:r>
              <w:tab/>
              <w:t>To be discussed further</w:t>
            </w:r>
          </w:p>
          <w:p w14:paraId="61089220" w14:textId="77777777" w:rsidR="00BD586F" w:rsidRDefault="00BD586F" w:rsidP="00BD586F">
            <w:pPr>
              <w:ind w:left="420"/>
            </w:pPr>
          </w:p>
          <w:p w14:paraId="20DAC712" w14:textId="77777777" w:rsidR="00BD586F" w:rsidRPr="00D0280F" w:rsidRDefault="00BD586F" w:rsidP="00BD586F">
            <w:pPr>
              <w:ind w:left="284"/>
              <w:rPr>
                <w:u w:val="single"/>
              </w:rPr>
            </w:pPr>
            <w:r w:rsidRPr="00D0280F">
              <w:rPr>
                <w:u w:val="single"/>
              </w:rPr>
              <w:t>Issue 2-11 Blocking response</w:t>
            </w:r>
          </w:p>
          <w:p w14:paraId="0413B12B" w14:textId="77777777" w:rsidR="00BD586F" w:rsidRDefault="00BD586F" w:rsidP="00BD586F">
            <w:pPr>
              <w:pStyle w:val="ListParagraph"/>
              <w:numPr>
                <w:ilvl w:val="0"/>
                <w:numId w:val="58"/>
              </w:numPr>
              <w:ind w:left="1004"/>
              <w:contextualSpacing w:val="0"/>
            </w:pPr>
            <w:r>
              <w:t xml:space="preserve">BS: </w:t>
            </w:r>
          </w:p>
          <w:p w14:paraId="028077DF" w14:textId="77777777" w:rsidR="00BD586F" w:rsidRDefault="00BD586F" w:rsidP="00BD586F">
            <w:pPr>
              <w:pStyle w:val="ListParagraph"/>
              <w:numPr>
                <w:ilvl w:val="1"/>
                <w:numId w:val="58"/>
              </w:numPr>
              <w:contextualSpacing w:val="0"/>
            </w:pPr>
            <w:r>
              <w:t>Follow n104</w:t>
            </w:r>
          </w:p>
          <w:p w14:paraId="158350CC" w14:textId="77777777" w:rsidR="00BD586F" w:rsidRDefault="00BD586F" w:rsidP="00BD586F">
            <w:pPr>
              <w:pStyle w:val="ListParagraph"/>
              <w:numPr>
                <w:ilvl w:val="2"/>
                <w:numId w:val="57"/>
              </w:numPr>
              <w:contextualSpacing w:val="0"/>
            </w:pPr>
            <w:r>
              <w:t xml:space="preserve">Discuss </w:t>
            </w:r>
            <w:proofErr w:type="spellStart"/>
            <w:r w:rsidRPr="00E3702E">
              <w:t>Δf</w:t>
            </w:r>
            <w:r w:rsidRPr="00E3702E">
              <w:rPr>
                <w:vertAlign w:val="subscript"/>
              </w:rPr>
              <w:t>OOB</w:t>
            </w:r>
            <w:proofErr w:type="spellEnd"/>
            <w:r>
              <w:t xml:space="preserve"> </w:t>
            </w:r>
          </w:p>
          <w:p w14:paraId="69BF7115" w14:textId="77777777" w:rsidR="00BD586F" w:rsidRDefault="00BD586F" w:rsidP="00BD586F">
            <w:pPr>
              <w:pStyle w:val="ListParagraph"/>
              <w:numPr>
                <w:ilvl w:val="0"/>
                <w:numId w:val="58"/>
              </w:numPr>
              <w:ind w:left="1004"/>
              <w:contextualSpacing w:val="0"/>
            </w:pPr>
            <w:r>
              <w:t xml:space="preserve">UE: </w:t>
            </w:r>
          </w:p>
          <w:p w14:paraId="706234B4" w14:textId="77777777" w:rsidR="00BD586F" w:rsidRDefault="00BD586F" w:rsidP="00BD586F">
            <w:pPr>
              <w:pStyle w:val="ListParagraph"/>
              <w:numPr>
                <w:ilvl w:val="1"/>
                <w:numId w:val="58"/>
              </w:numPr>
              <w:contextualSpacing w:val="0"/>
            </w:pPr>
            <w:r>
              <w:t>FFS</w:t>
            </w:r>
          </w:p>
          <w:p w14:paraId="028CC3D2" w14:textId="77777777" w:rsidR="00BD586F" w:rsidRDefault="00BD586F" w:rsidP="00BD586F">
            <w:pPr>
              <w:ind w:left="420"/>
            </w:pPr>
          </w:p>
          <w:p w14:paraId="6D410E74" w14:textId="77777777" w:rsidR="00BD586F" w:rsidRPr="00D0280F" w:rsidRDefault="00BD586F" w:rsidP="00BD586F">
            <w:pPr>
              <w:ind w:left="284"/>
              <w:rPr>
                <w:u w:val="single"/>
              </w:rPr>
            </w:pPr>
            <w:r w:rsidRPr="00D0280F">
              <w:rPr>
                <w:u w:val="single"/>
              </w:rPr>
              <w:t>Issue 2-12 ACS</w:t>
            </w:r>
          </w:p>
          <w:p w14:paraId="73D456B3" w14:textId="77777777" w:rsidR="00BD586F" w:rsidRDefault="00BD586F" w:rsidP="00BD586F">
            <w:pPr>
              <w:pStyle w:val="ListParagraph"/>
              <w:numPr>
                <w:ilvl w:val="0"/>
                <w:numId w:val="58"/>
              </w:numPr>
              <w:ind w:left="1004"/>
              <w:contextualSpacing w:val="0"/>
            </w:pPr>
            <w:r>
              <w:t xml:space="preserve">UE: </w:t>
            </w:r>
          </w:p>
          <w:p w14:paraId="340F0AA3" w14:textId="77777777" w:rsidR="00BD586F" w:rsidRDefault="00BD586F" w:rsidP="00BD586F">
            <w:pPr>
              <w:pStyle w:val="ListParagraph"/>
              <w:numPr>
                <w:ilvl w:val="1"/>
                <w:numId w:val="58"/>
              </w:numPr>
              <w:contextualSpacing w:val="0"/>
            </w:pPr>
            <w:r>
              <w:lastRenderedPageBreak/>
              <w:t>Follow n104 or follow previous studies</w:t>
            </w:r>
          </w:p>
          <w:p w14:paraId="4017E190" w14:textId="77777777" w:rsidR="00BD586F" w:rsidRDefault="00BD586F" w:rsidP="00BD586F">
            <w:pPr>
              <w:pStyle w:val="ListParagraph"/>
              <w:numPr>
                <w:ilvl w:val="0"/>
                <w:numId w:val="58"/>
              </w:numPr>
              <w:ind w:left="1004"/>
              <w:contextualSpacing w:val="0"/>
            </w:pPr>
            <w:r>
              <w:t xml:space="preserve">BS: </w:t>
            </w:r>
          </w:p>
          <w:p w14:paraId="6F351CB0" w14:textId="77777777" w:rsidR="00BD586F" w:rsidRDefault="00BD586F" w:rsidP="00BD586F">
            <w:pPr>
              <w:pStyle w:val="ListParagraph"/>
              <w:numPr>
                <w:ilvl w:val="1"/>
                <w:numId w:val="58"/>
              </w:numPr>
              <w:contextualSpacing w:val="0"/>
            </w:pPr>
            <w:r>
              <w:t>Follow n104 (42dB)</w:t>
            </w:r>
          </w:p>
          <w:p w14:paraId="639A81CC" w14:textId="77777777" w:rsidR="00BD586F" w:rsidRDefault="00BD586F" w:rsidP="00BD586F">
            <w:pPr>
              <w:ind w:left="420"/>
            </w:pPr>
          </w:p>
          <w:p w14:paraId="397264AC" w14:textId="77777777" w:rsidR="00BD586F" w:rsidRPr="00D0280F" w:rsidRDefault="00BD586F" w:rsidP="00BD586F">
            <w:pPr>
              <w:ind w:left="284"/>
              <w:rPr>
                <w:u w:val="single"/>
              </w:rPr>
            </w:pPr>
            <w:r w:rsidRPr="00D0280F">
              <w:rPr>
                <w:u w:val="single"/>
              </w:rPr>
              <w:t>Issue 2-13 SINR operating range</w:t>
            </w:r>
          </w:p>
          <w:p w14:paraId="748CF419" w14:textId="77777777" w:rsidR="00BD586F" w:rsidRDefault="00BD586F" w:rsidP="00BD586F">
            <w:pPr>
              <w:pStyle w:val="ListParagraph"/>
              <w:numPr>
                <w:ilvl w:val="0"/>
                <w:numId w:val="58"/>
              </w:numPr>
              <w:ind w:left="1004"/>
              <w:contextualSpacing w:val="0"/>
            </w:pPr>
            <w:r>
              <w:tab/>
              <w:t>To be discussed further</w:t>
            </w:r>
          </w:p>
          <w:p w14:paraId="5E7D4636" w14:textId="77777777" w:rsidR="00BD586F" w:rsidRDefault="00BD586F" w:rsidP="00BD586F">
            <w:pPr>
              <w:rPr>
                <w:b/>
                <w:u w:val="single"/>
                <w:lang w:eastAsia="ko-KR"/>
              </w:rPr>
            </w:pPr>
          </w:p>
          <w:p w14:paraId="06FB6B73" w14:textId="77777777" w:rsidR="00BD586F" w:rsidRPr="00EB260D" w:rsidRDefault="00BD586F" w:rsidP="00BD586F">
            <w:pPr>
              <w:ind w:left="284"/>
              <w:rPr>
                <w:bCs/>
                <w:u w:val="single"/>
                <w:lang w:eastAsia="ko-KR"/>
              </w:rPr>
            </w:pPr>
            <w:r w:rsidRPr="00EB260D">
              <w:rPr>
                <w:bCs/>
                <w:u w:val="single"/>
                <w:lang w:eastAsia="ko-KR"/>
              </w:rPr>
              <w:t xml:space="preserve">Issue </w:t>
            </w:r>
            <w:r>
              <w:rPr>
                <w:bCs/>
                <w:u w:val="single"/>
                <w:lang w:eastAsia="ko-KR"/>
              </w:rPr>
              <w:t>2</w:t>
            </w:r>
            <w:r w:rsidRPr="00EB260D">
              <w:rPr>
                <w:bCs/>
                <w:u w:val="single"/>
                <w:lang w:eastAsia="ko-KR"/>
              </w:rPr>
              <w:t>-</w:t>
            </w:r>
            <w:r>
              <w:rPr>
                <w:bCs/>
                <w:u w:val="single"/>
                <w:lang w:eastAsia="ko-KR"/>
              </w:rPr>
              <w:t>14</w:t>
            </w:r>
            <w:r w:rsidRPr="00EB260D">
              <w:rPr>
                <w:bCs/>
                <w:u w:val="single"/>
                <w:lang w:eastAsia="ko-KR"/>
              </w:rPr>
              <w:t xml:space="preserve">: </w:t>
            </w:r>
            <w:r w:rsidRPr="00DA371E">
              <w:rPr>
                <w:u w:val="single"/>
              </w:rPr>
              <w:t>Deployment</w:t>
            </w:r>
            <w:r w:rsidRPr="00EB260D">
              <w:rPr>
                <w:bCs/>
                <w:u w:val="single"/>
                <w:lang w:eastAsia="ko-KR"/>
              </w:rPr>
              <w:t xml:space="preserve"> scenarios to consider</w:t>
            </w:r>
          </w:p>
          <w:p w14:paraId="6DD2BFF3" w14:textId="7655C87B" w:rsidR="00587FE1" w:rsidRPr="00507DF9" w:rsidRDefault="00BD586F" w:rsidP="00BD586F">
            <w:pPr>
              <w:rPr>
                <w:color w:val="0070C0"/>
                <w:lang w:val="en-US" w:eastAsia="zh-CN"/>
              </w:rPr>
            </w:pPr>
            <w:r w:rsidRPr="00EB260D">
              <w:rPr>
                <w:szCs w:val="24"/>
                <w:lang w:eastAsia="zh-CN"/>
              </w:rPr>
              <w:t xml:space="preserve">Include </w:t>
            </w:r>
            <w:r w:rsidRPr="00DA371E">
              <w:t>urban</w:t>
            </w:r>
            <w:r w:rsidRPr="00EB260D">
              <w:rPr>
                <w:szCs w:val="24"/>
                <w:lang w:eastAsia="zh-CN"/>
              </w:rPr>
              <w:t xml:space="preserve"> and sub-urban macro, but double check coverage</w:t>
            </w:r>
          </w:p>
        </w:tc>
      </w:tr>
    </w:tbl>
    <w:p w14:paraId="329E88E6" w14:textId="3A03799A" w:rsidR="00296C50" w:rsidRPr="00296C50" w:rsidRDefault="003B2BEE" w:rsidP="00296C50">
      <w:pPr>
        <w:pStyle w:val="Heading1"/>
        <w:rPr>
          <w:lang w:val="en-US" w:eastAsia="zh-TW"/>
        </w:rPr>
      </w:pPr>
      <w:r>
        <w:rPr>
          <w:rFonts w:hint="eastAsia"/>
          <w:lang w:val="en-US" w:eastAsia="zh-TW"/>
        </w:rPr>
        <w:lastRenderedPageBreak/>
        <w:t>Di</w:t>
      </w:r>
      <w:r>
        <w:rPr>
          <w:lang w:val="en-US" w:eastAsia="zh-TW"/>
        </w:rPr>
        <w:t>scussion</w:t>
      </w:r>
    </w:p>
    <w:p w14:paraId="7F082B0B" w14:textId="1C514233" w:rsidR="005836E6" w:rsidRDefault="006E1CFF" w:rsidP="0085336C">
      <w:pPr>
        <w:jc w:val="both"/>
        <w:rPr>
          <w:bCs/>
        </w:rPr>
      </w:pPr>
      <w:r>
        <w:rPr>
          <w:bCs/>
          <w:lang w:val="en-US" w:eastAsia="zh-TW"/>
        </w:rPr>
        <w:t xml:space="preserve">For IMT parameters </w:t>
      </w:r>
      <w:r w:rsidR="00E14B82">
        <w:rPr>
          <w:bCs/>
          <w:lang w:val="en-US" w:eastAsia="zh-TW"/>
        </w:rPr>
        <w:t>on the frequency range</w:t>
      </w:r>
      <w:r>
        <w:rPr>
          <w:bCs/>
          <w:lang w:val="en-US" w:eastAsia="zh-TW"/>
        </w:rPr>
        <w:t xml:space="preserve"> </w:t>
      </w:r>
      <w:r>
        <w:rPr>
          <w:bCs/>
        </w:rPr>
        <w:t xml:space="preserve">7125 to 8400 MHz, it is agreed in RAN4#110bis that n104 </w:t>
      </w:r>
      <w:r w:rsidR="00582705">
        <w:rPr>
          <w:bCs/>
        </w:rPr>
        <w:t xml:space="preserve">requirements </w:t>
      </w:r>
      <w:r>
        <w:rPr>
          <w:bCs/>
        </w:rPr>
        <w:t xml:space="preserve">can be the starting point </w:t>
      </w:r>
      <w:r w:rsidR="00582705">
        <w:rPr>
          <w:bCs/>
        </w:rPr>
        <w:t>due to</w:t>
      </w:r>
      <w:r>
        <w:rPr>
          <w:bCs/>
        </w:rPr>
        <w:t xml:space="preserve"> the frequency range just adjacent to n104. </w:t>
      </w:r>
      <w:r w:rsidR="00CA6CEA">
        <w:rPr>
          <w:bCs/>
        </w:rPr>
        <w:t xml:space="preserve">Based on the WF, we would like to provide our view </w:t>
      </w:r>
      <w:r w:rsidR="00582705">
        <w:rPr>
          <w:bCs/>
        </w:rPr>
        <w:t xml:space="preserve">for some issues </w:t>
      </w:r>
      <w:r w:rsidR="00CA6CEA">
        <w:rPr>
          <w:bCs/>
        </w:rPr>
        <w:t>from UE perspective</w:t>
      </w:r>
      <w:r w:rsidR="001327EB">
        <w:rPr>
          <w:bCs/>
        </w:rPr>
        <w:t xml:space="preserve"> as follows</w:t>
      </w:r>
      <w:r w:rsidR="00CA6CEA">
        <w:rPr>
          <w:bCs/>
        </w:rPr>
        <w:t>.</w:t>
      </w:r>
    </w:p>
    <w:p w14:paraId="21037E96" w14:textId="1E889A3B" w:rsidR="00CA6CEA" w:rsidRDefault="00CA6CEA" w:rsidP="0085336C">
      <w:pPr>
        <w:jc w:val="both"/>
        <w:rPr>
          <w:b/>
          <w:u w:val="single"/>
        </w:rPr>
      </w:pPr>
      <w:r w:rsidRPr="00CA6CEA">
        <w:rPr>
          <w:b/>
          <w:u w:val="single"/>
        </w:rPr>
        <w:t>Duplex method</w:t>
      </w:r>
    </w:p>
    <w:p w14:paraId="3455B25D" w14:textId="37F0C6EC" w:rsidR="00BE638C" w:rsidRDefault="00582705" w:rsidP="0085336C">
      <w:pPr>
        <w:jc w:val="both"/>
        <w:rPr>
          <w:bCs/>
        </w:rPr>
      </w:pPr>
      <w:r>
        <w:rPr>
          <w:bCs/>
        </w:rPr>
        <w:t xml:space="preserve">In WF, there are two options for </w:t>
      </w:r>
      <w:r w:rsidR="00BB2187">
        <w:rPr>
          <w:bCs/>
        </w:rPr>
        <w:t xml:space="preserve">the duplex method on the frequency range 7125 to 8400 MHz, where the Option 1 is to </w:t>
      </w:r>
      <w:r w:rsidR="002B4A51">
        <w:rPr>
          <w:bCs/>
        </w:rPr>
        <w:t xml:space="preserve">use </w:t>
      </w:r>
      <w:r w:rsidR="00BB2187">
        <w:rPr>
          <w:bCs/>
        </w:rPr>
        <w:t xml:space="preserve">TDD as baseline, and check whether SBFD should be included in the reply LS to WP5D, and the </w:t>
      </w:r>
      <w:r w:rsidR="002B4A51">
        <w:rPr>
          <w:bCs/>
        </w:rPr>
        <w:t>O</w:t>
      </w:r>
      <w:r w:rsidR="00BB2187">
        <w:rPr>
          <w:bCs/>
        </w:rPr>
        <w:t xml:space="preserve">ption </w:t>
      </w:r>
      <w:r w:rsidR="002B4A51">
        <w:rPr>
          <w:bCs/>
        </w:rPr>
        <w:t xml:space="preserve">2 is to follow n104 to use </w:t>
      </w:r>
      <w:r w:rsidR="003D27C9">
        <w:rPr>
          <w:bCs/>
        </w:rPr>
        <w:t xml:space="preserve">only </w:t>
      </w:r>
      <w:r w:rsidR="002B4A51">
        <w:rPr>
          <w:bCs/>
        </w:rPr>
        <w:t xml:space="preserve">TDD. </w:t>
      </w:r>
      <w:r w:rsidR="00253DEA">
        <w:rPr>
          <w:bCs/>
          <w:lang w:val="en-US" w:eastAsia="zh-TW"/>
        </w:rPr>
        <w:t xml:space="preserve">In </w:t>
      </w:r>
      <w:r w:rsidR="00F36F6F">
        <w:rPr>
          <w:bCs/>
          <w:lang w:val="en-US" w:eastAsia="zh-TW"/>
        </w:rPr>
        <w:t>our understanding</w:t>
      </w:r>
      <w:r w:rsidR="00253DEA">
        <w:rPr>
          <w:bCs/>
          <w:lang w:val="en-US" w:eastAsia="zh-TW"/>
        </w:rPr>
        <w:t xml:space="preserve">, since n104 is a TDD band, it would be reasonable to also adopt TDD for this </w:t>
      </w:r>
      <w:r w:rsidR="00A1422A">
        <w:rPr>
          <w:bCs/>
          <w:lang w:val="en-US" w:eastAsia="zh-TW"/>
        </w:rPr>
        <w:t xml:space="preserve">IMT new </w:t>
      </w:r>
      <w:r w:rsidR="00253DEA">
        <w:rPr>
          <w:bCs/>
          <w:lang w:val="en-US" w:eastAsia="zh-TW"/>
        </w:rPr>
        <w:t xml:space="preserve">frequency range. As for </w:t>
      </w:r>
      <w:r w:rsidR="00A1422A">
        <w:rPr>
          <w:bCs/>
          <w:lang w:val="en-US" w:eastAsia="zh-TW"/>
        </w:rPr>
        <w:t>Sub-band full duplex (</w:t>
      </w:r>
      <w:r w:rsidR="00253DEA">
        <w:rPr>
          <w:bCs/>
          <w:lang w:val="en-US" w:eastAsia="zh-TW"/>
        </w:rPr>
        <w:t>SBFD</w:t>
      </w:r>
      <w:r w:rsidR="00A1422A">
        <w:rPr>
          <w:bCs/>
          <w:lang w:val="en-US" w:eastAsia="zh-TW"/>
        </w:rPr>
        <w:t>)</w:t>
      </w:r>
      <w:r w:rsidR="00253DEA">
        <w:rPr>
          <w:bCs/>
          <w:lang w:val="en-US" w:eastAsia="zh-TW"/>
        </w:rPr>
        <w:t xml:space="preserve">, </w:t>
      </w:r>
      <w:r w:rsidR="00BE638C">
        <w:rPr>
          <w:bCs/>
          <w:lang w:val="en-US" w:eastAsia="zh-TW"/>
        </w:rPr>
        <w:t xml:space="preserve">since the Rel-19 SBFD work item is still on-going, it would be probably not stable </w:t>
      </w:r>
      <w:r w:rsidR="00BE638C">
        <w:rPr>
          <w:rFonts w:hint="eastAsia"/>
          <w:bCs/>
          <w:lang w:val="en-US" w:eastAsia="zh-TW"/>
        </w:rPr>
        <w:t>f</w:t>
      </w:r>
      <w:r w:rsidR="00BE638C">
        <w:rPr>
          <w:bCs/>
          <w:lang w:val="en-US" w:eastAsia="zh-TW"/>
        </w:rPr>
        <w:t>or all SFBD technical parameters before the time line to replying LS</w:t>
      </w:r>
      <w:r w:rsidR="00BE638C">
        <w:rPr>
          <w:bCs/>
          <w:lang w:val="en-US" w:eastAsia="zh-TW"/>
        </w:rPr>
        <w:t>.</w:t>
      </w:r>
      <w:r w:rsidR="00BE638C" w:rsidRPr="00BE638C">
        <w:rPr>
          <w:bCs/>
          <w:lang w:val="en-US" w:eastAsia="zh-TW"/>
        </w:rPr>
        <w:t xml:space="preserve"> </w:t>
      </w:r>
      <w:r w:rsidR="00BE638C">
        <w:rPr>
          <w:bCs/>
          <w:lang w:val="en-US" w:eastAsia="zh-TW"/>
        </w:rPr>
        <w:t xml:space="preserve">Besides, it is also agreed in </w:t>
      </w:r>
      <w:r w:rsidR="00BE638C">
        <w:rPr>
          <w:bCs/>
        </w:rPr>
        <w:t xml:space="preserve">RAN4#110bis that </w:t>
      </w:r>
      <w:r w:rsidR="00BE638C" w:rsidRPr="00F36F6F">
        <w:rPr>
          <w:bCs/>
          <w:lang w:val="en-US" w:eastAsia="zh-TW"/>
        </w:rPr>
        <w:t>the usage of SBFD</w:t>
      </w:r>
      <w:r w:rsidR="00BE638C">
        <w:rPr>
          <w:bCs/>
          <w:lang w:val="en-US" w:eastAsia="zh-TW"/>
        </w:rPr>
        <w:t xml:space="preserve"> in the replying LS </w:t>
      </w:r>
      <w:r w:rsidR="00BE638C">
        <w:rPr>
          <w:bCs/>
        </w:rPr>
        <w:t xml:space="preserve">is not precluded in the </w:t>
      </w:r>
      <w:r w:rsidR="00BE638C">
        <w:rPr>
          <w:bCs/>
          <w:lang w:val="en-US" w:eastAsia="zh-TW"/>
        </w:rPr>
        <w:t xml:space="preserve">frequency range </w:t>
      </w:r>
      <w:r w:rsidR="00BE638C" w:rsidRPr="0044318B">
        <w:rPr>
          <w:bCs/>
        </w:rPr>
        <w:t>4400 to 4800 MHz</w:t>
      </w:r>
      <w:r w:rsidR="00BE638C">
        <w:rPr>
          <w:bCs/>
        </w:rPr>
        <w:t xml:space="preserve"> and companies can provide TP to capture it in the TR.</w:t>
      </w:r>
      <w:r w:rsidR="00BE638C">
        <w:rPr>
          <w:bCs/>
        </w:rPr>
        <w:t xml:space="preserve"> Therefore, </w:t>
      </w:r>
      <w:r w:rsidR="00BE638C">
        <w:rPr>
          <w:bCs/>
        </w:rPr>
        <w:t xml:space="preserve">although Rel-19 SBFD WI does not have much impact to the UE specification, it is still not very sure whether any new </w:t>
      </w:r>
      <w:r w:rsidR="00BE638C">
        <w:rPr>
          <w:bCs/>
        </w:rPr>
        <w:t>feature</w:t>
      </w:r>
      <w:r w:rsidR="00BE638C">
        <w:rPr>
          <w:bCs/>
        </w:rPr>
        <w:t xml:space="preserve"> from UE perspective will be </w:t>
      </w:r>
      <w:r w:rsidR="00BE638C">
        <w:rPr>
          <w:bCs/>
        </w:rPr>
        <w:t>introduc</w:t>
      </w:r>
      <w:r w:rsidR="00BE638C">
        <w:rPr>
          <w:bCs/>
        </w:rPr>
        <w:t>ed in the future release</w:t>
      </w:r>
      <w:r w:rsidR="00BE638C">
        <w:rPr>
          <w:bCs/>
        </w:rPr>
        <w:t>.</w:t>
      </w:r>
      <w:r w:rsidR="00BE638C" w:rsidRPr="00BE638C">
        <w:rPr>
          <w:bCs/>
        </w:rPr>
        <w:t xml:space="preserve"> </w:t>
      </w:r>
      <w:r w:rsidR="00BE638C">
        <w:rPr>
          <w:bCs/>
        </w:rPr>
        <w:t xml:space="preserve">Considering that SBFD may be a 6G candidate feature and it is pre-matured to determine the details for technical parameters, it would be better to follow the previous agreement for the frequency range 4400 to 4800 </w:t>
      </w:r>
      <w:proofErr w:type="spellStart"/>
      <w:r w:rsidR="00BE638C">
        <w:rPr>
          <w:bCs/>
        </w:rPr>
        <w:t>MHz.</w:t>
      </w:r>
      <w:proofErr w:type="spellEnd"/>
      <w:r w:rsidR="00BE638C">
        <w:rPr>
          <w:bCs/>
        </w:rPr>
        <w:t xml:space="preserve"> </w:t>
      </w:r>
      <w:r w:rsidR="00BE638C">
        <w:rPr>
          <w:bCs/>
        </w:rPr>
        <w:t>Hence</w:t>
      </w:r>
      <w:r w:rsidR="00BE638C">
        <w:rPr>
          <w:bCs/>
        </w:rPr>
        <w:t xml:space="preserve">, it is proposed to capture only TDD as the duplex method in the reply LS and the usage of SBFD for the frequency range 7125 to 8400 MHz </w:t>
      </w:r>
      <w:r w:rsidR="00BE638C" w:rsidRPr="003E1434">
        <w:t xml:space="preserve">can be captured in </w:t>
      </w:r>
      <w:r w:rsidR="00BE638C">
        <w:t xml:space="preserve">the </w:t>
      </w:r>
      <w:r w:rsidR="00BE638C" w:rsidRPr="003E1434">
        <w:t>SI TR</w:t>
      </w:r>
      <w:r w:rsidR="00BE638C">
        <w:rPr>
          <w:bCs/>
        </w:rPr>
        <w:t>.</w:t>
      </w:r>
    </w:p>
    <w:p w14:paraId="0E155F25" w14:textId="4D6055BC" w:rsidR="00BE638C" w:rsidRPr="00BE638C" w:rsidRDefault="00BE638C" w:rsidP="0085336C">
      <w:pPr>
        <w:jc w:val="both"/>
        <w:rPr>
          <w:b/>
          <w:bCs/>
          <w:u w:val="single"/>
        </w:rPr>
      </w:pPr>
      <w:r w:rsidRPr="00BE638C">
        <w:rPr>
          <w:b/>
          <w:bCs/>
          <w:lang w:val="en-US" w:eastAsia="x-none"/>
        </w:rPr>
        <w:t xml:space="preserve">Proposal 1: </w:t>
      </w:r>
      <w:r w:rsidRPr="00BE638C">
        <w:rPr>
          <w:b/>
          <w:bCs/>
        </w:rPr>
        <w:t xml:space="preserve">Considering that SBFD may be a 6G candidate feature and it is pre-matured to determine the details for technical parameters, it would be better to follow the previous agreement for the frequency range 4400 to 4800 </w:t>
      </w:r>
      <w:proofErr w:type="spellStart"/>
      <w:r w:rsidRPr="00BE638C">
        <w:rPr>
          <w:b/>
          <w:bCs/>
        </w:rPr>
        <w:t>MHz.</w:t>
      </w:r>
      <w:proofErr w:type="spellEnd"/>
      <w:r w:rsidRPr="00BE638C">
        <w:rPr>
          <w:b/>
          <w:bCs/>
        </w:rPr>
        <w:t xml:space="preserve"> Hence, it is proposed to capture only TDD as the duplex method in the reply LS and the usage of SBFD for the frequency range 7125 to 8400 MHz can be captured in the SI TR</w:t>
      </w:r>
      <w:r w:rsidRPr="00BE638C">
        <w:rPr>
          <w:b/>
          <w:bCs/>
        </w:rPr>
        <w:t>.</w:t>
      </w:r>
    </w:p>
    <w:tbl>
      <w:tblPr>
        <w:tblStyle w:val="TableGrid"/>
        <w:tblW w:w="0" w:type="auto"/>
        <w:tblLook w:val="04A0" w:firstRow="1" w:lastRow="0" w:firstColumn="1" w:lastColumn="0" w:noHBand="0" w:noVBand="1"/>
      </w:tblPr>
      <w:tblGrid>
        <w:gridCol w:w="9621"/>
      </w:tblGrid>
      <w:tr w:rsidR="008036E2" w14:paraId="68013E07" w14:textId="77777777" w:rsidTr="00C93874">
        <w:tc>
          <w:tcPr>
            <w:tcW w:w="9621" w:type="dxa"/>
          </w:tcPr>
          <w:p w14:paraId="690E21AF" w14:textId="77777777" w:rsidR="008036E2" w:rsidRDefault="00000000" w:rsidP="00C93874">
            <w:pPr>
              <w:rPr>
                <w:rFonts w:ascii="Arial" w:hAnsi="Arial" w:cs="Arial"/>
                <w:b/>
                <w:sz w:val="24"/>
              </w:rPr>
            </w:pPr>
            <w:hyperlink r:id="rId8" w:history="1">
              <w:r w:rsidR="008036E2" w:rsidRPr="007374F6">
                <w:rPr>
                  <w:rStyle w:val="Hyperlink"/>
                  <w:rFonts w:ascii="Arial" w:hAnsi="Arial" w:cs="Arial"/>
                  <w:b/>
                  <w:sz w:val="24"/>
                </w:rPr>
                <w:t>R4-2406613</w:t>
              </w:r>
            </w:hyperlink>
            <w:r w:rsidR="008036E2">
              <w:rPr>
                <w:rFonts w:ascii="Arial" w:hAnsi="Arial" w:cs="Arial"/>
                <w:b/>
                <w:color w:val="0000FF"/>
                <w:sz w:val="24"/>
              </w:rPr>
              <w:tab/>
            </w:r>
            <w:r w:rsidR="008036E2">
              <w:rPr>
                <w:rFonts w:ascii="Arial" w:hAnsi="Arial" w:cs="Arial"/>
                <w:b/>
                <w:sz w:val="24"/>
              </w:rPr>
              <w:t>Draft LS on Parameters relevant for 4400 to 4800 MHz of terrestrial component of IMT for sharing and compatibility studies in preparation for WRC-27</w:t>
            </w:r>
          </w:p>
          <w:p w14:paraId="5E2F2FBB" w14:textId="77777777" w:rsidR="008036E2" w:rsidRDefault="008036E2" w:rsidP="00C938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53470E1F" w14:textId="77777777" w:rsidR="008036E2" w:rsidRDefault="008036E2" w:rsidP="00C93874">
            <w:pPr>
              <w:rPr>
                <w:rFonts w:ascii="Arial" w:hAnsi="Arial" w:cs="Arial"/>
                <w:b/>
              </w:rPr>
            </w:pPr>
            <w:r>
              <w:rPr>
                <w:rFonts w:ascii="Arial" w:hAnsi="Arial" w:cs="Arial"/>
                <w:b/>
              </w:rPr>
              <w:t xml:space="preserve">Abstract: </w:t>
            </w:r>
          </w:p>
          <w:p w14:paraId="67F59865" w14:textId="77777777" w:rsidR="008036E2" w:rsidRDefault="008036E2" w:rsidP="00C93874">
            <w:r>
              <w:t>At the end of this contribution a draft LS to ITU-R WP 5D with a workplan and information relevant for 4400 to 4800 MHz is attached as an annex.</w:t>
            </w:r>
          </w:p>
          <w:p w14:paraId="53E4526D" w14:textId="77777777" w:rsidR="008036E2" w:rsidRPr="00BD56AF" w:rsidRDefault="008036E2" w:rsidP="00C93874">
            <w:pPr>
              <w:rPr>
                <w:rFonts w:eastAsiaTheme="minorEastAsia"/>
                <w:b/>
                <w:bCs/>
                <w:highlight w:val="green"/>
              </w:rPr>
            </w:pPr>
            <w:r w:rsidRPr="00BD56AF">
              <w:rPr>
                <w:rFonts w:eastAsiaTheme="minorEastAsia"/>
                <w:b/>
                <w:bCs/>
                <w:highlight w:val="green"/>
                <w:lang w:val="en-US"/>
              </w:rPr>
              <w:t>A</w:t>
            </w:r>
            <w:proofErr w:type="spellStart"/>
            <w:r w:rsidRPr="00BD56AF">
              <w:rPr>
                <w:rFonts w:eastAsiaTheme="minorEastAsia"/>
                <w:b/>
                <w:bCs/>
                <w:highlight w:val="green"/>
              </w:rPr>
              <w:t>greement</w:t>
            </w:r>
            <w:proofErr w:type="spellEnd"/>
            <w:r w:rsidRPr="00BD56AF">
              <w:rPr>
                <w:rFonts w:eastAsiaTheme="minorEastAsia"/>
                <w:b/>
                <w:bCs/>
                <w:highlight w:val="green"/>
              </w:rPr>
              <w:t>:</w:t>
            </w:r>
          </w:p>
          <w:p w14:paraId="793B0379" w14:textId="77777777" w:rsidR="008036E2" w:rsidRPr="00CA6CEA" w:rsidRDefault="008036E2" w:rsidP="00C93874">
            <w:pPr>
              <w:pStyle w:val="ListParagraph"/>
              <w:numPr>
                <w:ilvl w:val="0"/>
                <w:numId w:val="59"/>
              </w:numPr>
              <w:overflowPunct/>
              <w:autoSpaceDE/>
              <w:autoSpaceDN/>
              <w:adjustRightInd/>
              <w:contextualSpacing w:val="0"/>
              <w:textAlignment w:val="auto"/>
              <w:rPr>
                <w:rFonts w:eastAsiaTheme="minorEastAsia"/>
                <w:highlight w:val="green"/>
              </w:rPr>
            </w:pPr>
            <w:r w:rsidRPr="00BD56AF">
              <w:rPr>
                <w:rFonts w:eastAsia="DengXian"/>
                <w:highlight w:val="green"/>
              </w:rPr>
              <w:t>The agreements in LS do not preclude the usage of SBFD in this frequency range, and companies can provide TP to capture it in the TR.</w:t>
            </w:r>
          </w:p>
        </w:tc>
      </w:tr>
    </w:tbl>
    <w:p w14:paraId="75713D83" w14:textId="77777777" w:rsidR="00BE638C" w:rsidRDefault="00BE638C" w:rsidP="00CA6CEA">
      <w:pPr>
        <w:jc w:val="both"/>
        <w:rPr>
          <w:b/>
          <w:u w:val="single"/>
        </w:rPr>
      </w:pPr>
    </w:p>
    <w:p w14:paraId="3669B4DB" w14:textId="126CDD44" w:rsidR="00CA6CEA" w:rsidRDefault="00CA6CEA" w:rsidP="00CA6CEA">
      <w:pPr>
        <w:jc w:val="both"/>
        <w:rPr>
          <w:b/>
          <w:u w:val="single"/>
        </w:rPr>
      </w:pPr>
      <w:r>
        <w:rPr>
          <w:b/>
          <w:u w:val="single"/>
        </w:rPr>
        <w:t>Maximum output power (UE)</w:t>
      </w:r>
    </w:p>
    <w:p w14:paraId="788EE022" w14:textId="4D1DAE7A" w:rsidR="007833FA" w:rsidRDefault="007833FA" w:rsidP="0085336C">
      <w:pPr>
        <w:jc w:val="both"/>
        <w:rPr>
          <w:bCs/>
          <w:lang w:val="en-US" w:eastAsia="zh-TW"/>
        </w:rPr>
      </w:pPr>
      <w:r>
        <w:rPr>
          <w:bCs/>
          <w:lang w:val="en-US" w:eastAsia="zh-TW"/>
        </w:rPr>
        <w:lastRenderedPageBreak/>
        <w:t xml:space="preserve">In </w:t>
      </w:r>
      <w:r w:rsidR="00F73CCE">
        <w:rPr>
          <w:bCs/>
          <w:lang w:val="en-US" w:eastAsia="zh-TW"/>
        </w:rPr>
        <w:t xml:space="preserve">the </w:t>
      </w:r>
      <w:r>
        <w:rPr>
          <w:bCs/>
          <w:lang w:val="en-US" w:eastAsia="zh-TW"/>
        </w:rPr>
        <w:t xml:space="preserve">WF, there are four options </w:t>
      </w:r>
      <w:r w:rsidR="00343B08">
        <w:rPr>
          <w:bCs/>
          <w:lang w:val="en-US" w:eastAsia="zh-TW"/>
        </w:rPr>
        <w:t>for maximum output power from UE perspective. The Option 1 is to use 23 dBm (PC3) only</w:t>
      </w:r>
      <w:r w:rsidR="003318DA">
        <w:rPr>
          <w:bCs/>
          <w:lang w:val="en-US" w:eastAsia="zh-TW"/>
        </w:rPr>
        <w:t xml:space="preserve">, </w:t>
      </w:r>
      <w:r w:rsidR="00343B08">
        <w:rPr>
          <w:bCs/>
          <w:lang w:val="en-US" w:eastAsia="zh-TW"/>
        </w:rPr>
        <w:t>and Option 2 is to use 20 dBm (PC5)</w:t>
      </w:r>
      <w:r w:rsidR="003318DA">
        <w:rPr>
          <w:bCs/>
          <w:lang w:val="en-US" w:eastAsia="zh-TW"/>
        </w:rPr>
        <w:t xml:space="preserve">. The Option 3 is to apply n104 23 dBm (PC3) and 26 dBm (PC2), and the Option 4 is to use 29 dBm (PC1.5). </w:t>
      </w:r>
    </w:p>
    <w:p w14:paraId="3FD23E61" w14:textId="0B13FAEA" w:rsidR="007833FA" w:rsidRDefault="00A83938" w:rsidP="0085336C">
      <w:pPr>
        <w:jc w:val="both"/>
        <w:rPr>
          <w:bCs/>
        </w:rPr>
      </w:pPr>
      <w:r>
        <w:rPr>
          <w:bCs/>
          <w:lang w:val="en-US" w:eastAsia="zh-TW"/>
        </w:rPr>
        <w:t xml:space="preserve">In our understanding, </w:t>
      </w:r>
      <w:r>
        <w:rPr>
          <w:bCs/>
        </w:rPr>
        <w:t>f</w:t>
      </w:r>
      <w:r w:rsidR="00343B08">
        <w:rPr>
          <w:bCs/>
        </w:rPr>
        <w:t>rom incumber user perspective, i</w:t>
      </w:r>
      <w:r w:rsidR="00582705">
        <w:rPr>
          <w:bCs/>
        </w:rPr>
        <w:t xml:space="preserve">t is observed in [4] that </w:t>
      </w:r>
      <w:r w:rsidR="00343B08">
        <w:rPr>
          <w:bCs/>
        </w:rPr>
        <w:t>this</w:t>
      </w:r>
      <w:r w:rsidR="007833FA" w:rsidRPr="007833FA">
        <w:rPr>
          <w:bCs/>
        </w:rPr>
        <w:t xml:space="preserve"> frequency range</w:t>
      </w:r>
      <w:r w:rsidR="00343B08">
        <w:rPr>
          <w:bCs/>
        </w:rPr>
        <w:t xml:space="preserve"> in the US</w:t>
      </w:r>
      <w:r w:rsidR="007833FA" w:rsidRPr="007833FA">
        <w:rPr>
          <w:bCs/>
        </w:rPr>
        <w:t xml:space="preserve"> is primarily utilized by military radar systems, various satellite networks (both GSO and NGSO), fixed services (FS), and earth exploration services (EES).</w:t>
      </w:r>
      <w:r>
        <w:rPr>
          <w:bCs/>
        </w:rPr>
        <w:t xml:space="preserve"> </w:t>
      </w:r>
      <w:r w:rsidR="007833FA" w:rsidRPr="007833FA">
        <w:rPr>
          <w:bCs/>
        </w:rPr>
        <w:t xml:space="preserve">Consequently, </w:t>
      </w:r>
      <w:r w:rsidR="00577BFB">
        <w:rPr>
          <w:bCs/>
        </w:rPr>
        <w:t>releasing</w:t>
      </w:r>
      <w:r w:rsidR="007833FA" w:rsidRPr="007833FA">
        <w:rPr>
          <w:bCs/>
        </w:rPr>
        <w:t xml:space="preserve"> this band for public mobile networks (e.g., IMT-2030 or 6G) </w:t>
      </w:r>
      <w:r w:rsidR="006B5206">
        <w:rPr>
          <w:bCs/>
        </w:rPr>
        <w:t>may be challenging</w:t>
      </w:r>
      <w:r w:rsidR="00577BFB">
        <w:rPr>
          <w:bCs/>
        </w:rPr>
        <w:t>,</w:t>
      </w:r>
      <w:r w:rsidR="007833FA" w:rsidRPr="007833FA">
        <w:rPr>
          <w:bCs/>
        </w:rPr>
        <w:t xml:space="preserve"> </w:t>
      </w:r>
      <w:r w:rsidR="00577BFB">
        <w:rPr>
          <w:bCs/>
        </w:rPr>
        <w:t>and</w:t>
      </w:r>
      <w:r w:rsidR="007833FA" w:rsidRPr="007833FA">
        <w:rPr>
          <w:bCs/>
        </w:rPr>
        <w:t xml:space="preserve"> </w:t>
      </w:r>
      <w:r w:rsidR="00577BFB">
        <w:rPr>
          <w:bCs/>
        </w:rPr>
        <w:t xml:space="preserve">the </w:t>
      </w:r>
      <w:r w:rsidR="007833FA" w:rsidRPr="007833FA">
        <w:rPr>
          <w:bCs/>
        </w:rPr>
        <w:t xml:space="preserve">shared usage of the 7125-8400 MHz band </w:t>
      </w:r>
      <w:r w:rsidR="00343B08">
        <w:rPr>
          <w:bCs/>
        </w:rPr>
        <w:t>might be a possible solution</w:t>
      </w:r>
      <w:r w:rsidR="00577BFB">
        <w:rPr>
          <w:bCs/>
        </w:rPr>
        <w:t xml:space="preserve"> instead</w:t>
      </w:r>
      <w:r w:rsidR="002E6159">
        <w:rPr>
          <w:bCs/>
        </w:rPr>
        <w:t xml:space="preserve">. </w:t>
      </w:r>
    </w:p>
    <w:p w14:paraId="0A65FB89" w14:textId="77777777" w:rsidR="00951DED" w:rsidRDefault="00951DED" w:rsidP="00951DED">
      <w:pPr>
        <w:jc w:val="center"/>
        <w:rPr>
          <w:b/>
          <w:bCs/>
        </w:rPr>
      </w:pPr>
      <w:r w:rsidRPr="00FB4E3D">
        <w:rPr>
          <w:b/>
          <w:bCs/>
          <w:noProof/>
        </w:rPr>
        <w:drawing>
          <wp:inline distT="0" distB="0" distL="0" distR="0" wp14:anchorId="1FAD54A7" wp14:editId="57955BE4">
            <wp:extent cx="6188710" cy="1755775"/>
            <wp:effectExtent l="0" t="0" r="2540" b="0"/>
            <wp:docPr id="2" name="Picture 1">
              <a:extLst xmlns:a="http://schemas.openxmlformats.org/drawingml/2006/main">
                <a:ext uri="{FF2B5EF4-FFF2-40B4-BE49-F238E27FC236}">
                  <a16:creationId xmlns:a16="http://schemas.microsoft.com/office/drawing/2014/main" id="{30B964D8-8CCC-A94B-9F5C-A16ACBB371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30B964D8-8CCC-A94B-9F5C-A16ACBB3711C}"/>
                        </a:ext>
                      </a:extLst>
                    </pic:cNvPr>
                    <pic:cNvPicPr>
                      <a:picLocks noChangeAspect="1"/>
                    </pic:cNvPicPr>
                  </pic:nvPicPr>
                  <pic:blipFill>
                    <a:blip r:embed="rId9"/>
                    <a:stretch>
                      <a:fillRect/>
                    </a:stretch>
                  </pic:blipFill>
                  <pic:spPr>
                    <a:xfrm>
                      <a:off x="0" y="0"/>
                      <a:ext cx="6188710" cy="1755775"/>
                    </a:xfrm>
                    <a:prstGeom prst="rect">
                      <a:avLst/>
                    </a:prstGeom>
                  </pic:spPr>
                </pic:pic>
              </a:graphicData>
            </a:graphic>
          </wp:inline>
        </w:drawing>
      </w:r>
    </w:p>
    <w:p w14:paraId="056F7377" w14:textId="024C6343" w:rsidR="00951DED" w:rsidRPr="00FB4E3D" w:rsidRDefault="00951DED" w:rsidP="00951DED">
      <w:pPr>
        <w:jc w:val="center"/>
      </w:pPr>
      <w:r w:rsidRPr="00FB4E3D">
        <w:t>Figure 1. Spectrum allocation</w:t>
      </w:r>
      <w:r>
        <w:t xml:space="preserve"> in the 7125 – 8400 MHz band in the USA. [4]</w:t>
      </w:r>
    </w:p>
    <w:p w14:paraId="5F433B13" w14:textId="01365466" w:rsidR="002923C5" w:rsidRDefault="00577BFB" w:rsidP="00577BFB">
      <w:pPr>
        <w:jc w:val="both"/>
        <w:rPr>
          <w:bCs/>
        </w:rPr>
      </w:pPr>
      <w:r>
        <w:rPr>
          <w:bCs/>
        </w:rPr>
        <w:t xml:space="preserve">Regarding the new band spectrum sharing with the military spectrum, the </w:t>
      </w:r>
      <w:r w:rsidR="002E6159">
        <w:rPr>
          <w:bCs/>
        </w:rPr>
        <w:t xml:space="preserve">CBRS band n48 </w:t>
      </w:r>
      <w:r>
        <w:rPr>
          <w:bCs/>
        </w:rPr>
        <w:t>can</w:t>
      </w:r>
      <w:r w:rsidR="002E6159">
        <w:rPr>
          <w:bCs/>
        </w:rPr>
        <w:t xml:space="preserve"> be a prece</w:t>
      </w:r>
      <w:r w:rsidR="006B5206">
        <w:rPr>
          <w:bCs/>
        </w:rPr>
        <w:t>de</w:t>
      </w:r>
      <w:r w:rsidR="002E6159">
        <w:rPr>
          <w:bCs/>
        </w:rPr>
        <w:t>nt example which is defined in FCC part 96 for spectrum sharing with the military radar system.</w:t>
      </w:r>
      <w:r w:rsidRPr="00577BFB">
        <w:rPr>
          <w:bCs/>
        </w:rPr>
        <w:t xml:space="preserve"> </w:t>
      </w:r>
      <w:r>
        <w:rPr>
          <w:bCs/>
        </w:rPr>
        <w:t xml:space="preserve">The spectrum access for n48 is divided into three tiers and the spectrum access system (SAS) is designed to protect the Tier-1 incumbent users. For Tier-2 and Tier-3 users, the spectrum access for n48 is needed to be coordinated by SAS which can mitigate the interference among users. </w:t>
      </w:r>
      <w:r w:rsidR="00C20C88">
        <w:rPr>
          <w:bCs/>
        </w:rPr>
        <w:t xml:space="preserve">In order to </w:t>
      </w:r>
      <w:r w:rsidR="006B5206">
        <w:rPr>
          <w:bCs/>
        </w:rPr>
        <w:t>minimize the interference</w:t>
      </w:r>
      <w:r>
        <w:rPr>
          <w:bCs/>
        </w:rPr>
        <w:t xml:space="preserve">, </w:t>
      </w:r>
      <w:r w:rsidR="00C20C88">
        <w:rPr>
          <w:bCs/>
        </w:rPr>
        <w:t xml:space="preserve">the power class of n48 is only </w:t>
      </w:r>
      <w:r w:rsidR="006B5206">
        <w:rPr>
          <w:bCs/>
        </w:rPr>
        <w:t>agreed</w:t>
      </w:r>
      <w:r w:rsidR="00C20C88">
        <w:rPr>
          <w:bCs/>
        </w:rPr>
        <w:t xml:space="preserve"> as 23 dBm (PC3)</w:t>
      </w:r>
      <w:r w:rsidR="006B5206">
        <w:rPr>
          <w:bCs/>
        </w:rPr>
        <w:t xml:space="preserve"> </w:t>
      </w:r>
      <w:r w:rsidR="00D26DE7">
        <w:rPr>
          <w:bCs/>
        </w:rPr>
        <w:t xml:space="preserve">in TS 38.101-1 and no HPUE </w:t>
      </w:r>
      <w:r w:rsidR="002923C5">
        <w:rPr>
          <w:bCs/>
        </w:rPr>
        <w:t xml:space="preserve">is introduced </w:t>
      </w:r>
      <w:r w:rsidR="00D26DE7">
        <w:rPr>
          <w:bCs/>
        </w:rPr>
        <w:t>for this band</w:t>
      </w:r>
      <w:r w:rsidR="00C20C88">
        <w:rPr>
          <w:bCs/>
        </w:rPr>
        <w:t>.</w:t>
      </w:r>
    </w:p>
    <w:p w14:paraId="2E70750E" w14:textId="38544196" w:rsidR="00044658" w:rsidRPr="000B7ADC" w:rsidRDefault="000B7ADC" w:rsidP="00577BFB">
      <w:pPr>
        <w:jc w:val="both"/>
        <w:rPr>
          <w:bCs/>
          <w:lang w:val="en-US" w:eastAsia="zh-TW"/>
        </w:rPr>
      </w:pPr>
      <w:r>
        <w:rPr>
          <w:rFonts w:hint="eastAsia"/>
          <w:bCs/>
          <w:lang w:eastAsia="zh-TW"/>
        </w:rPr>
        <w:t>C</w:t>
      </w:r>
      <w:r>
        <w:rPr>
          <w:bCs/>
          <w:lang w:eastAsia="zh-TW"/>
        </w:rPr>
        <w:t xml:space="preserve">onsidering </w:t>
      </w:r>
      <w:r w:rsidR="00C20C88">
        <w:rPr>
          <w:bCs/>
        </w:rPr>
        <w:t xml:space="preserve">that the spectrum sharing and interference mitigation </w:t>
      </w:r>
      <w:r>
        <w:rPr>
          <w:bCs/>
        </w:rPr>
        <w:t>might</w:t>
      </w:r>
      <w:r w:rsidR="00C20C88">
        <w:rPr>
          <w:bCs/>
        </w:rPr>
        <w:t xml:space="preserve"> be the main </w:t>
      </w:r>
      <w:r>
        <w:rPr>
          <w:bCs/>
        </w:rPr>
        <w:t>issue</w:t>
      </w:r>
      <w:r w:rsidR="00C20C88">
        <w:rPr>
          <w:bCs/>
        </w:rPr>
        <w:t xml:space="preserve"> for this frequency range, </w:t>
      </w:r>
      <w:r w:rsidR="00CC63B5">
        <w:rPr>
          <w:bCs/>
        </w:rPr>
        <w:t xml:space="preserve">the power class for </w:t>
      </w:r>
      <w:r w:rsidR="001B2FF7">
        <w:rPr>
          <w:bCs/>
        </w:rPr>
        <w:t xml:space="preserve">NR-U band </w:t>
      </w:r>
      <w:r w:rsidR="00C20C88">
        <w:rPr>
          <w:bCs/>
        </w:rPr>
        <w:t>n96 (</w:t>
      </w:r>
      <w:r w:rsidR="001B2FF7" w:rsidRPr="001B2FF7">
        <w:rPr>
          <w:bCs/>
        </w:rPr>
        <w:t>5925</w:t>
      </w:r>
      <w:r w:rsidR="001B2FF7">
        <w:rPr>
          <w:bCs/>
        </w:rPr>
        <w:t>MHz</w:t>
      </w:r>
      <w:r w:rsidR="001B2FF7" w:rsidRPr="001B2FF7">
        <w:rPr>
          <w:bCs/>
        </w:rPr>
        <w:t xml:space="preserve"> – 7125</w:t>
      </w:r>
      <w:r w:rsidR="001B2FF7">
        <w:rPr>
          <w:bCs/>
        </w:rPr>
        <w:t>MHz</w:t>
      </w:r>
      <w:r w:rsidR="00C20C88">
        <w:rPr>
          <w:bCs/>
        </w:rPr>
        <w:t xml:space="preserve">) </w:t>
      </w:r>
      <w:r w:rsidR="00CC63B5">
        <w:rPr>
          <w:bCs/>
        </w:rPr>
        <w:t xml:space="preserve">are defined as 23 dBm (PC3) and 20 dBm (PC5), which </w:t>
      </w:r>
      <w:r w:rsidR="001B2FF7">
        <w:rPr>
          <w:bCs/>
        </w:rPr>
        <w:t xml:space="preserve">can also be </w:t>
      </w:r>
      <w:r w:rsidR="00CC63B5">
        <w:rPr>
          <w:bCs/>
          <w:lang w:val="en-US" w:eastAsia="zh-TW"/>
        </w:rPr>
        <w:t>the</w:t>
      </w:r>
      <w:r w:rsidR="001B2FF7">
        <w:rPr>
          <w:rFonts w:hint="eastAsia"/>
          <w:bCs/>
          <w:lang w:eastAsia="zh-TW"/>
        </w:rPr>
        <w:t xml:space="preserve"> </w:t>
      </w:r>
      <w:r w:rsidR="001B2FF7">
        <w:rPr>
          <w:bCs/>
        </w:rPr>
        <w:t>reference</w:t>
      </w:r>
      <w:r w:rsidR="00CC63B5">
        <w:rPr>
          <w:bCs/>
        </w:rPr>
        <w:t xml:space="preserve"> for the technical parameters. </w:t>
      </w:r>
      <w:r>
        <w:rPr>
          <w:bCs/>
        </w:rPr>
        <w:t>In our view, the rule for no HPUE on n48 and n96 can be also applied to this frequency range for 7125</w:t>
      </w:r>
      <w:r w:rsidRPr="000B7ADC">
        <w:rPr>
          <w:bCs/>
        </w:rPr>
        <w:t xml:space="preserve"> to 8</w:t>
      </w:r>
      <w:r>
        <w:rPr>
          <w:bCs/>
        </w:rPr>
        <w:t>4</w:t>
      </w:r>
      <w:r w:rsidRPr="000B7ADC">
        <w:rPr>
          <w:bCs/>
        </w:rPr>
        <w:t xml:space="preserve">00 </w:t>
      </w:r>
      <w:proofErr w:type="spellStart"/>
      <w:r w:rsidRPr="000B7ADC">
        <w:rPr>
          <w:bCs/>
        </w:rPr>
        <w:t>MHz</w:t>
      </w:r>
      <w:r>
        <w:rPr>
          <w:bCs/>
        </w:rPr>
        <w:t>.</w:t>
      </w:r>
      <w:proofErr w:type="spellEnd"/>
      <w:r>
        <w:rPr>
          <w:bCs/>
        </w:rPr>
        <w:t xml:space="preserve"> Hence, it is proposed </w:t>
      </w:r>
      <w:r w:rsidR="00E0015A">
        <w:rPr>
          <w:bCs/>
        </w:rPr>
        <w:t xml:space="preserve">not </w:t>
      </w:r>
      <w:r>
        <w:rPr>
          <w:bCs/>
        </w:rPr>
        <w:t>to</w:t>
      </w:r>
      <w:r w:rsidR="00E0015A">
        <w:rPr>
          <w:bCs/>
        </w:rPr>
        <w:t xml:space="preserve"> </w:t>
      </w:r>
      <w:r w:rsidR="001A29E4">
        <w:rPr>
          <w:bCs/>
        </w:rPr>
        <w:t>introduce</w:t>
      </w:r>
      <w:r w:rsidR="00E0015A">
        <w:rPr>
          <w:bCs/>
        </w:rPr>
        <w:t xml:space="preserve"> HPUE and only</w:t>
      </w:r>
      <w:r>
        <w:rPr>
          <w:bCs/>
        </w:rPr>
        <w:t xml:space="preserve"> apply 23 dBm (PC3) and 20 dBm (PC5) </w:t>
      </w:r>
      <w:r w:rsidR="00E0015A">
        <w:rPr>
          <w:bCs/>
        </w:rPr>
        <w:t>to</w:t>
      </w:r>
      <w:r>
        <w:rPr>
          <w:bCs/>
        </w:rPr>
        <w:t xml:space="preserve"> the frequency range for 7125</w:t>
      </w:r>
      <w:r w:rsidRPr="000B7ADC">
        <w:rPr>
          <w:bCs/>
        </w:rPr>
        <w:t xml:space="preserve"> to 8</w:t>
      </w:r>
      <w:r>
        <w:rPr>
          <w:bCs/>
        </w:rPr>
        <w:t>4</w:t>
      </w:r>
      <w:r w:rsidRPr="000B7ADC">
        <w:rPr>
          <w:bCs/>
        </w:rPr>
        <w:t xml:space="preserve">00 </w:t>
      </w:r>
      <w:proofErr w:type="spellStart"/>
      <w:r w:rsidRPr="000B7ADC">
        <w:rPr>
          <w:bCs/>
        </w:rPr>
        <w:t>MHz</w:t>
      </w:r>
      <w:r>
        <w:rPr>
          <w:bCs/>
        </w:rPr>
        <w:t>.</w:t>
      </w:r>
      <w:proofErr w:type="spellEnd"/>
    </w:p>
    <w:p w14:paraId="06D0CF79" w14:textId="4A495EBC" w:rsidR="006B5206" w:rsidRPr="000104B3" w:rsidRDefault="006B5206" w:rsidP="006B5206">
      <w:pPr>
        <w:jc w:val="both"/>
        <w:rPr>
          <w:b/>
          <w:bCs/>
          <w:lang w:val="en-US" w:eastAsia="x-none"/>
        </w:rPr>
      </w:pPr>
      <w:r w:rsidRPr="00126D11">
        <w:rPr>
          <w:b/>
          <w:bCs/>
          <w:lang w:val="en-US" w:eastAsia="x-none"/>
        </w:rPr>
        <w:t xml:space="preserve">Proposal </w:t>
      </w:r>
      <w:r w:rsidR="00E6555F">
        <w:rPr>
          <w:b/>
          <w:bCs/>
          <w:lang w:val="en-US" w:eastAsia="x-none"/>
        </w:rPr>
        <w:t>2</w:t>
      </w:r>
      <w:r w:rsidRPr="00126D11">
        <w:rPr>
          <w:b/>
          <w:bCs/>
          <w:lang w:val="en-US" w:eastAsia="x-none"/>
        </w:rPr>
        <w:t xml:space="preserve">: </w:t>
      </w:r>
      <w:r w:rsidR="000B7ADC" w:rsidRPr="00E0015A">
        <w:rPr>
          <w:rFonts w:hint="eastAsia"/>
          <w:b/>
          <w:lang w:eastAsia="zh-TW"/>
        </w:rPr>
        <w:t>C</w:t>
      </w:r>
      <w:r w:rsidR="000B7ADC" w:rsidRPr="00E0015A">
        <w:rPr>
          <w:b/>
          <w:lang w:eastAsia="zh-TW"/>
        </w:rPr>
        <w:t xml:space="preserve">onsidering </w:t>
      </w:r>
      <w:r w:rsidR="000B7ADC" w:rsidRPr="00E0015A">
        <w:rPr>
          <w:b/>
        </w:rPr>
        <w:t>that the spectrum sharing and interference mitigation might be the main issue for this frequency range,</w:t>
      </w:r>
      <w:r w:rsidR="000B7ADC">
        <w:rPr>
          <w:b/>
          <w:bCs/>
          <w:lang w:val="en-US" w:eastAsia="x-none"/>
        </w:rPr>
        <w:t xml:space="preserve"> i</w:t>
      </w:r>
      <w:r w:rsidR="000B7ADC" w:rsidRPr="000B7ADC">
        <w:rPr>
          <w:b/>
          <w:bCs/>
          <w:lang w:val="en-US" w:eastAsia="x-none"/>
        </w:rPr>
        <w:t xml:space="preserve">t is proposed </w:t>
      </w:r>
      <w:r w:rsidR="00E0015A">
        <w:rPr>
          <w:b/>
          <w:bCs/>
          <w:lang w:val="en-US" w:eastAsia="x-none"/>
        </w:rPr>
        <w:t xml:space="preserve">not </w:t>
      </w:r>
      <w:r w:rsidR="000B7ADC" w:rsidRPr="000B7ADC">
        <w:rPr>
          <w:b/>
          <w:bCs/>
          <w:lang w:val="en-US" w:eastAsia="x-none"/>
        </w:rPr>
        <w:t>to</w:t>
      </w:r>
      <w:r w:rsidR="00E0015A">
        <w:rPr>
          <w:b/>
          <w:bCs/>
          <w:lang w:val="en-US" w:eastAsia="x-none"/>
        </w:rPr>
        <w:t xml:space="preserve"> </w:t>
      </w:r>
      <w:r w:rsidR="001A29E4">
        <w:rPr>
          <w:b/>
          <w:bCs/>
          <w:lang w:val="en-US" w:eastAsia="x-none"/>
        </w:rPr>
        <w:t>introduce</w:t>
      </w:r>
      <w:r w:rsidR="00E0015A">
        <w:rPr>
          <w:b/>
          <w:bCs/>
          <w:lang w:val="en-US" w:eastAsia="x-none"/>
        </w:rPr>
        <w:t xml:space="preserve"> HPUE and only</w:t>
      </w:r>
      <w:r w:rsidR="000B7ADC" w:rsidRPr="000B7ADC">
        <w:rPr>
          <w:b/>
          <w:bCs/>
          <w:lang w:val="en-US" w:eastAsia="x-none"/>
        </w:rPr>
        <w:t xml:space="preserve"> apply 23 dBm (PC3) and 20 dBm (PC5) to the frequency range for 7125 to 8400 </w:t>
      </w:r>
      <w:proofErr w:type="spellStart"/>
      <w:r w:rsidR="000B7ADC" w:rsidRPr="000B7ADC">
        <w:rPr>
          <w:b/>
          <w:bCs/>
          <w:lang w:val="en-US" w:eastAsia="x-none"/>
        </w:rPr>
        <w:t>MHz</w:t>
      </w:r>
      <w:r w:rsidR="00C53D1F">
        <w:rPr>
          <w:b/>
          <w:bCs/>
          <w:lang w:val="en-US" w:eastAsia="x-none"/>
        </w:rPr>
        <w:t>.</w:t>
      </w:r>
      <w:proofErr w:type="spellEnd"/>
    </w:p>
    <w:p w14:paraId="41A92AFA" w14:textId="77777777" w:rsidR="0044170B" w:rsidRDefault="0044170B" w:rsidP="0044170B">
      <w:pPr>
        <w:pStyle w:val="Heading1"/>
        <w:rPr>
          <w:lang w:val="en-US"/>
        </w:rPr>
      </w:pPr>
      <w:r>
        <w:rPr>
          <w:lang w:val="en-US"/>
        </w:rPr>
        <w:t>Conclusion</w:t>
      </w:r>
    </w:p>
    <w:p w14:paraId="11E28819" w14:textId="2F7FBA07" w:rsidR="0044170B" w:rsidRPr="007A5374" w:rsidRDefault="0044170B" w:rsidP="0044170B">
      <w:pPr>
        <w:rPr>
          <w:lang w:val="en-US"/>
        </w:rPr>
      </w:pPr>
      <w:r>
        <w:rPr>
          <w:lang w:val="en-US"/>
        </w:rPr>
        <w:t>The proposals in this contribution are summarized in the following.</w:t>
      </w:r>
    </w:p>
    <w:p w14:paraId="11946E9D" w14:textId="77777777" w:rsidR="00BE638C" w:rsidRPr="00BE638C" w:rsidRDefault="00BE638C" w:rsidP="00BE638C">
      <w:pPr>
        <w:jc w:val="both"/>
        <w:rPr>
          <w:b/>
          <w:bCs/>
          <w:u w:val="single"/>
        </w:rPr>
      </w:pPr>
      <w:r w:rsidRPr="00BE638C">
        <w:rPr>
          <w:b/>
          <w:bCs/>
          <w:lang w:val="en-US" w:eastAsia="x-none"/>
        </w:rPr>
        <w:t xml:space="preserve">Proposal 1: </w:t>
      </w:r>
      <w:r w:rsidRPr="00BE638C">
        <w:rPr>
          <w:b/>
          <w:bCs/>
        </w:rPr>
        <w:t xml:space="preserve">Considering that SBFD may be a 6G candidate feature and it is pre-matured to determine the details for technical parameters, it would be better to follow the previous agreement for the frequency range 4400 to 4800 </w:t>
      </w:r>
      <w:proofErr w:type="spellStart"/>
      <w:r w:rsidRPr="00BE638C">
        <w:rPr>
          <w:b/>
          <w:bCs/>
        </w:rPr>
        <w:t>MHz.</w:t>
      </w:r>
      <w:proofErr w:type="spellEnd"/>
      <w:r w:rsidRPr="00BE638C">
        <w:rPr>
          <w:b/>
          <w:bCs/>
        </w:rPr>
        <w:t xml:space="preserve"> Hence, it is proposed to capture only TDD as the duplex method in the reply LS and the usage of SBFD for the frequency range 7125 to 8400 MHz can be captured in the SI TR.</w:t>
      </w:r>
    </w:p>
    <w:p w14:paraId="7BD87A85" w14:textId="10CBE3EA" w:rsidR="008848AF" w:rsidRPr="000104B3" w:rsidRDefault="008848AF" w:rsidP="008848AF">
      <w:pPr>
        <w:jc w:val="both"/>
        <w:rPr>
          <w:b/>
          <w:bCs/>
          <w:lang w:val="en-US" w:eastAsia="x-none"/>
        </w:rPr>
      </w:pPr>
      <w:r w:rsidRPr="00126D11">
        <w:rPr>
          <w:b/>
          <w:bCs/>
          <w:lang w:val="en-US" w:eastAsia="x-none"/>
        </w:rPr>
        <w:t xml:space="preserve">Proposal </w:t>
      </w:r>
      <w:r>
        <w:rPr>
          <w:b/>
          <w:bCs/>
          <w:lang w:val="en-US" w:eastAsia="x-none"/>
        </w:rPr>
        <w:t>2</w:t>
      </w:r>
      <w:r w:rsidRPr="00126D11">
        <w:rPr>
          <w:b/>
          <w:bCs/>
          <w:lang w:val="en-US" w:eastAsia="x-none"/>
        </w:rPr>
        <w:t xml:space="preserve">: </w:t>
      </w:r>
      <w:r w:rsidRPr="00E0015A">
        <w:rPr>
          <w:rFonts w:hint="eastAsia"/>
          <w:b/>
          <w:lang w:eastAsia="zh-TW"/>
        </w:rPr>
        <w:t>C</w:t>
      </w:r>
      <w:r w:rsidRPr="00E0015A">
        <w:rPr>
          <w:b/>
          <w:lang w:eastAsia="zh-TW"/>
        </w:rPr>
        <w:t xml:space="preserve">onsidering </w:t>
      </w:r>
      <w:r w:rsidRPr="00E0015A">
        <w:rPr>
          <w:b/>
        </w:rPr>
        <w:t>that the spectrum sharing and interference mitigation might be the main issue for this frequency range,</w:t>
      </w:r>
      <w:r>
        <w:rPr>
          <w:b/>
          <w:bCs/>
          <w:lang w:val="en-US" w:eastAsia="x-none"/>
        </w:rPr>
        <w:t xml:space="preserve"> i</w:t>
      </w:r>
      <w:r w:rsidRPr="000B7ADC">
        <w:rPr>
          <w:b/>
          <w:bCs/>
          <w:lang w:val="en-US" w:eastAsia="x-none"/>
        </w:rPr>
        <w:t xml:space="preserve">t is proposed </w:t>
      </w:r>
      <w:r>
        <w:rPr>
          <w:b/>
          <w:bCs/>
          <w:lang w:val="en-US" w:eastAsia="x-none"/>
        </w:rPr>
        <w:t xml:space="preserve">not </w:t>
      </w:r>
      <w:r w:rsidRPr="000B7ADC">
        <w:rPr>
          <w:b/>
          <w:bCs/>
          <w:lang w:val="en-US" w:eastAsia="x-none"/>
        </w:rPr>
        <w:t>to</w:t>
      </w:r>
      <w:r>
        <w:rPr>
          <w:b/>
          <w:bCs/>
          <w:lang w:val="en-US" w:eastAsia="x-none"/>
        </w:rPr>
        <w:t xml:space="preserve"> </w:t>
      </w:r>
      <w:r w:rsidR="001A29E4">
        <w:rPr>
          <w:b/>
          <w:bCs/>
          <w:lang w:val="en-US" w:eastAsia="x-none"/>
        </w:rPr>
        <w:t>introduce</w:t>
      </w:r>
      <w:r>
        <w:rPr>
          <w:b/>
          <w:bCs/>
          <w:lang w:val="en-US" w:eastAsia="x-none"/>
        </w:rPr>
        <w:t xml:space="preserve"> HPUE and only</w:t>
      </w:r>
      <w:r w:rsidRPr="000B7ADC">
        <w:rPr>
          <w:b/>
          <w:bCs/>
          <w:lang w:val="en-US" w:eastAsia="x-none"/>
        </w:rPr>
        <w:t xml:space="preserve"> apply 23 dBm (PC3) and 20 dBm (PC5) to the frequency range for 7125 to 8400 </w:t>
      </w:r>
      <w:proofErr w:type="spellStart"/>
      <w:r w:rsidRPr="000B7ADC">
        <w:rPr>
          <w:b/>
          <w:bCs/>
          <w:lang w:val="en-US" w:eastAsia="x-none"/>
        </w:rPr>
        <w:t>MHz</w:t>
      </w:r>
      <w:r>
        <w:rPr>
          <w:b/>
          <w:bCs/>
          <w:lang w:val="en-US" w:eastAsia="x-none"/>
        </w:rPr>
        <w:t>.</w:t>
      </w:r>
      <w:proofErr w:type="spellEnd"/>
    </w:p>
    <w:p w14:paraId="56780286" w14:textId="60CCB3D5" w:rsidR="00A839C8" w:rsidRPr="00046E46" w:rsidRDefault="00A839C8" w:rsidP="00046E46">
      <w:pPr>
        <w:pStyle w:val="Heading1"/>
        <w:rPr>
          <w:lang w:val="en-US"/>
        </w:rPr>
      </w:pPr>
      <w:r w:rsidRPr="00046E46">
        <w:rPr>
          <w:lang w:val="en-US"/>
        </w:rPr>
        <w:t>Reference</w:t>
      </w:r>
    </w:p>
    <w:p w14:paraId="634EAF6A" w14:textId="354F7826" w:rsidR="008E7636" w:rsidRDefault="003B56D7" w:rsidP="00DA6AB3">
      <w:pPr>
        <w:numPr>
          <w:ilvl w:val="0"/>
          <w:numId w:val="2"/>
        </w:numPr>
        <w:tabs>
          <w:tab w:val="left" w:pos="1080"/>
        </w:tabs>
        <w:rPr>
          <w:lang w:val="en-US" w:eastAsia="x-none"/>
        </w:rPr>
      </w:pPr>
      <w:r w:rsidRPr="003B56D7">
        <w:rPr>
          <w:lang w:val="en-US" w:eastAsia="x-none"/>
        </w:rPr>
        <w:t>R4-2400333</w:t>
      </w:r>
      <w:r w:rsidR="00AA2163">
        <w:rPr>
          <w:lang w:val="en-US" w:eastAsia="x-none"/>
        </w:rPr>
        <w:t>, “</w:t>
      </w:r>
      <w:r w:rsidRPr="003B56D7">
        <w:rPr>
          <w:lang w:val="en-US" w:eastAsia="x-none"/>
        </w:rPr>
        <w:t>Parameters of terrestrial component of IMT for sharing and compatibility studies in the frequency bands 4 400-4 800 MHz, 7 125-8 400 MHz and 14.8-15.35 GHz. (R23-WP5D-240131-TD-0028)</w:t>
      </w:r>
      <w:r w:rsidR="00AA2163">
        <w:rPr>
          <w:lang w:val="en-US" w:eastAsia="x-none"/>
        </w:rPr>
        <w:t xml:space="preserve">”, </w:t>
      </w:r>
      <w:r w:rsidRPr="003B56D7">
        <w:rPr>
          <w:lang w:val="en-US" w:eastAsia="x-none"/>
        </w:rPr>
        <w:t>ITU-R Working Party 5D, RAN4#110</w:t>
      </w:r>
    </w:p>
    <w:p w14:paraId="446E7147" w14:textId="057E69FF" w:rsidR="00791A14" w:rsidRDefault="003B56D7" w:rsidP="00DA6AB3">
      <w:pPr>
        <w:numPr>
          <w:ilvl w:val="0"/>
          <w:numId w:val="2"/>
        </w:numPr>
        <w:tabs>
          <w:tab w:val="left" w:pos="1080"/>
        </w:tabs>
        <w:rPr>
          <w:lang w:val="en-US" w:eastAsia="x-none"/>
        </w:rPr>
      </w:pPr>
      <w:r w:rsidRPr="003B56D7">
        <w:rPr>
          <w:lang w:val="en-US" w:eastAsia="x-none"/>
        </w:rPr>
        <w:t>RP-240787</w:t>
      </w:r>
      <w:r w:rsidR="00AE612E">
        <w:rPr>
          <w:lang w:val="en-US" w:eastAsia="x-none"/>
        </w:rPr>
        <w:t xml:space="preserve">, </w:t>
      </w:r>
      <w:r w:rsidRPr="003B56D7">
        <w:rPr>
          <w:lang w:val="en-US" w:eastAsia="x-none"/>
        </w:rPr>
        <w:t>“New SI proposal: Study on IMT parameters for 4400 to 4800 MHz, 7125 to 8400 MHz and 14800 to 15350 MHz”, Ericsson</w:t>
      </w:r>
      <w:r>
        <w:rPr>
          <w:lang w:val="en-US" w:eastAsia="x-none"/>
        </w:rPr>
        <w:t xml:space="preserve">, </w:t>
      </w:r>
      <w:r w:rsidRPr="003B56D7">
        <w:rPr>
          <w:lang w:val="en-US" w:eastAsia="x-none"/>
        </w:rPr>
        <w:t>RAN#103</w:t>
      </w:r>
    </w:p>
    <w:p w14:paraId="39E22392" w14:textId="77777777" w:rsidR="00383328" w:rsidRPr="00383328" w:rsidRDefault="00383328" w:rsidP="00383328">
      <w:pPr>
        <w:numPr>
          <w:ilvl w:val="0"/>
          <w:numId w:val="2"/>
        </w:numPr>
        <w:tabs>
          <w:tab w:val="left" w:pos="1080"/>
        </w:tabs>
        <w:rPr>
          <w:lang w:val="en-US" w:eastAsia="x-none"/>
        </w:rPr>
      </w:pPr>
      <w:r w:rsidRPr="00383328">
        <w:rPr>
          <w:lang w:val="en-US" w:eastAsia="x-none"/>
        </w:rPr>
        <w:lastRenderedPageBreak/>
        <w:t>R4-2406615, “WF on IMT parameters for other frequency ranges”, RAN4#110bis, CATT</w:t>
      </w:r>
    </w:p>
    <w:p w14:paraId="6A03B92A" w14:textId="117C5826" w:rsidR="00383328" w:rsidRPr="00383328" w:rsidRDefault="00383328" w:rsidP="00383328">
      <w:pPr>
        <w:numPr>
          <w:ilvl w:val="0"/>
          <w:numId w:val="2"/>
        </w:numPr>
        <w:tabs>
          <w:tab w:val="left" w:pos="1080"/>
        </w:tabs>
        <w:rPr>
          <w:lang w:val="en-US" w:eastAsia="zh-TW"/>
        </w:rPr>
      </w:pPr>
      <w:r w:rsidRPr="00383328">
        <w:rPr>
          <w:lang w:val="en-US" w:eastAsia="x-none"/>
        </w:rPr>
        <w:t>R4-2405729</w:t>
      </w:r>
      <w:r>
        <w:rPr>
          <w:lang w:val="en-US" w:eastAsia="x-none"/>
        </w:rPr>
        <w:t>, “</w:t>
      </w:r>
      <w:r w:rsidRPr="00383328">
        <w:rPr>
          <w:lang w:val="en-US" w:eastAsia="x-none"/>
        </w:rPr>
        <w:t>Technical parameters for the 7125 to 8400 MHz and 14800 to 15350 MHz IMT bands for sharing studies</w:t>
      </w:r>
      <w:r>
        <w:rPr>
          <w:lang w:val="en-US" w:eastAsia="x-none"/>
        </w:rPr>
        <w:t>”,</w:t>
      </w:r>
      <w:r>
        <w:rPr>
          <w:rFonts w:hint="eastAsia"/>
          <w:lang w:val="en-US" w:eastAsia="zh-TW"/>
        </w:rPr>
        <w:t xml:space="preserve"> </w:t>
      </w:r>
      <w:r>
        <w:rPr>
          <w:lang w:val="en-US" w:eastAsia="zh-TW"/>
        </w:rPr>
        <w:t xml:space="preserve">RAN4#110bis, </w:t>
      </w:r>
      <w:proofErr w:type="spellStart"/>
      <w:r w:rsidRPr="00383328">
        <w:rPr>
          <w:lang w:val="en-US" w:eastAsia="x-none"/>
        </w:rPr>
        <w:t>CableLabs</w:t>
      </w:r>
      <w:proofErr w:type="spellEnd"/>
      <w:r w:rsidRPr="00383328">
        <w:rPr>
          <w:lang w:val="en-US" w:eastAsia="x-none"/>
        </w:rPr>
        <w:t>,</w:t>
      </w:r>
      <w:r>
        <w:rPr>
          <w:lang w:val="en-US" w:eastAsia="x-none"/>
        </w:rPr>
        <w:t xml:space="preserve"> </w:t>
      </w:r>
      <w:r w:rsidRPr="00383328">
        <w:rPr>
          <w:lang w:val="en-US" w:eastAsia="x-none"/>
        </w:rPr>
        <w:t>Charter Communications</w:t>
      </w:r>
      <w:r>
        <w:rPr>
          <w:lang w:val="en-US" w:eastAsia="x-none"/>
        </w:rPr>
        <w:t xml:space="preserve">, </w:t>
      </w:r>
      <w:r w:rsidRPr="00383328">
        <w:rPr>
          <w:lang w:val="en-US" w:eastAsia="x-none"/>
        </w:rPr>
        <w:t>Cox Communications</w:t>
      </w:r>
    </w:p>
    <w:p w14:paraId="59E7431B" w14:textId="77777777" w:rsidR="00383328" w:rsidRPr="00383328" w:rsidRDefault="00383328" w:rsidP="00383328">
      <w:pPr>
        <w:tabs>
          <w:tab w:val="left" w:pos="1080"/>
        </w:tabs>
        <w:ind w:left="360"/>
        <w:rPr>
          <w:lang w:val="en-US" w:eastAsia="x-none"/>
        </w:rPr>
      </w:pPr>
    </w:p>
    <w:sectPr w:rsidR="00383328" w:rsidRPr="00383328" w:rsidSect="00521ED0">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1E4A6" w14:textId="77777777" w:rsidR="001A5478" w:rsidRDefault="001A5478">
      <w:r>
        <w:separator/>
      </w:r>
    </w:p>
  </w:endnote>
  <w:endnote w:type="continuationSeparator" w:id="0">
    <w:p w14:paraId="2B01BA0B" w14:textId="77777777" w:rsidR="001A5478" w:rsidRDefault="001A5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9D61E" w14:textId="77777777" w:rsidR="001A5478" w:rsidRDefault="001A5478">
      <w:r>
        <w:separator/>
      </w:r>
    </w:p>
  </w:footnote>
  <w:footnote w:type="continuationSeparator" w:id="0">
    <w:p w14:paraId="5ADE5727" w14:textId="77777777" w:rsidR="001A5478" w:rsidRDefault="001A54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1E1578"/>
    <w:multiLevelType w:val="hybridMultilevel"/>
    <w:tmpl w:val="C3C885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9"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0"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5"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30"/>
  </w:num>
  <w:num w:numId="2" w16cid:durableId="1217398289">
    <w:abstractNumId w:val="43"/>
  </w:num>
  <w:num w:numId="3" w16cid:durableId="1848671440">
    <w:abstractNumId w:val="46"/>
  </w:num>
  <w:num w:numId="4" w16cid:durableId="287128541">
    <w:abstractNumId w:val="55"/>
  </w:num>
  <w:num w:numId="5" w16cid:durableId="704259481">
    <w:abstractNumId w:val="38"/>
  </w:num>
  <w:num w:numId="6" w16cid:durableId="494150064">
    <w:abstractNumId w:val="21"/>
  </w:num>
  <w:num w:numId="7" w16cid:durableId="32266730">
    <w:abstractNumId w:val="8"/>
  </w:num>
  <w:num w:numId="8" w16cid:durableId="897008261">
    <w:abstractNumId w:val="44"/>
  </w:num>
  <w:num w:numId="9" w16cid:durableId="1918588008">
    <w:abstractNumId w:val="23"/>
  </w:num>
  <w:num w:numId="10" w16cid:durableId="543835056">
    <w:abstractNumId w:val="35"/>
  </w:num>
  <w:num w:numId="11" w16cid:durableId="637493424">
    <w:abstractNumId w:val="58"/>
  </w:num>
  <w:num w:numId="12" w16cid:durableId="72287852">
    <w:abstractNumId w:val="18"/>
  </w:num>
  <w:num w:numId="13" w16cid:durableId="910506567">
    <w:abstractNumId w:val="14"/>
  </w:num>
  <w:num w:numId="14" w16cid:durableId="868878726">
    <w:abstractNumId w:val="32"/>
  </w:num>
  <w:num w:numId="15" w16cid:durableId="1417282263">
    <w:abstractNumId w:val="29"/>
  </w:num>
  <w:num w:numId="16" w16cid:durableId="1483235279">
    <w:abstractNumId w:val="3"/>
  </w:num>
  <w:num w:numId="17" w16cid:durableId="1391224398">
    <w:abstractNumId w:val="17"/>
  </w:num>
  <w:num w:numId="18" w16cid:durableId="580065971">
    <w:abstractNumId w:val="6"/>
  </w:num>
  <w:num w:numId="19" w16cid:durableId="2003700665">
    <w:abstractNumId w:val="56"/>
  </w:num>
  <w:num w:numId="20" w16cid:durableId="846746527">
    <w:abstractNumId w:val="31"/>
  </w:num>
  <w:num w:numId="21" w16cid:durableId="1524898150">
    <w:abstractNumId w:val="54"/>
  </w:num>
  <w:num w:numId="22" w16cid:durableId="75175246">
    <w:abstractNumId w:val="2"/>
  </w:num>
  <w:num w:numId="23" w16cid:durableId="601499786">
    <w:abstractNumId w:val="7"/>
  </w:num>
  <w:num w:numId="24" w16cid:durableId="2097164087">
    <w:abstractNumId w:val="48"/>
  </w:num>
  <w:num w:numId="25" w16cid:durableId="1759863025">
    <w:abstractNumId w:val="12"/>
  </w:num>
  <w:num w:numId="26" w16cid:durableId="2080593379">
    <w:abstractNumId w:val="49"/>
  </w:num>
  <w:num w:numId="27" w16cid:durableId="749083227">
    <w:abstractNumId w:val="25"/>
  </w:num>
  <w:num w:numId="28" w16cid:durableId="1626621793">
    <w:abstractNumId w:val="11"/>
  </w:num>
  <w:num w:numId="29" w16cid:durableId="1936208958">
    <w:abstractNumId w:val="10"/>
  </w:num>
  <w:num w:numId="30" w16cid:durableId="400178168">
    <w:abstractNumId w:val="53"/>
  </w:num>
  <w:num w:numId="31" w16cid:durableId="1491948527">
    <w:abstractNumId w:val="24"/>
  </w:num>
  <w:num w:numId="32" w16cid:durableId="91433850">
    <w:abstractNumId w:val="27"/>
  </w:num>
  <w:num w:numId="33" w16cid:durableId="1705252149">
    <w:abstractNumId w:val="36"/>
  </w:num>
  <w:num w:numId="34" w16cid:durableId="1341931594">
    <w:abstractNumId w:val="40"/>
  </w:num>
  <w:num w:numId="35" w16cid:durableId="2055157285">
    <w:abstractNumId w:val="51"/>
  </w:num>
  <w:num w:numId="36" w16cid:durableId="907494910">
    <w:abstractNumId w:val="57"/>
  </w:num>
  <w:num w:numId="37" w16cid:durableId="175579515">
    <w:abstractNumId w:val="13"/>
  </w:num>
  <w:num w:numId="38" w16cid:durableId="2080783788">
    <w:abstractNumId w:val="39"/>
  </w:num>
  <w:num w:numId="39" w16cid:durableId="496312924">
    <w:abstractNumId w:val="52"/>
  </w:num>
  <w:num w:numId="40" w16cid:durableId="1366060901">
    <w:abstractNumId w:val="41"/>
  </w:num>
  <w:num w:numId="41" w16cid:durableId="866598799">
    <w:abstractNumId w:val="26"/>
  </w:num>
  <w:num w:numId="42" w16cid:durableId="1087383631">
    <w:abstractNumId w:val="1"/>
  </w:num>
  <w:num w:numId="43" w16cid:durableId="986669777">
    <w:abstractNumId w:val="34"/>
  </w:num>
  <w:num w:numId="44" w16cid:durableId="1512717097">
    <w:abstractNumId w:val="19"/>
  </w:num>
  <w:num w:numId="45" w16cid:durableId="811950696">
    <w:abstractNumId w:val="22"/>
  </w:num>
  <w:num w:numId="46" w16cid:durableId="547497964">
    <w:abstractNumId w:val="37"/>
  </w:num>
  <w:num w:numId="47" w16cid:durableId="2133554907">
    <w:abstractNumId w:val="50"/>
  </w:num>
  <w:num w:numId="48" w16cid:durableId="1937009862">
    <w:abstractNumId w:val="42"/>
  </w:num>
  <w:num w:numId="49" w16cid:durableId="1936475883">
    <w:abstractNumId w:val="28"/>
  </w:num>
  <w:num w:numId="50" w16cid:durableId="1052271111">
    <w:abstractNumId w:val="16"/>
  </w:num>
  <w:num w:numId="51" w16cid:durableId="733743088">
    <w:abstractNumId w:val="0"/>
  </w:num>
  <w:num w:numId="52" w16cid:durableId="1782725393">
    <w:abstractNumId w:val="4"/>
  </w:num>
  <w:num w:numId="53" w16cid:durableId="319431744">
    <w:abstractNumId w:val="45"/>
  </w:num>
  <w:num w:numId="54" w16cid:durableId="2142645833">
    <w:abstractNumId w:val="15"/>
  </w:num>
  <w:num w:numId="55" w16cid:durableId="309406662">
    <w:abstractNumId w:val="9"/>
  </w:num>
  <w:num w:numId="56" w16cid:durableId="1920165617">
    <w:abstractNumId w:val="33"/>
  </w:num>
  <w:num w:numId="57" w16cid:durableId="2081445157">
    <w:abstractNumId w:val="20"/>
  </w:num>
  <w:num w:numId="58" w16cid:durableId="578293186">
    <w:abstractNumId w:val="47"/>
  </w:num>
  <w:num w:numId="59" w16cid:durableId="213116855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9"/>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54D"/>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4B3"/>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20C"/>
    <w:rsid w:val="00044658"/>
    <w:rsid w:val="000446FD"/>
    <w:rsid w:val="0004511D"/>
    <w:rsid w:val="000452DA"/>
    <w:rsid w:val="00045318"/>
    <w:rsid w:val="00045774"/>
    <w:rsid w:val="00046D4B"/>
    <w:rsid w:val="00046E46"/>
    <w:rsid w:val="000470CE"/>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A7DF0"/>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C"/>
    <w:rsid w:val="000B7ADD"/>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0C2"/>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55E"/>
    <w:rsid w:val="000E2C23"/>
    <w:rsid w:val="000E2F62"/>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E0B"/>
    <w:rsid w:val="000F0FD2"/>
    <w:rsid w:val="000F1DA5"/>
    <w:rsid w:val="000F20F5"/>
    <w:rsid w:val="000F2C1B"/>
    <w:rsid w:val="000F2C34"/>
    <w:rsid w:val="000F323B"/>
    <w:rsid w:val="000F32CB"/>
    <w:rsid w:val="000F5357"/>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0BFC"/>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8"/>
    <w:rsid w:val="001057EE"/>
    <w:rsid w:val="00105823"/>
    <w:rsid w:val="00105FDB"/>
    <w:rsid w:val="0010600F"/>
    <w:rsid w:val="00106117"/>
    <w:rsid w:val="00106778"/>
    <w:rsid w:val="001067BD"/>
    <w:rsid w:val="001067F4"/>
    <w:rsid w:val="00106E80"/>
    <w:rsid w:val="001072D7"/>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C52"/>
    <w:rsid w:val="00125CFA"/>
    <w:rsid w:val="00125E8B"/>
    <w:rsid w:val="00125ED8"/>
    <w:rsid w:val="001266F1"/>
    <w:rsid w:val="00126D11"/>
    <w:rsid w:val="00126DA5"/>
    <w:rsid w:val="001271F9"/>
    <w:rsid w:val="001274D2"/>
    <w:rsid w:val="00127DEF"/>
    <w:rsid w:val="00127E48"/>
    <w:rsid w:val="00130287"/>
    <w:rsid w:val="00130ECD"/>
    <w:rsid w:val="001310DC"/>
    <w:rsid w:val="00131263"/>
    <w:rsid w:val="0013166F"/>
    <w:rsid w:val="00131FD4"/>
    <w:rsid w:val="001327EB"/>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5B4"/>
    <w:rsid w:val="00141764"/>
    <w:rsid w:val="00142046"/>
    <w:rsid w:val="001422CC"/>
    <w:rsid w:val="00142612"/>
    <w:rsid w:val="001427AC"/>
    <w:rsid w:val="001428D3"/>
    <w:rsid w:val="00142B46"/>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375"/>
    <w:rsid w:val="00150F51"/>
    <w:rsid w:val="001516D8"/>
    <w:rsid w:val="00151825"/>
    <w:rsid w:val="00151994"/>
    <w:rsid w:val="00151ABA"/>
    <w:rsid w:val="0015239C"/>
    <w:rsid w:val="001523B0"/>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29E4"/>
    <w:rsid w:val="001A3B78"/>
    <w:rsid w:val="001A41D0"/>
    <w:rsid w:val="001A4405"/>
    <w:rsid w:val="001A4773"/>
    <w:rsid w:val="001A4813"/>
    <w:rsid w:val="001A4C57"/>
    <w:rsid w:val="001A50B1"/>
    <w:rsid w:val="001A5478"/>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2FF7"/>
    <w:rsid w:val="001B30DD"/>
    <w:rsid w:val="001B3291"/>
    <w:rsid w:val="001B3F28"/>
    <w:rsid w:val="001B447B"/>
    <w:rsid w:val="001B4664"/>
    <w:rsid w:val="001B4D48"/>
    <w:rsid w:val="001B4DD5"/>
    <w:rsid w:val="001B58A4"/>
    <w:rsid w:val="001B5A92"/>
    <w:rsid w:val="001B5CA4"/>
    <w:rsid w:val="001B5E69"/>
    <w:rsid w:val="001B6982"/>
    <w:rsid w:val="001B69A7"/>
    <w:rsid w:val="001B6B77"/>
    <w:rsid w:val="001B6E8F"/>
    <w:rsid w:val="001B7463"/>
    <w:rsid w:val="001B7633"/>
    <w:rsid w:val="001B7831"/>
    <w:rsid w:val="001B7F30"/>
    <w:rsid w:val="001C020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4CFF"/>
    <w:rsid w:val="001C5170"/>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6B9"/>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3DEA"/>
    <w:rsid w:val="002541E7"/>
    <w:rsid w:val="00254888"/>
    <w:rsid w:val="00254FBF"/>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E86"/>
    <w:rsid w:val="00277F2F"/>
    <w:rsid w:val="002801F7"/>
    <w:rsid w:val="00280813"/>
    <w:rsid w:val="00280882"/>
    <w:rsid w:val="00280AE6"/>
    <w:rsid w:val="0028108D"/>
    <w:rsid w:val="002813EC"/>
    <w:rsid w:val="00281A9C"/>
    <w:rsid w:val="0028240F"/>
    <w:rsid w:val="002826A2"/>
    <w:rsid w:val="0028277E"/>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3C5"/>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97972"/>
    <w:rsid w:val="002A0942"/>
    <w:rsid w:val="002A1134"/>
    <w:rsid w:val="002A129F"/>
    <w:rsid w:val="002A1793"/>
    <w:rsid w:val="002A1AD8"/>
    <w:rsid w:val="002A1BA8"/>
    <w:rsid w:val="002A23C7"/>
    <w:rsid w:val="002A276F"/>
    <w:rsid w:val="002A2D22"/>
    <w:rsid w:val="002A2E43"/>
    <w:rsid w:val="002A321E"/>
    <w:rsid w:val="002A3BFD"/>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A51"/>
    <w:rsid w:val="002B4C2E"/>
    <w:rsid w:val="002B4D6F"/>
    <w:rsid w:val="002B4DB0"/>
    <w:rsid w:val="002B4DD1"/>
    <w:rsid w:val="002B53D8"/>
    <w:rsid w:val="002B6395"/>
    <w:rsid w:val="002B6A74"/>
    <w:rsid w:val="002B75CC"/>
    <w:rsid w:val="002C034B"/>
    <w:rsid w:val="002C1343"/>
    <w:rsid w:val="002C15A4"/>
    <w:rsid w:val="002C1A95"/>
    <w:rsid w:val="002C25FE"/>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274"/>
    <w:rsid w:val="002D2365"/>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6159"/>
    <w:rsid w:val="002E7199"/>
    <w:rsid w:val="002E7660"/>
    <w:rsid w:val="002E7B67"/>
    <w:rsid w:val="002E7C4B"/>
    <w:rsid w:val="002F037C"/>
    <w:rsid w:val="002F16A6"/>
    <w:rsid w:val="002F1791"/>
    <w:rsid w:val="002F198B"/>
    <w:rsid w:val="002F1FBE"/>
    <w:rsid w:val="002F26F4"/>
    <w:rsid w:val="002F27E6"/>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A45"/>
    <w:rsid w:val="00311D14"/>
    <w:rsid w:val="00312A91"/>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7B9"/>
    <w:rsid w:val="0032797F"/>
    <w:rsid w:val="00327B03"/>
    <w:rsid w:val="00327EF9"/>
    <w:rsid w:val="00327FCD"/>
    <w:rsid w:val="00330243"/>
    <w:rsid w:val="0033066C"/>
    <w:rsid w:val="003318DA"/>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57C"/>
    <w:rsid w:val="00341688"/>
    <w:rsid w:val="00341D2E"/>
    <w:rsid w:val="00341F00"/>
    <w:rsid w:val="00342582"/>
    <w:rsid w:val="003427F4"/>
    <w:rsid w:val="00342D54"/>
    <w:rsid w:val="00342F3A"/>
    <w:rsid w:val="00343AE0"/>
    <w:rsid w:val="00343B08"/>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0D"/>
    <w:rsid w:val="003512A1"/>
    <w:rsid w:val="00351328"/>
    <w:rsid w:val="00351383"/>
    <w:rsid w:val="003517BE"/>
    <w:rsid w:val="00351EAD"/>
    <w:rsid w:val="003528AE"/>
    <w:rsid w:val="003534A5"/>
    <w:rsid w:val="00353D8F"/>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41D"/>
    <w:rsid w:val="00364739"/>
    <w:rsid w:val="00364C5C"/>
    <w:rsid w:val="00364D22"/>
    <w:rsid w:val="003650D7"/>
    <w:rsid w:val="0036510E"/>
    <w:rsid w:val="0036548D"/>
    <w:rsid w:val="00365698"/>
    <w:rsid w:val="00365784"/>
    <w:rsid w:val="00366207"/>
    <w:rsid w:val="00366599"/>
    <w:rsid w:val="003667C5"/>
    <w:rsid w:val="0036684F"/>
    <w:rsid w:val="00366973"/>
    <w:rsid w:val="00366AFC"/>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328"/>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81D"/>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373"/>
    <w:rsid w:val="003A4689"/>
    <w:rsid w:val="003A47FD"/>
    <w:rsid w:val="003A4826"/>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F9"/>
    <w:rsid w:val="003B3D77"/>
    <w:rsid w:val="003B461C"/>
    <w:rsid w:val="003B53D8"/>
    <w:rsid w:val="003B562B"/>
    <w:rsid w:val="003B56D7"/>
    <w:rsid w:val="003B570D"/>
    <w:rsid w:val="003B5714"/>
    <w:rsid w:val="003B5903"/>
    <w:rsid w:val="003B5D27"/>
    <w:rsid w:val="003B5ECC"/>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7C9"/>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415B"/>
    <w:rsid w:val="003E4784"/>
    <w:rsid w:val="003E5136"/>
    <w:rsid w:val="003E626D"/>
    <w:rsid w:val="003E658E"/>
    <w:rsid w:val="003E65A9"/>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5B3"/>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18B"/>
    <w:rsid w:val="0044397D"/>
    <w:rsid w:val="00443B2F"/>
    <w:rsid w:val="00443FD4"/>
    <w:rsid w:val="0044446D"/>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B06"/>
    <w:rsid w:val="0048385F"/>
    <w:rsid w:val="00483B86"/>
    <w:rsid w:val="00483C46"/>
    <w:rsid w:val="00483CF6"/>
    <w:rsid w:val="0048454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428"/>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55"/>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39F5"/>
    <w:rsid w:val="00505386"/>
    <w:rsid w:val="00505CB7"/>
    <w:rsid w:val="00505D2D"/>
    <w:rsid w:val="005068E4"/>
    <w:rsid w:val="00506CAE"/>
    <w:rsid w:val="00507279"/>
    <w:rsid w:val="00507514"/>
    <w:rsid w:val="00507B00"/>
    <w:rsid w:val="00507B9C"/>
    <w:rsid w:val="00507DF9"/>
    <w:rsid w:val="00510460"/>
    <w:rsid w:val="0051077E"/>
    <w:rsid w:val="0051139E"/>
    <w:rsid w:val="00511476"/>
    <w:rsid w:val="005115FA"/>
    <w:rsid w:val="00511EB5"/>
    <w:rsid w:val="0051200B"/>
    <w:rsid w:val="00512097"/>
    <w:rsid w:val="00512900"/>
    <w:rsid w:val="00512B93"/>
    <w:rsid w:val="00512F02"/>
    <w:rsid w:val="00513726"/>
    <w:rsid w:val="005137EF"/>
    <w:rsid w:val="00514211"/>
    <w:rsid w:val="00514C97"/>
    <w:rsid w:val="0051508B"/>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5824"/>
    <w:rsid w:val="00565866"/>
    <w:rsid w:val="00565FF2"/>
    <w:rsid w:val="0056674C"/>
    <w:rsid w:val="005668AD"/>
    <w:rsid w:val="005668E5"/>
    <w:rsid w:val="00566CEF"/>
    <w:rsid w:val="005673B1"/>
    <w:rsid w:val="0056774B"/>
    <w:rsid w:val="0056783E"/>
    <w:rsid w:val="00567A1D"/>
    <w:rsid w:val="00570530"/>
    <w:rsid w:val="00570586"/>
    <w:rsid w:val="005706C5"/>
    <w:rsid w:val="005719CC"/>
    <w:rsid w:val="00571E71"/>
    <w:rsid w:val="00572669"/>
    <w:rsid w:val="00572C82"/>
    <w:rsid w:val="0057304C"/>
    <w:rsid w:val="005731F7"/>
    <w:rsid w:val="005743E5"/>
    <w:rsid w:val="00574420"/>
    <w:rsid w:val="00574D71"/>
    <w:rsid w:val="00575ED0"/>
    <w:rsid w:val="00576D83"/>
    <w:rsid w:val="00576F52"/>
    <w:rsid w:val="0057702D"/>
    <w:rsid w:val="005770B6"/>
    <w:rsid w:val="00577BFB"/>
    <w:rsid w:val="00577EB6"/>
    <w:rsid w:val="0058025A"/>
    <w:rsid w:val="00580E3C"/>
    <w:rsid w:val="005816AC"/>
    <w:rsid w:val="0058268D"/>
    <w:rsid w:val="00582705"/>
    <w:rsid w:val="00582CA7"/>
    <w:rsid w:val="005830A8"/>
    <w:rsid w:val="0058368D"/>
    <w:rsid w:val="005836E6"/>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4BF"/>
    <w:rsid w:val="00596AB4"/>
    <w:rsid w:val="00596B1E"/>
    <w:rsid w:val="00596D12"/>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793C"/>
    <w:rsid w:val="005A7960"/>
    <w:rsid w:val="005A7A96"/>
    <w:rsid w:val="005B047C"/>
    <w:rsid w:val="005B0567"/>
    <w:rsid w:val="005B0904"/>
    <w:rsid w:val="005B1862"/>
    <w:rsid w:val="005B1F0C"/>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B2F"/>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AB2"/>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A09"/>
    <w:rsid w:val="00614E18"/>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0A7C"/>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51F"/>
    <w:rsid w:val="00652940"/>
    <w:rsid w:val="00652BD8"/>
    <w:rsid w:val="00652D90"/>
    <w:rsid w:val="00653313"/>
    <w:rsid w:val="00653AAE"/>
    <w:rsid w:val="00654114"/>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231"/>
    <w:rsid w:val="00664A49"/>
    <w:rsid w:val="00664B21"/>
    <w:rsid w:val="0066540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032"/>
    <w:rsid w:val="00674355"/>
    <w:rsid w:val="006744D9"/>
    <w:rsid w:val="0067485D"/>
    <w:rsid w:val="00674879"/>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6710"/>
    <w:rsid w:val="006A72B4"/>
    <w:rsid w:val="006A7592"/>
    <w:rsid w:val="006A7E71"/>
    <w:rsid w:val="006A7F06"/>
    <w:rsid w:val="006B0041"/>
    <w:rsid w:val="006B03AA"/>
    <w:rsid w:val="006B083A"/>
    <w:rsid w:val="006B08DE"/>
    <w:rsid w:val="006B0935"/>
    <w:rsid w:val="006B0ECD"/>
    <w:rsid w:val="006B0F78"/>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206"/>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7134"/>
    <w:rsid w:val="006D765E"/>
    <w:rsid w:val="006D76A5"/>
    <w:rsid w:val="006D7813"/>
    <w:rsid w:val="006D7D0F"/>
    <w:rsid w:val="006D7D43"/>
    <w:rsid w:val="006E1113"/>
    <w:rsid w:val="006E1B28"/>
    <w:rsid w:val="006E1B83"/>
    <w:rsid w:val="006E1CFF"/>
    <w:rsid w:val="006E249F"/>
    <w:rsid w:val="006E27C5"/>
    <w:rsid w:val="006E28CB"/>
    <w:rsid w:val="006E2EBE"/>
    <w:rsid w:val="006E3112"/>
    <w:rsid w:val="006E329A"/>
    <w:rsid w:val="006E42B8"/>
    <w:rsid w:val="006E4356"/>
    <w:rsid w:val="006E46D0"/>
    <w:rsid w:val="006E5190"/>
    <w:rsid w:val="006E5206"/>
    <w:rsid w:val="006E5807"/>
    <w:rsid w:val="006E5BD1"/>
    <w:rsid w:val="006E5C32"/>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D39"/>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CF0"/>
    <w:rsid w:val="00751D05"/>
    <w:rsid w:val="00752338"/>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3EE"/>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A0"/>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3FA"/>
    <w:rsid w:val="00783F3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384"/>
    <w:rsid w:val="007C6E00"/>
    <w:rsid w:val="007C702B"/>
    <w:rsid w:val="007C72A8"/>
    <w:rsid w:val="007C73D4"/>
    <w:rsid w:val="007D01FC"/>
    <w:rsid w:val="007D0A4E"/>
    <w:rsid w:val="007D0ECC"/>
    <w:rsid w:val="007D127E"/>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6E2"/>
    <w:rsid w:val="00803BB2"/>
    <w:rsid w:val="00804205"/>
    <w:rsid w:val="00804B52"/>
    <w:rsid w:val="00804ED0"/>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2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4B48"/>
    <w:rsid w:val="008354CB"/>
    <w:rsid w:val="00835963"/>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5619"/>
    <w:rsid w:val="008459E7"/>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8A4"/>
    <w:rsid w:val="008818B7"/>
    <w:rsid w:val="00881AFE"/>
    <w:rsid w:val="00881D0A"/>
    <w:rsid w:val="00881D0F"/>
    <w:rsid w:val="008828EB"/>
    <w:rsid w:val="00882E2E"/>
    <w:rsid w:val="00883201"/>
    <w:rsid w:val="00883314"/>
    <w:rsid w:val="00883519"/>
    <w:rsid w:val="00883A9F"/>
    <w:rsid w:val="00883CF5"/>
    <w:rsid w:val="00883EEA"/>
    <w:rsid w:val="00884495"/>
    <w:rsid w:val="008848AF"/>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466D"/>
    <w:rsid w:val="00894B1A"/>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2612"/>
    <w:rsid w:val="008B302F"/>
    <w:rsid w:val="008B33F3"/>
    <w:rsid w:val="008B356B"/>
    <w:rsid w:val="008B3770"/>
    <w:rsid w:val="008B3906"/>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906"/>
    <w:rsid w:val="008F1ACD"/>
    <w:rsid w:val="008F2D00"/>
    <w:rsid w:val="008F2E34"/>
    <w:rsid w:val="008F2E41"/>
    <w:rsid w:val="008F3036"/>
    <w:rsid w:val="008F33AA"/>
    <w:rsid w:val="008F38FD"/>
    <w:rsid w:val="008F416F"/>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7FC"/>
    <w:rsid w:val="00940975"/>
    <w:rsid w:val="00940CCA"/>
    <w:rsid w:val="00940E8F"/>
    <w:rsid w:val="00941429"/>
    <w:rsid w:val="00941493"/>
    <w:rsid w:val="0094163C"/>
    <w:rsid w:val="009416AD"/>
    <w:rsid w:val="009417D0"/>
    <w:rsid w:val="00941C47"/>
    <w:rsid w:val="009428A7"/>
    <w:rsid w:val="009428CB"/>
    <w:rsid w:val="00942A99"/>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1DED"/>
    <w:rsid w:val="0095240E"/>
    <w:rsid w:val="00952413"/>
    <w:rsid w:val="009526C6"/>
    <w:rsid w:val="00952D82"/>
    <w:rsid w:val="00953610"/>
    <w:rsid w:val="009536E5"/>
    <w:rsid w:val="00953893"/>
    <w:rsid w:val="00953CB8"/>
    <w:rsid w:val="00953EA9"/>
    <w:rsid w:val="00954B23"/>
    <w:rsid w:val="00954F65"/>
    <w:rsid w:val="00955EC8"/>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7EA"/>
    <w:rsid w:val="00994B6D"/>
    <w:rsid w:val="00994E79"/>
    <w:rsid w:val="00995415"/>
    <w:rsid w:val="00995725"/>
    <w:rsid w:val="00995ABE"/>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4E2"/>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F11C2"/>
    <w:rsid w:val="009F1D9B"/>
    <w:rsid w:val="009F1E72"/>
    <w:rsid w:val="009F1EB2"/>
    <w:rsid w:val="009F230A"/>
    <w:rsid w:val="009F3232"/>
    <w:rsid w:val="009F3B58"/>
    <w:rsid w:val="009F4335"/>
    <w:rsid w:val="009F4336"/>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329"/>
    <w:rsid w:val="00A06648"/>
    <w:rsid w:val="00A0685D"/>
    <w:rsid w:val="00A068D3"/>
    <w:rsid w:val="00A06930"/>
    <w:rsid w:val="00A0728D"/>
    <w:rsid w:val="00A074D5"/>
    <w:rsid w:val="00A1038F"/>
    <w:rsid w:val="00A10429"/>
    <w:rsid w:val="00A10599"/>
    <w:rsid w:val="00A10771"/>
    <w:rsid w:val="00A10D63"/>
    <w:rsid w:val="00A11082"/>
    <w:rsid w:val="00A113E0"/>
    <w:rsid w:val="00A11E0F"/>
    <w:rsid w:val="00A11FC5"/>
    <w:rsid w:val="00A1303B"/>
    <w:rsid w:val="00A13382"/>
    <w:rsid w:val="00A13408"/>
    <w:rsid w:val="00A13D4D"/>
    <w:rsid w:val="00A14118"/>
    <w:rsid w:val="00A1422A"/>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2E79"/>
    <w:rsid w:val="00A33406"/>
    <w:rsid w:val="00A334FF"/>
    <w:rsid w:val="00A3393C"/>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9AA"/>
    <w:rsid w:val="00A43127"/>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38"/>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163"/>
    <w:rsid w:val="00AA23DD"/>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187"/>
    <w:rsid w:val="00BB27D6"/>
    <w:rsid w:val="00BB37A4"/>
    <w:rsid w:val="00BB3C21"/>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86F"/>
    <w:rsid w:val="00BD5AF5"/>
    <w:rsid w:val="00BD5C2D"/>
    <w:rsid w:val="00BD5E82"/>
    <w:rsid w:val="00BD62F6"/>
    <w:rsid w:val="00BD6482"/>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579C"/>
    <w:rsid w:val="00BE638C"/>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0A9"/>
    <w:rsid w:val="00C012B3"/>
    <w:rsid w:val="00C0179D"/>
    <w:rsid w:val="00C01B14"/>
    <w:rsid w:val="00C021AE"/>
    <w:rsid w:val="00C02651"/>
    <w:rsid w:val="00C03325"/>
    <w:rsid w:val="00C036B6"/>
    <w:rsid w:val="00C045BD"/>
    <w:rsid w:val="00C04709"/>
    <w:rsid w:val="00C04917"/>
    <w:rsid w:val="00C04A67"/>
    <w:rsid w:val="00C04A88"/>
    <w:rsid w:val="00C0511F"/>
    <w:rsid w:val="00C05518"/>
    <w:rsid w:val="00C05B47"/>
    <w:rsid w:val="00C05C3F"/>
    <w:rsid w:val="00C05C78"/>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947"/>
    <w:rsid w:val="00C20C88"/>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2D8E"/>
    <w:rsid w:val="00C332D0"/>
    <w:rsid w:val="00C34088"/>
    <w:rsid w:val="00C34363"/>
    <w:rsid w:val="00C3463A"/>
    <w:rsid w:val="00C346C4"/>
    <w:rsid w:val="00C357AC"/>
    <w:rsid w:val="00C35CEF"/>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C08"/>
    <w:rsid w:val="00C53D1F"/>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12D"/>
    <w:rsid w:val="00C76215"/>
    <w:rsid w:val="00C765BC"/>
    <w:rsid w:val="00C76941"/>
    <w:rsid w:val="00C76A00"/>
    <w:rsid w:val="00C779F9"/>
    <w:rsid w:val="00C80041"/>
    <w:rsid w:val="00C80C32"/>
    <w:rsid w:val="00C80CBE"/>
    <w:rsid w:val="00C81037"/>
    <w:rsid w:val="00C81393"/>
    <w:rsid w:val="00C813C7"/>
    <w:rsid w:val="00C82134"/>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CEA"/>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3BB4"/>
    <w:rsid w:val="00CC417E"/>
    <w:rsid w:val="00CC4196"/>
    <w:rsid w:val="00CC430F"/>
    <w:rsid w:val="00CC473D"/>
    <w:rsid w:val="00CC47FD"/>
    <w:rsid w:val="00CC491C"/>
    <w:rsid w:val="00CC4CC5"/>
    <w:rsid w:val="00CC592B"/>
    <w:rsid w:val="00CC6037"/>
    <w:rsid w:val="00CC63B5"/>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A96"/>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DBD"/>
    <w:rsid w:val="00D241B8"/>
    <w:rsid w:val="00D248F7"/>
    <w:rsid w:val="00D252E9"/>
    <w:rsid w:val="00D25515"/>
    <w:rsid w:val="00D2558D"/>
    <w:rsid w:val="00D25EC1"/>
    <w:rsid w:val="00D26312"/>
    <w:rsid w:val="00D26419"/>
    <w:rsid w:val="00D26485"/>
    <w:rsid w:val="00D2677E"/>
    <w:rsid w:val="00D268F8"/>
    <w:rsid w:val="00D26AD7"/>
    <w:rsid w:val="00D26BF6"/>
    <w:rsid w:val="00D26CE4"/>
    <w:rsid w:val="00D26DE7"/>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4F8"/>
    <w:rsid w:val="00D36EF0"/>
    <w:rsid w:val="00D37310"/>
    <w:rsid w:val="00D37E9A"/>
    <w:rsid w:val="00D400A9"/>
    <w:rsid w:val="00D40750"/>
    <w:rsid w:val="00D40755"/>
    <w:rsid w:val="00D408CF"/>
    <w:rsid w:val="00D4094B"/>
    <w:rsid w:val="00D40C2B"/>
    <w:rsid w:val="00D40D9E"/>
    <w:rsid w:val="00D40EDE"/>
    <w:rsid w:val="00D40F61"/>
    <w:rsid w:val="00D42322"/>
    <w:rsid w:val="00D4272C"/>
    <w:rsid w:val="00D428E2"/>
    <w:rsid w:val="00D42ABC"/>
    <w:rsid w:val="00D42BD7"/>
    <w:rsid w:val="00D42BF0"/>
    <w:rsid w:val="00D42BFA"/>
    <w:rsid w:val="00D42D39"/>
    <w:rsid w:val="00D43670"/>
    <w:rsid w:val="00D4382A"/>
    <w:rsid w:val="00D43AD9"/>
    <w:rsid w:val="00D43B0E"/>
    <w:rsid w:val="00D44292"/>
    <w:rsid w:val="00D44587"/>
    <w:rsid w:val="00D44BB9"/>
    <w:rsid w:val="00D44E9A"/>
    <w:rsid w:val="00D453E9"/>
    <w:rsid w:val="00D45AA3"/>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4FD9"/>
    <w:rsid w:val="00DD65B0"/>
    <w:rsid w:val="00DD6EBD"/>
    <w:rsid w:val="00DD7520"/>
    <w:rsid w:val="00DD779D"/>
    <w:rsid w:val="00DD7F58"/>
    <w:rsid w:val="00DE064C"/>
    <w:rsid w:val="00DE06AD"/>
    <w:rsid w:val="00DE078C"/>
    <w:rsid w:val="00DE0857"/>
    <w:rsid w:val="00DE13D5"/>
    <w:rsid w:val="00DE1576"/>
    <w:rsid w:val="00DE1A44"/>
    <w:rsid w:val="00DE2006"/>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504"/>
    <w:rsid w:val="00DF763E"/>
    <w:rsid w:val="00DF79C3"/>
    <w:rsid w:val="00DF7C4C"/>
    <w:rsid w:val="00DF7EB3"/>
    <w:rsid w:val="00E0015A"/>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4B82"/>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1C6"/>
    <w:rsid w:val="00E343BD"/>
    <w:rsid w:val="00E34AE2"/>
    <w:rsid w:val="00E35A09"/>
    <w:rsid w:val="00E35A26"/>
    <w:rsid w:val="00E35B6C"/>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FAE"/>
    <w:rsid w:val="00E647E9"/>
    <w:rsid w:val="00E64B30"/>
    <w:rsid w:val="00E64F78"/>
    <w:rsid w:val="00E651A1"/>
    <w:rsid w:val="00E6555F"/>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22"/>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6A96"/>
    <w:rsid w:val="00EC6D7B"/>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37C4"/>
    <w:rsid w:val="00EF40A5"/>
    <w:rsid w:val="00EF4102"/>
    <w:rsid w:val="00EF4798"/>
    <w:rsid w:val="00EF47D6"/>
    <w:rsid w:val="00EF53BD"/>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1E64"/>
    <w:rsid w:val="00F12617"/>
    <w:rsid w:val="00F12E37"/>
    <w:rsid w:val="00F12FCC"/>
    <w:rsid w:val="00F1313D"/>
    <w:rsid w:val="00F131D9"/>
    <w:rsid w:val="00F135F1"/>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43F"/>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6F6F"/>
    <w:rsid w:val="00F3743C"/>
    <w:rsid w:val="00F375E7"/>
    <w:rsid w:val="00F3767F"/>
    <w:rsid w:val="00F37D6C"/>
    <w:rsid w:val="00F4013A"/>
    <w:rsid w:val="00F40694"/>
    <w:rsid w:val="00F4084F"/>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CCE"/>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1FE5"/>
    <w:rsid w:val="00F82219"/>
    <w:rsid w:val="00F823BD"/>
    <w:rsid w:val="00F828C4"/>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A84"/>
    <w:rsid w:val="00F96C0F"/>
    <w:rsid w:val="00F979AD"/>
    <w:rsid w:val="00F979B7"/>
    <w:rsid w:val="00F97C79"/>
    <w:rsid w:val="00F97E39"/>
    <w:rsid w:val="00FA0431"/>
    <w:rsid w:val="00FA07B0"/>
    <w:rsid w:val="00FA0AAE"/>
    <w:rsid w:val="00FA0B3D"/>
    <w:rsid w:val="00FA10CA"/>
    <w:rsid w:val="00FA1345"/>
    <w:rsid w:val="00FA1FA2"/>
    <w:rsid w:val="00FA218E"/>
    <w:rsid w:val="00FA284B"/>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C6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4C9B"/>
    <w:rsid w:val="00FB628D"/>
    <w:rsid w:val="00FB6560"/>
    <w:rsid w:val="00FB6B65"/>
    <w:rsid w:val="00FB6CE4"/>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E7E34"/>
    <w:rsid w:val="00FF0DAF"/>
    <w:rsid w:val="00FF0DE5"/>
    <w:rsid w:val="00FF1230"/>
    <w:rsid w:val="00FF1465"/>
    <w:rsid w:val="00FF1E3F"/>
    <w:rsid w:val="00FF32FC"/>
    <w:rsid w:val="00FF3475"/>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 w:type="character" w:customStyle="1" w:styleId="first-token">
    <w:name w:val="first-token"/>
    <w:basedOn w:val="DefaultParagraphFont"/>
    <w:rsid w:val="00253D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40661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22910</TotalTime>
  <Pages>6</Pages>
  <Words>1440</Words>
  <Characters>8211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1099</cp:revision>
  <cp:lastPrinted>2017-09-11T16:45:00Z</cp:lastPrinted>
  <dcterms:created xsi:type="dcterms:W3CDTF">2022-02-14T18:34:00Z</dcterms:created>
  <dcterms:modified xsi:type="dcterms:W3CDTF">2024-05-13T12:43:00Z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