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370762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D26C3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E230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08853</w:t>
      </w:r>
    </w:p>
    <w:p w14:paraId="239BFA5F" w14:textId="438B3DDF" w:rsidR="005513CD" w:rsidRPr="005513CD" w:rsidRDefault="00D26C3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3D7CB4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3D7CB4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3B2A7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3B2A7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CCBF27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E7F0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</w:t>
      </w:r>
      <w:r w:rsidR="00BA56E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A6D0B78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02FC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MSD requirements with intra-band contiguous CA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119A782A" w14:textId="07C36CFB" w:rsidR="0090772A" w:rsidRDefault="00001516" w:rsidP="0000151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00151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on MSD requirements with intra-band contiguous ULCA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agreed in RAN4#110bis [1]</w:t>
      </w:r>
    </w:p>
    <w:p w14:paraId="59B00B05" w14:textId="62CD9661" w:rsidR="005513CD" w:rsidRPr="00581ABA" w:rsidRDefault="00254EE7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RAN4#110bis</w:t>
      </w:r>
    </w:p>
    <w:p w14:paraId="7A43B882" w14:textId="04635109" w:rsidR="00001516" w:rsidRDefault="00001516" w:rsidP="0000151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is copied below for convenience.</w:t>
      </w:r>
    </w:p>
    <w:p w14:paraId="22193CF9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Proposal 1: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Companies are encouraged to consider the following options for handling the MSD requirements resulting from intra-band contiguous UL CA configured </w:t>
      </w:r>
      <w:r w:rsidRPr="00101EBC"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  <w:t>with non-contiguous allocations: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   </w:t>
      </w:r>
    </w:p>
    <w:p w14:paraId="3D44D64D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</w:p>
    <w:p w14:paraId="14DE2A82" w14:textId="77777777" w:rsidR="00101EBC" w:rsidRPr="00101EBC" w:rsidRDefault="00101EBC" w:rsidP="00101EBC">
      <w:pPr>
        <w:spacing w:after="0" w:line="240" w:lineRule="auto"/>
        <w:ind w:left="284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Option 1: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No change from TR 38.862 guidelines </w:t>
      </w:r>
    </w:p>
    <w:p w14:paraId="2A116B3C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</w:p>
    <w:p w14:paraId="794BA480" w14:textId="77777777" w:rsidR="00101EBC" w:rsidRPr="00101EBC" w:rsidRDefault="00101EBC" w:rsidP="00101EBC">
      <w:pPr>
        <w:spacing w:after="0" w:line="240" w:lineRule="auto"/>
        <w:ind w:left="288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>Option 2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: Do not consider all MSD requirements resulting from intra-band contiguous UL CA configured </w:t>
      </w:r>
      <w:r w:rsidRPr="00101EBC"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  <w:t>with non-contiguous allocations.</w:t>
      </w:r>
    </w:p>
    <w:p w14:paraId="65F2BC2E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</w:p>
    <w:p w14:paraId="2C2A3051" w14:textId="77777777" w:rsidR="00101EBC" w:rsidRPr="00101EBC" w:rsidRDefault="00101EBC" w:rsidP="00101EBC">
      <w:pPr>
        <w:spacing w:after="120" w:line="240" w:lineRule="auto"/>
        <w:ind w:left="284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Option 3: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Do not consider only the MSD requirements resulting from intra-band contiguous UL CA configured </w:t>
      </w:r>
      <w:r w:rsidRPr="00101EBC"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  <w:t>with 1RB+1RB allocations.</w:t>
      </w:r>
    </w:p>
    <w:p w14:paraId="698C53B6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</w:p>
    <w:p w14:paraId="4774677A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i/>
          <w:iCs/>
          <w:kern w:val="0"/>
          <w:sz w:val="20"/>
          <w:szCs w:val="20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Proposal 2: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If Option 2 or Option 3 in Proposal 1 would be considered, which release to start taking effect?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14:ligatures w14:val="none"/>
        </w:rPr>
        <w:t xml:space="preserve">  </w:t>
      </w:r>
    </w:p>
    <w:p w14:paraId="57B27E8C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kern w:val="0"/>
          <w:sz w:val="20"/>
          <w:szCs w:val="20"/>
          <w14:ligatures w14:val="none"/>
        </w:rPr>
      </w:pPr>
    </w:p>
    <w:p w14:paraId="75ADA8C8" w14:textId="77777777" w:rsidR="00101EBC" w:rsidRPr="00101EBC" w:rsidRDefault="00101EBC" w:rsidP="00101EBC">
      <w:pPr>
        <w:spacing w:after="0" w:line="240" w:lineRule="auto"/>
        <w:ind w:left="284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Option 1: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From earliest release where such MSD requirements have been specified. </w:t>
      </w:r>
    </w:p>
    <w:p w14:paraId="2230FE63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</w:p>
    <w:p w14:paraId="4C9BEE03" w14:textId="77777777" w:rsidR="00101EBC" w:rsidRPr="00101EBC" w:rsidRDefault="00101EBC" w:rsidP="00101EBC">
      <w:pPr>
        <w:spacing w:after="0" w:line="240" w:lineRule="auto"/>
        <w:ind w:left="288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>Option 2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>: Rel-18</w:t>
      </w:r>
    </w:p>
    <w:p w14:paraId="1506BEF6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</w:p>
    <w:p w14:paraId="3ED89CFD" w14:textId="77777777" w:rsidR="00101EBC" w:rsidRPr="00101EBC" w:rsidRDefault="00101EBC" w:rsidP="00101EBC">
      <w:pPr>
        <w:spacing w:after="120" w:line="240" w:lineRule="auto"/>
        <w:ind w:left="284"/>
        <w:jc w:val="both"/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Option 3: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>Rel-19</w:t>
      </w:r>
    </w:p>
    <w:p w14:paraId="170B638A" w14:textId="77777777" w:rsidR="00101EBC" w:rsidRPr="00101EBC" w:rsidRDefault="00101EBC" w:rsidP="00101EBC">
      <w:pPr>
        <w:spacing w:after="0" w:line="240" w:lineRule="auto"/>
        <w:ind w:left="288"/>
        <w:jc w:val="both"/>
        <w:rPr>
          <w:rFonts w:ascii="Arial" w:eastAsia="PMingLiU" w:hAnsi="Arial" w:cs="Arial"/>
          <w:kern w:val="0"/>
          <w:sz w:val="20"/>
          <w:szCs w:val="20"/>
          <w:lang w:val="en-GB"/>
          <w14:ligatures w14:val="none"/>
        </w:rPr>
      </w:pPr>
    </w:p>
    <w:p w14:paraId="2AF65F81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i/>
          <w:iCs/>
          <w:kern w:val="0"/>
          <w:sz w:val="20"/>
          <w:szCs w:val="20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Proposal 3: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Is there a need to introduce cross-band MSD requirements resulting from intra-band contiguous UL CA configured with fully allocated maximum aggregated BW?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14:ligatures w14:val="none"/>
        </w:rPr>
        <w:t xml:space="preserve">  </w:t>
      </w:r>
    </w:p>
    <w:p w14:paraId="48BA9E72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kern w:val="0"/>
          <w:sz w:val="20"/>
          <w:szCs w:val="20"/>
          <w14:ligatures w14:val="none"/>
        </w:rPr>
      </w:pPr>
    </w:p>
    <w:p w14:paraId="3A5D594D" w14:textId="77777777" w:rsidR="00101EBC" w:rsidRPr="00101EBC" w:rsidRDefault="00101EBC" w:rsidP="00101EBC">
      <w:pPr>
        <w:spacing w:after="0" w:line="240" w:lineRule="auto"/>
        <w:ind w:left="284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 xml:space="preserve">Option 1: 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 xml:space="preserve">Yes </w:t>
      </w:r>
    </w:p>
    <w:p w14:paraId="2A37A94E" w14:textId="77777777" w:rsidR="00101EBC" w:rsidRPr="00101EBC" w:rsidRDefault="00101EBC" w:rsidP="00101EBC">
      <w:pPr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</w:pPr>
    </w:p>
    <w:p w14:paraId="38382D0B" w14:textId="3466D001" w:rsidR="00001516" w:rsidRDefault="00101EBC" w:rsidP="00101EB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01EBC">
        <w:rPr>
          <w:rFonts w:ascii="Arial" w:eastAsia="PMingLiU" w:hAnsi="Arial" w:cs="Arial"/>
          <w:b/>
          <w:bCs/>
          <w:i/>
          <w:iCs/>
          <w:kern w:val="0"/>
          <w:sz w:val="20"/>
          <w:szCs w:val="20"/>
          <w:lang w:val="en-GB"/>
          <w14:ligatures w14:val="none"/>
        </w:rPr>
        <w:t>Option 2</w:t>
      </w:r>
      <w:r w:rsidRPr="00101EBC">
        <w:rPr>
          <w:rFonts w:ascii="Arial" w:eastAsia="PMingLiU" w:hAnsi="Arial" w:cs="Arial"/>
          <w:i/>
          <w:iCs/>
          <w:kern w:val="0"/>
          <w:sz w:val="20"/>
          <w:szCs w:val="20"/>
          <w:lang w:val="en-GB"/>
          <w14:ligatures w14:val="none"/>
        </w:rPr>
        <w:t>: No</w:t>
      </w:r>
    </w:p>
    <w:p w14:paraId="750CB448" w14:textId="40EF73BD" w:rsidR="008F1917" w:rsidRPr="00842EB9" w:rsidRDefault="008F1917" w:rsidP="008F19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3ED2DDD" w14:textId="036D2E4A" w:rsidR="008344BF" w:rsidRPr="00D46ADB" w:rsidRDefault="008344BF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FEA1C53" w:rsidR="00206CA4" w:rsidRPr="00581ABA" w:rsidRDefault="00254EE7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lastRenderedPageBreak/>
        <w:t>Discussion</w:t>
      </w:r>
    </w:p>
    <w:p w14:paraId="129B86FB" w14:textId="06514632" w:rsidR="008F1917" w:rsidRPr="0060275C" w:rsidRDefault="0086321A" w:rsidP="00254EE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Related to </w:t>
      </w:r>
      <w:r w:rsidR="00254EE7" w:rsidRPr="0060275C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Proposal 1</w:t>
      </w:r>
      <w:r w:rsidR="0060275C" w:rsidRPr="0060275C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:</w:t>
      </w:r>
    </w:p>
    <w:p w14:paraId="3B7CE6D1" w14:textId="24E154B7" w:rsidR="0060275C" w:rsidRDefault="0060275C" w:rsidP="00254EE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current/most recent practice </w:t>
      </w:r>
      <w:r w:rsidR="00807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has been to treat the FDD Intra-band contiguous UL CA as follo</w:t>
      </w:r>
      <w:r w:rsidR="00062C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807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s:</w:t>
      </w:r>
    </w:p>
    <w:p w14:paraId="376ECDF8" w14:textId="31A08E5A" w:rsidR="0080742D" w:rsidRDefault="0080742D" w:rsidP="00254EE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-Set the Total RB amou</w:t>
      </w:r>
      <w:r w:rsidR="002730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 according to </w:t>
      </w:r>
      <w:r w:rsidR="002730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proofErr w:type="spellStart"/>
      <w:r w:rsidR="002730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Ul</w:t>
      </w:r>
      <w:proofErr w:type="spellEnd"/>
      <w:r w:rsidR="002730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RB amount specified for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largest supported UL BW </w:t>
      </w:r>
      <w:r w:rsidR="0027304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RESFENS con</w:t>
      </w:r>
      <w:r w:rsidR="00062C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figuration to address Intra-band/Inter-band MSD</w:t>
      </w:r>
    </w:p>
    <w:p w14:paraId="1BADB16E" w14:textId="26C82C38" w:rsidR="00062C61" w:rsidRDefault="00062C61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current/most recent practice has been to treat the TDD Intra-band contiguous UL CA as follows:</w:t>
      </w:r>
    </w:p>
    <w:p w14:paraId="25A0B189" w14:textId="11263C16" w:rsidR="00062C61" w:rsidRDefault="00062C61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-Use 1+1 UL RB allocation to address cross</w:t>
      </w:r>
      <w:r w:rsidR="00931AB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-band MSD</w:t>
      </w:r>
    </w:p>
    <w:p w14:paraId="43F45975" w14:textId="51A3D24D" w:rsidR="00931AB7" w:rsidRDefault="00016441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think that this practice is good for now, even though the 1+1 RB case </w:t>
      </w:r>
      <w:r w:rsidR="000E7CA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just to test the RF linearity. On the other had if other approach, </w:t>
      </w:r>
      <w:proofErr w:type="spellStart"/>
      <w:r w:rsidR="000E7CA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e.g</w:t>
      </w:r>
      <w:proofErr w:type="spellEnd"/>
      <w:r w:rsidR="000E7CA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fully allocated UL RB’s for TDD bands</w:t>
      </w:r>
      <w:r w:rsidR="00A95F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was considered, </w:t>
      </w:r>
      <w:proofErr w:type="gramStart"/>
      <w:r w:rsidR="00A95F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</w:t>
      </w:r>
      <w:proofErr w:type="gramEnd"/>
      <w:r w:rsidR="00A95F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would also not represent realistic case for the network.</w:t>
      </w:r>
    </w:p>
    <w:p w14:paraId="49E8674E" w14:textId="7EB25182" w:rsidR="00A95F66" w:rsidRDefault="00A95F66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6321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</w:t>
      </w:r>
      <w:r w:rsidR="0086321A" w:rsidRPr="0086321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sal 1</w:t>
      </w:r>
      <w:r w:rsidR="0086321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current practices in MSD test points for Intra-band contiguous UL CA</w:t>
      </w:r>
    </w:p>
    <w:p w14:paraId="2834CFE6" w14:textId="05019203" w:rsidR="00555A65" w:rsidRPr="00555A65" w:rsidRDefault="00555A65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555A6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Related to proposal 3:</w:t>
      </w:r>
    </w:p>
    <w:p w14:paraId="6511F92F" w14:textId="595C652A" w:rsidR="00555A65" w:rsidRDefault="00555A65" w:rsidP="00062C6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While we understand the rationale for this, we don’t think it would bring any additional benefit, as system-wise</w:t>
      </w:r>
      <w:r w:rsidR="0007059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case with fully allocated UL and victim DL being at cell edge is not realistic</w:t>
      </w:r>
      <w:r w:rsidR="009A72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Additionally, the amount of workload </w:t>
      </w:r>
      <w:r w:rsidR="006710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could be substantial if this were pursued.</w:t>
      </w:r>
    </w:p>
    <w:p w14:paraId="28A99065" w14:textId="43751513" w:rsidR="00062C61" w:rsidRPr="00842EB9" w:rsidRDefault="0061120D" w:rsidP="00254EE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7109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6710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Option 2</w:t>
      </w:r>
    </w:p>
    <w:p w14:paraId="57ABC6B4" w14:textId="145CA75E" w:rsidR="0067109F" w:rsidRDefault="0067109F" w:rsidP="0067109F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1144BAD8" w14:textId="06DCBBC5" w:rsidR="00206CA4" w:rsidRDefault="0067109F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Discussion on MSD requirements with Intra-band contiguous Uplink CA</w:t>
      </w:r>
      <w:r w:rsidR="000C2F7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was provided with the following proposals:</w:t>
      </w:r>
    </w:p>
    <w:p w14:paraId="42899554" w14:textId="77777777" w:rsidR="000C2F70" w:rsidRDefault="000C2F70" w:rsidP="000C2F7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6321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current practices in MSD test points for Intra-band contiguous UL CA</w:t>
      </w:r>
    </w:p>
    <w:p w14:paraId="1BDD03CF" w14:textId="044F084E" w:rsidR="000C2F70" w:rsidRPr="00FD5977" w:rsidRDefault="000C2F7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7109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Option 2</w:t>
      </w: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AD0C8B3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40</w:t>
      </w:r>
      <w:r w:rsidR="00001516">
        <w:rPr>
          <w:rFonts w:ascii="Times New Roman" w:hAnsi="Times New Roman" w:cs="Times New Roman"/>
          <w:sz w:val="20"/>
          <w:szCs w:val="20"/>
        </w:rPr>
        <w:t>6676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001516" w:rsidRPr="00001516">
        <w:rPr>
          <w:rFonts w:ascii="Times New Roman" w:hAnsi="Times New Roman" w:cs="Times New Roman"/>
          <w:sz w:val="20"/>
          <w:szCs w:val="20"/>
        </w:rPr>
        <w:t>WF on MSD requirements with intra-band contiguous ULCA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001516">
        <w:rPr>
          <w:rFonts w:ascii="Times New Roman" w:hAnsi="Times New Roman" w:cs="Times New Roman"/>
          <w:sz w:val="20"/>
          <w:szCs w:val="20"/>
        </w:rPr>
        <w:t>Apple</w:t>
      </w:r>
    </w:p>
    <w:p w14:paraId="5EE0D7B8" w14:textId="4E3C4F9F" w:rsidR="00EB30E8" w:rsidRPr="00BF18E6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BF1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C3C6289"/>
    <w:multiLevelType w:val="hybridMultilevel"/>
    <w:tmpl w:val="E83A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  <w:num w:numId="10" w16cid:durableId="1131365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516"/>
    <w:rsid w:val="000160A5"/>
    <w:rsid w:val="00016441"/>
    <w:rsid w:val="00026B59"/>
    <w:rsid w:val="00027CD3"/>
    <w:rsid w:val="00033C67"/>
    <w:rsid w:val="0004112E"/>
    <w:rsid w:val="00051D0F"/>
    <w:rsid w:val="00062C61"/>
    <w:rsid w:val="00070598"/>
    <w:rsid w:val="00073A27"/>
    <w:rsid w:val="00074D03"/>
    <w:rsid w:val="000751D0"/>
    <w:rsid w:val="00081E3D"/>
    <w:rsid w:val="000821EC"/>
    <w:rsid w:val="00082AB1"/>
    <w:rsid w:val="00097450"/>
    <w:rsid w:val="000A6928"/>
    <w:rsid w:val="000C2F70"/>
    <w:rsid w:val="000D1150"/>
    <w:rsid w:val="000D157E"/>
    <w:rsid w:val="000D3161"/>
    <w:rsid w:val="000D3228"/>
    <w:rsid w:val="000E7CAF"/>
    <w:rsid w:val="000F45DA"/>
    <w:rsid w:val="00101EBC"/>
    <w:rsid w:val="001073F6"/>
    <w:rsid w:val="00112FA4"/>
    <w:rsid w:val="001139B0"/>
    <w:rsid w:val="0012319D"/>
    <w:rsid w:val="00126F73"/>
    <w:rsid w:val="001664FC"/>
    <w:rsid w:val="00167B56"/>
    <w:rsid w:val="001824A1"/>
    <w:rsid w:val="00184BEA"/>
    <w:rsid w:val="00185E03"/>
    <w:rsid w:val="00186404"/>
    <w:rsid w:val="001A38C6"/>
    <w:rsid w:val="001D3052"/>
    <w:rsid w:val="001E1CFF"/>
    <w:rsid w:val="001E4991"/>
    <w:rsid w:val="001E5C18"/>
    <w:rsid w:val="001E5F7E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418BB"/>
    <w:rsid w:val="0025440D"/>
    <w:rsid w:val="00254EE7"/>
    <w:rsid w:val="00260B98"/>
    <w:rsid w:val="00272E8F"/>
    <w:rsid w:val="00273040"/>
    <w:rsid w:val="0028432A"/>
    <w:rsid w:val="00287F30"/>
    <w:rsid w:val="002A5B13"/>
    <w:rsid w:val="002B2450"/>
    <w:rsid w:val="002B2BD2"/>
    <w:rsid w:val="002B5439"/>
    <w:rsid w:val="002C3E8B"/>
    <w:rsid w:val="002C44DD"/>
    <w:rsid w:val="002D33D3"/>
    <w:rsid w:val="002E57F7"/>
    <w:rsid w:val="002E7AAD"/>
    <w:rsid w:val="0030292D"/>
    <w:rsid w:val="00321BF7"/>
    <w:rsid w:val="00347462"/>
    <w:rsid w:val="003550D9"/>
    <w:rsid w:val="00357982"/>
    <w:rsid w:val="00361D49"/>
    <w:rsid w:val="0036375E"/>
    <w:rsid w:val="00387E34"/>
    <w:rsid w:val="0039326C"/>
    <w:rsid w:val="003A3F92"/>
    <w:rsid w:val="003B2A7C"/>
    <w:rsid w:val="003B67F4"/>
    <w:rsid w:val="003D5E12"/>
    <w:rsid w:val="003D678B"/>
    <w:rsid w:val="003D7CB4"/>
    <w:rsid w:val="003E74E4"/>
    <w:rsid w:val="003F04DC"/>
    <w:rsid w:val="003F5E62"/>
    <w:rsid w:val="003F717D"/>
    <w:rsid w:val="004151B4"/>
    <w:rsid w:val="00421462"/>
    <w:rsid w:val="00421D96"/>
    <w:rsid w:val="00433C38"/>
    <w:rsid w:val="00435F44"/>
    <w:rsid w:val="00436F02"/>
    <w:rsid w:val="00456E46"/>
    <w:rsid w:val="00490253"/>
    <w:rsid w:val="004A0399"/>
    <w:rsid w:val="004A2517"/>
    <w:rsid w:val="004A5E5D"/>
    <w:rsid w:val="004A6558"/>
    <w:rsid w:val="004A7E3B"/>
    <w:rsid w:val="004C0FE5"/>
    <w:rsid w:val="004F6F62"/>
    <w:rsid w:val="004F734E"/>
    <w:rsid w:val="00503BD2"/>
    <w:rsid w:val="005061E1"/>
    <w:rsid w:val="00532BA3"/>
    <w:rsid w:val="005513CD"/>
    <w:rsid w:val="00554C88"/>
    <w:rsid w:val="00555A65"/>
    <w:rsid w:val="0057292A"/>
    <w:rsid w:val="00581ABA"/>
    <w:rsid w:val="005848DD"/>
    <w:rsid w:val="00595A6A"/>
    <w:rsid w:val="005A3681"/>
    <w:rsid w:val="005C2864"/>
    <w:rsid w:val="005C38A6"/>
    <w:rsid w:val="005C458A"/>
    <w:rsid w:val="005F1BDD"/>
    <w:rsid w:val="0060095E"/>
    <w:rsid w:val="0060275C"/>
    <w:rsid w:val="00602FC0"/>
    <w:rsid w:val="00603743"/>
    <w:rsid w:val="0061120D"/>
    <w:rsid w:val="0061524F"/>
    <w:rsid w:val="00615BDE"/>
    <w:rsid w:val="006449D8"/>
    <w:rsid w:val="00644C15"/>
    <w:rsid w:val="006477BF"/>
    <w:rsid w:val="00652D71"/>
    <w:rsid w:val="00653EFD"/>
    <w:rsid w:val="00662492"/>
    <w:rsid w:val="0067109F"/>
    <w:rsid w:val="00674A40"/>
    <w:rsid w:val="00677F3D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6619"/>
    <w:rsid w:val="00716CD8"/>
    <w:rsid w:val="00717C63"/>
    <w:rsid w:val="007244E8"/>
    <w:rsid w:val="007268D0"/>
    <w:rsid w:val="00737650"/>
    <w:rsid w:val="00755E8B"/>
    <w:rsid w:val="007661F1"/>
    <w:rsid w:val="00771EA5"/>
    <w:rsid w:val="00784098"/>
    <w:rsid w:val="00791E29"/>
    <w:rsid w:val="00793525"/>
    <w:rsid w:val="0079792B"/>
    <w:rsid w:val="007A5D7A"/>
    <w:rsid w:val="007B19DE"/>
    <w:rsid w:val="007B55CD"/>
    <w:rsid w:val="007C4950"/>
    <w:rsid w:val="007D659F"/>
    <w:rsid w:val="007D65B4"/>
    <w:rsid w:val="007D7103"/>
    <w:rsid w:val="007E0687"/>
    <w:rsid w:val="007E0816"/>
    <w:rsid w:val="007F1B1D"/>
    <w:rsid w:val="007F54C5"/>
    <w:rsid w:val="0080742D"/>
    <w:rsid w:val="0081004C"/>
    <w:rsid w:val="008344BF"/>
    <w:rsid w:val="00842EB9"/>
    <w:rsid w:val="0085425E"/>
    <w:rsid w:val="008579C2"/>
    <w:rsid w:val="00862940"/>
    <w:rsid w:val="00862BF9"/>
    <w:rsid w:val="0086321A"/>
    <w:rsid w:val="00867230"/>
    <w:rsid w:val="008905B1"/>
    <w:rsid w:val="00891E48"/>
    <w:rsid w:val="008A054D"/>
    <w:rsid w:val="008A5A5D"/>
    <w:rsid w:val="008B3579"/>
    <w:rsid w:val="008B696A"/>
    <w:rsid w:val="008B7D63"/>
    <w:rsid w:val="008C4842"/>
    <w:rsid w:val="008C7C14"/>
    <w:rsid w:val="008D0DED"/>
    <w:rsid w:val="008D606A"/>
    <w:rsid w:val="008E4416"/>
    <w:rsid w:val="008F1917"/>
    <w:rsid w:val="008F31F2"/>
    <w:rsid w:val="0090772A"/>
    <w:rsid w:val="00910BDB"/>
    <w:rsid w:val="00931AB7"/>
    <w:rsid w:val="0096518D"/>
    <w:rsid w:val="009702F2"/>
    <w:rsid w:val="00980A4B"/>
    <w:rsid w:val="009871C1"/>
    <w:rsid w:val="00991ACF"/>
    <w:rsid w:val="009A723D"/>
    <w:rsid w:val="009B2739"/>
    <w:rsid w:val="009C4525"/>
    <w:rsid w:val="009D2E61"/>
    <w:rsid w:val="009D7809"/>
    <w:rsid w:val="009E2764"/>
    <w:rsid w:val="00A0120C"/>
    <w:rsid w:val="00A01F67"/>
    <w:rsid w:val="00A132AE"/>
    <w:rsid w:val="00A16627"/>
    <w:rsid w:val="00A227D1"/>
    <w:rsid w:val="00A267DD"/>
    <w:rsid w:val="00A33537"/>
    <w:rsid w:val="00A3583F"/>
    <w:rsid w:val="00A54986"/>
    <w:rsid w:val="00A85CE5"/>
    <w:rsid w:val="00A94C50"/>
    <w:rsid w:val="00A95F66"/>
    <w:rsid w:val="00A965BA"/>
    <w:rsid w:val="00AA3377"/>
    <w:rsid w:val="00AA3E3E"/>
    <w:rsid w:val="00AA56CA"/>
    <w:rsid w:val="00AB204F"/>
    <w:rsid w:val="00AB6C46"/>
    <w:rsid w:val="00AD6C2C"/>
    <w:rsid w:val="00AD7F02"/>
    <w:rsid w:val="00AE7F0D"/>
    <w:rsid w:val="00AF1BDA"/>
    <w:rsid w:val="00AF52BA"/>
    <w:rsid w:val="00B11F38"/>
    <w:rsid w:val="00B179B3"/>
    <w:rsid w:val="00B27651"/>
    <w:rsid w:val="00B34C0E"/>
    <w:rsid w:val="00B43ED8"/>
    <w:rsid w:val="00B64815"/>
    <w:rsid w:val="00B65E5E"/>
    <w:rsid w:val="00B71374"/>
    <w:rsid w:val="00B810E5"/>
    <w:rsid w:val="00B871A9"/>
    <w:rsid w:val="00B875FB"/>
    <w:rsid w:val="00B9534E"/>
    <w:rsid w:val="00B95EFD"/>
    <w:rsid w:val="00B97AD4"/>
    <w:rsid w:val="00BA2B72"/>
    <w:rsid w:val="00BA56EB"/>
    <w:rsid w:val="00BB65CC"/>
    <w:rsid w:val="00BD7814"/>
    <w:rsid w:val="00BE094A"/>
    <w:rsid w:val="00BE23DB"/>
    <w:rsid w:val="00BF18E6"/>
    <w:rsid w:val="00C04C13"/>
    <w:rsid w:val="00C11507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532D6"/>
    <w:rsid w:val="00C56A09"/>
    <w:rsid w:val="00C616D2"/>
    <w:rsid w:val="00C753CF"/>
    <w:rsid w:val="00C87CC3"/>
    <w:rsid w:val="00CA124E"/>
    <w:rsid w:val="00CA69FE"/>
    <w:rsid w:val="00CA6B82"/>
    <w:rsid w:val="00CA7FBD"/>
    <w:rsid w:val="00CB0220"/>
    <w:rsid w:val="00CB465C"/>
    <w:rsid w:val="00CC1B5D"/>
    <w:rsid w:val="00CD75B4"/>
    <w:rsid w:val="00CF0825"/>
    <w:rsid w:val="00CF27C6"/>
    <w:rsid w:val="00CF7B6B"/>
    <w:rsid w:val="00CF7D7B"/>
    <w:rsid w:val="00D02A94"/>
    <w:rsid w:val="00D05670"/>
    <w:rsid w:val="00D07474"/>
    <w:rsid w:val="00D15874"/>
    <w:rsid w:val="00D23DE5"/>
    <w:rsid w:val="00D26C32"/>
    <w:rsid w:val="00D272E2"/>
    <w:rsid w:val="00D46ADB"/>
    <w:rsid w:val="00D51C9A"/>
    <w:rsid w:val="00D730E1"/>
    <w:rsid w:val="00D85C78"/>
    <w:rsid w:val="00D86A32"/>
    <w:rsid w:val="00D92562"/>
    <w:rsid w:val="00DA1482"/>
    <w:rsid w:val="00DB331A"/>
    <w:rsid w:val="00DC7098"/>
    <w:rsid w:val="00DE0302"/>
    <w:rsid w:val="00DE2302"/>
    <w:rsid w:val="00DF4EE8"/>
    <w:rsid w:val="00DF69B4"/>
    <w:rsid w:val="00DF7489"/>
    <w:rsid w:val="00E108F5"/>
    <w:rsid w:val="00E12399"/>
    <w:rsid w:val="00E3746C"/>
    <w:rsid w:val="00E5117C"/>
    <w:rsid w:val="00E52446"/>
    <w:rsid w:val="00E63380"/>
    <w:rsid w:val="00E70EFD"/>
    <w:rsid w:val="00E732EA"/>
    <w:rsid w:val="00E75B72"/>
    <w:rsid w:val="00E76D23"/>
    <w:rsid w:val="00E77CBB"/>
    <w:rsid w:val="00E81BC5"/>
    <w:rsid w:val="00E96729"/>
    <w:rsid w:val="00E97B1C"/>
    <w:rsid w:val="00EA2766"/>
    <w:rsid w:val="00EA538B"/>
    <w:rsid w:val="00EB30E8"/>
    <w:rsid w:val="00EC0B42"/>
    <w:rsid w:val="00ED2FB5"/>
    <w:rsid w:val="00ED507D"/>
    <w:rsid w:val="00EE29C5"/>
    <w:rsid w:val="00F2095A"/>
    <w:rsid w:val="00F343EC"/>
    <w:rsid w:val="00F4445E"/>
    <w:rsid w:val="00F50BE9"/>
    <w:rsid w:val="00F5773D"/>
    <w:rsid w:val="00F658CD"/>
    <w:rsid w:val="00F7491F"/>
    <w:rsid w:val="00F816C5"/>
    <w:rsid w:val="00F955C7"/>
    <w:rsid w:val="00FA07FD"/>
    <w:rsid w:val="00FA56B3"/>
    <w:rsid w:val="00FB0C3F"/>
    <w:rsid w:val="00FC3E00"/>
    <w:rsid w:val="00FC495B"/>
    <w:rsid w:val="00FD02BC"/>
    <w:rsid w:val="00FD5977"/>
    <w:rsid w:val="00FD6120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2024-05-13T11:20:00Z</dcterms:created>
  <dcterms:modified xsi:type="dcterms:W3CDTF">2024-05-13T11:20:00Z</dcterms:modified>
</cp:coreProperties>
</file>