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Arial" w:hAnsi="Arial" w:cs="Arial"/>
          <w:b/>
          <w:bCs/>
          <w:sz w:val="24"/>
          <w:szCs w:val="24"/>
          <w:lang w:val="en-US" w:eastAsia="zh-CN"/>
        </w:rPr>
      </w:pPr>
      <w:bookmarkStart w:id="0" w:name="DocumentFor"/>
      <w:bookmarkEnd w:id="0"/>
      <w:bookmarkStart w:id="1" w:name="Title"/>
      <w:bookmarkEnd w:id="1"/>
      <w:r>
        <w:rPr>
          <w:rFonts w:hint="default" w:ascii="Arial" w:hAnsi="Arial" w:cs="Arial"/>
          <w:b/>
          <w:bCs/>
          <w:sz w:val="24"/>
          <w:szCs w:val="24"/>
          <w:lang w:val="en-US" w:eastAsia="zh-CN"/>
        </w:rPr>
        <w:t>3GPP TSG-RAN WG4 Meeting #111</w:t>
      </w:r>
      <w:r>
        <w:rPr>
          <w:rFonts w:hint="default" w:ascii="Arial" w:hAnsi="Arial" w:cs="Arial"/>
          <w:b/>
          <w:bCs/>
          <w:sz w:val="24"/>
          <w:szCs w:val="24"/>
          <w:lang w:val="en-US" w:eastAsia="zh-CN"/>
        </w:rPr>
        <w:tab/>
      </w:r>
      <w:r>
        <w:rPr>
          <w:rFonts w:hint="default" w:ascii="Arial" w:hAnsi="Arial" w:cs="Arial"/>
          <w:b/>
          <w:bCs/>
          <w:sz w:val="24"/>
          <w:szCs w:val="24"/>
          <w:lang w:val="en-US" w:eastAsia="zh-CN"/>
        </w:rPr>
        <w:tab/>
      </w:r>
      <w:r>
        <w:rPr>
          <w:rFonts w:hint="default" w:ascii="Arial" w:hAnsi="Arial" w:cs="Arial"/>
          <w:b/>
          <w:bCs/>
          <w:sz w:val="24"/>
          <w:szCs w:val="24"/>
          <w:lang w:val="en-US" w:eastAsia="zh-CN"/>
        </w:rPr>
        <w:tab/>
      </w:r>
      <w:r>
        <w:rPr>
          <w:rFonts w:hint="default"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bookmarkStart w:id="2" w:name="_GoBack"/>
      <w:r>
        <w:rPr>
          <w:rFonts w:hint="default" w:ascii="Arial" w:hAnsi="Arial" w:cs="Arial"/>
          <w:b/>
          <w:bCs/>
          <w:sz w:val="24"/>
          <w:szCs w:val="24"/>
          <w:lang w:val="en-US" w:eastAsia="zh-CN"/>
        </w:rPr>
        <w:t>R4-240</w:t>
      </w:r>
      <w:r>
        <w:rPr>
          <w:rFonts w:hint="eastAsia" w:ascii="Arial" w:hAnsi="Arial" w:cs="Arial"/>
          <w:b/>
          <w:bCs/>
          <w:sz w:val="24"/>
          <w:szCs w:val="24"/>
          <w:lang w:val="en-US" w:eastAsia="zh-CN"/>
        </w:rPr>
        <w:t>8225</w:t>
      </w:r>
      <w:bookmarkEnd w:id="2"/>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Fukuoka City, Fukuoka , Japan, 20th – 24th May, 2024</w:t>
      </w:r>
    </w:p>
    <w:p>
      <w:pPr>
        <w:bidi w:val="0"/>
        <w:rPr>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10.12.1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SBFD general part</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eastAsia" w:ascii="Times New Roman" w:hAnsi="Times New Roman"/>
          <w:sz w:val="20"/>
          <w:lang w:val="en-US" w:eastAsia="zh-CN"/>
        </w:rPr>
      </w:pPr>
      <w:r>
        <w:rPr>
          <w:rFonts w:hint="eastAsia" w:ascii="Times New Roman" w:hAnsi="Times New Roman"/>
          <w:sz w:val="20"/>
          <w:lang w:val="en-US" w:eastAsia="zh-CN"/>
        </w:rPr>
        <w:t>In TR 38.858, the impacts on SBFD requirements have been analyzed</w:t>
      </w:r>
      <w:r>
        <w:rPr>
          <w:rFonts w:ascii="Times New Roman" w:hAnsi="Times New Roman"/>
          <w:sz w:val="20"/>
        </w:rPr>
        <w:t>.</w:t>
      </w:r>
      <w:r>
        <w:rPr>
          <w:rFonts w:hint="eastAsia" w:ascii="Times New Roman" w:hAnsi="Times New Roman"/>
          <w:sz w:val="20"/>
          <w:lang w:val="en-US" w:eastAsia="zh-CN"/>
        </w:rPr>
        <w:t xml:space="preserve"> RAN4 has identified which </w:t>
      </w:r>
      <w:r>
        <w:rPr>
          <w:rFonts w:hint="eastAsia" w:ascii="Times New Roman" w:hAnsi="Times New Roman"/>
          <w:b w:val="0"/>
          <w:bCs w:val="0"/>
          <w:sz w:val="20"/>
          <w:szCs w:val="20"/>
          <w:lang w:val="en-US" w:eastAsia="zh-CN"/>
        </w:rPr>
        <w:t>legacy requirements are still applicable, which legacy requirements are not applicable and which new requirements are needed</w:t>
      </w:r>
      <w:r>
        <w:rPr>
          <w:rFonts w:hint="eastAsia" w:ascii="Times New Roman" w:hAnsi="Times New Roman"/>
          <w:sz w:val="20"/>
          <w:lang w:val="en-US" w:eastAsia="zh-CN"/>
        </w:rPr>
        <w:t xml:space="preserve">. </w:t>
      </w:r>
    </w:p>
    <w:p>
      <w:pPr>
        <w:spacing w:after="180"/>
        <w:rPr>
          <w:rFonts w:hint="default" w:ascii="Times New Roman" w:hAnsi="Times New Roman"/>
          <w:sz w:val="20"/>
          <w:lang w:val="en-US" w:eastAsia="zh-CN"/>
        </w:rPr>
      </w:pPr>
      <w:r>
        <w:rPr>
          <w:rFonts w:hint="eastAsia" w:ascii="Times New Roman" w:hAnsi="Times New Roman"/>
          <w:sz w:val="20"/>
          <w:lang w:val="en-US" w:eastAsia="zh-CN"/>
        </w:rPr>
        <w:t>In last meeting, WF on SBFD BS requirement is approved with several agreements. [1]</w:t>
      </w:r>
    </w:p>
    <w:p>
      <w:pPr>
        <w:spacing w:after="180"/>
        <w:rPr>
          <w:rFonts w:hint="default" w:ascii="Times New Roman" w:hAnsi="Times New Roman"/>
          <w:sz w:val="20"/>
          <w:lang w:val="en-US" w:eastAsia="zh-CN"/>
        </w:rPr>
      </w:pPr>
      <w:r>
        <w:rPr>
          <w:rFonts w:hint="eastAsia" w:ascii="Times New Roman" w:hAnsi="Times New Roman"/>
          <w:sz w:val="20"/>
          <w:lang w:val="en-US" w:eastAsia="zh-CN"/>
        </w:rPr>
        <w:t>In this contribution, we continue the general part discussion based on the summary approved in last meeting.</w:t>
      </w:r>
    </w:p>
    <w:p>
      <w:pPr>
        <w:keepNext/>
        <w:keepLines/>
        <w:widowControl/>
        <w:numPr>
          <w:ilvl w:val="0"/>
          <w:numId w:val="1"/>
        </w:numPr>
        <w:pBdr>
          <w:top w:val="single" w:color="auto" w:sz="12" w:space="1"/>
        </w:pBdr>
        <w:tabs>
          <w:tab w:val="left" w:pos="567"/>
        </w:tabs>
        <w:adjustRightInd w:val="0"/>
        <w:spacing w:before="240" w:after="180"/>
        <w:ind w:left="510" w:hanging="510"/>
        <w:outlineLvl w:val="0"/>
        <w:rPr>
          <w:rFonts w:hint="default" w:ascii="Arial" w:hAnsi="Arial" w:eastAsiaTheme="minorEastAsia" w:cstheme="minorBidi"/>
          <w:sz w:val="32"/>
          <w:szCs w:val="36"/>
          <w:lang w:val="en-US" w:eastAsia="zh-CN"/>
        </w:rPr>
      </w:pPr>
      <w:r>
        <w:rPr>
          <w:rFonts w:hint="eastAsia" w:ascii="Arial" w:hAnsi="Arial" w:eastAsiaTheme="minorEastAsia" w:cstheme="minorBidi"/>
          <w:sz w:val="32"/>
          <w:szCs w:val="36"/>
        </w:rPr>
        <w:t>Discussion</w:t>
      </w:r>
    </w:p>
    <w:p>
      <w:pPr>
        <w:pStyle w:val="6"/>
        <w:numPr>
          <w:ilvl w:val="1"/>
          <w:numId w:val="1"/>
        </w:numPr>
        <w:bidi w:val="0"/>
        <w:rPr>
          <w:rFonts w:hint="eastAsia"/>
          <w:lang w:val="en-US" w:eastAsia="zh-CN"/>
        </w:rPr>
      </w:pPr>
      <w:r>
        <w:rPr>
          <w:rFonts w:hint="eastAsia"/>
          <w:lang w:val="en-US" w:eastAsia="zh-CN"/>
        </w:rPr>
        <w:t xml:space="preserve"> </w:t>
      </w:r>
      <w:r>
        <w:rPr>
          <w:lang w:val="en-US"/>
        </w:rPr>
        <w:t>BS RF Specification structure for SBFD requirements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 last meeting, the candidate options are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bidi w:val="0"/>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2-1-1: BS RF Specification structure for SBFD requirements</w:t>
            </w:r>
          </w:p>
          <w:p>
            <w:pPr>
              <w:numPr>
                <w:ilvl w:val="0"/>
                <w:numId w:val="2"/>
              </w:numPr>
              <w:bidi w:val="0"/>
              <w:spacing w:before="120" w:line="280" w:lineRule="atLeast"/>
              <w:ind w:left="936" w:leftChars="0" w:hanging="36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Options of how to introduce BS RF new requirements for SBFD-capable BS: </w:t>
            </w:r>
          </w:p>
          <w:p>
            <w:pPr>
              <w:numPr>
                <w:ilvl w:val="0"/>
                <w:numId w:val="2"/>
              </w:numPr>
              <w:bidi w:val="0"/>
              <w:spacing w:before="120" w:line="280" w:lineRule="atLeast"/>
              <w:ind w:left="936" w:leftChars="0" w:hanging="36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(CATT): Creating new sub-clauses in TS 38.104 (similar as UE feature in TS38.101)</w:t>
            </w:r>
          </w:p>
          <w:p>
            <w:pPr>
              <w:numPr>
                <w:ilvl w:val="0"/>
                <w:numId w:val="2"/>
              </w:numPr>
              <w:bidi w:val="0"/>
              <w:spacing w:before="120" w:line="280" w:lineRule="atLeast"/>
              <w:ind w:left="936" w:leftChars="0" w:hanging="36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Embedding the corresponding new RF requirements for SBFD in the corresponding section of TS 38.104</w:t>
            </w:r>
          </w:p>
          <w:p>
            <w:pPr>
              <w:bidi w:val="0"/>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Moderator Recommendation: </w:t>
            </w:r>
          </w:p>
          <w:p>
            <w:pPr>
              <w:bidi w:val="0"/>
              <w:spacing w:before="120" w:line="280" w:lineRule="atLeas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rPr>
              <w:t>Discussion on this issue firstly by collecting pros and cons of both options.</w:t>
            </w:r>
            <w:r>
              <w:rPr>
                <w:rFonts w:hint="default" w:ascii="Times New Roman" w:hAnsi="Times New Roman" w:cs="Times New Roman"/>
                <w:sz w:val="20"/>
                <w:szCs w:val="20"/>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To be honest,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a little early to discuss the RF spec structure for SBFD since we have no idea of how to define all SBFD RF requirements.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s better to discuss this issue after we finish all RF requirements and before we start to write the spec. But since companies has provided this issue, we list our views.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Different from other BS spec, there are candidate new requirements for SBFD, e.g. ASCS, transient period. For such new RF requirements,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create new sub-clauses in TS 38.104 since such requirements only apply for SBFD gNB, which is much similar as UE feature in TS 38.101. For the legacy RF requirements, some of them are still applicable for SBFD with the same limit but others may need to be updated with new limit, e.g. Tx inter-modulation. for spec consistency,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also capture all legacy RF requirements applicable for SBFD into the new sub-clause. For the RF requirements that are the same for legacy gNB and SBFD,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just state that the RF requirements in sub-clause still applies instead of simple copy-paste.</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val="0"/>
          <w:bCs w:val="0"/>
          <w:sz w:val="20"/>
          <w:szCs w:val="20"/>
          <w:lang w:val="en-US" w:eastAsia="zh-CN"/>
        </w:rPr>
      </w:pPr>
      <w:r>
        <w:rPr>
          <w:rFonts w:hint="eastAsia" w:ascii="Times New Roman" w:hAnsi="Times New Roman"/>
          <w:b/>
          <w:bCs/>
          <w:sz w:val="20"/>
          <w:szCs w:val="20"/>
          <w:lang w:val="en-US" w:eastAsia="zh-CN"/>
        </w:rPr>
        <w:t>Proposal 1: for RF spec structure of SBFD requirements,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better to create new sub-clauses in TS 38.104 which capture all new and existing RF requirements that applies for SBFD.</w:t>
      </w:r>
      <w:r>
        <w:rPr>
          <w:rFonts w:hint="eastAsia" w:ascii="Times New Roman" w:hAnsi="Times New Roman"/>
          <w:b w:val="0"/>
          <w:bCs w:val="0"/>
          <w:sz w:val="20"/>
          <w:szCs w:val="20"/>
          <w:lang w:val="en-US" w:eastAsia="zh-CN"/>
        </w:rPr>
        <w:t xml:space="preserve"> </w:t>
      </w:r>
    </w:p>
    <w:p>
      <w:pPr>
        <w:pStyle w:val="6"/>
        <w:numPr>
          <w:ilvl w:val="1"/>
          <w:numId w:val="1"/>
        </w:numPr>
        <w:bidi w:val="0"/>
        <w:rPr>
          <w:rFonts w:hint="eastAsia"/>
          <w:lang w:val="en-US" w:eastAsia="zh-CN"/>
        </w:rPr>
      </w:pPr>
      <w:r>
        <w:rPr>
          <w:rFonts w:hint="eastAsia"/>
          <w:lang w:val="en-US" w:eastAsia="zh-CN"/>
        </w:rPr>
        <w:t xml:space="preserve"> Operating bands for SBFD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 last meeting, the candidate options are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5"/>
              <w:numPr>
                <w:ilvl w:val="0"/>
                <w:numId w:val="3"/>
              </w:numPr>
              <w:overflowPunct/>
              <w:autoSpaceDE/>
              <w:autoSpaceDN/>
              <w:adjustRightInd/>
              <w:spacing w:before="120" w:after="120" w:line="259" w:lineRule="auto"/>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Operating bands for SBFD operation: </w:t>
            </w:r>
          </w:p>
          <w:p>
            <w:pPr>
              <w:pStyle w:val="25"/>
              <w:numPr>
                <w:ilvl w:val="1"/>
                <w:numId w:val="3"/>
              </w:numPr>
              <w:spacing w:before="120" w:line="280" w:lineRule="atLeast"/>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1 (vivo): Specify operating bands for SBFD operation.</w:t>
            </w:r>
          </w:p>
          <w:p>
            <w:pPr>
              <w:pStyle w:val="25"/>
              <w:numPr>
                <w:ilvl w:val="1"/>
                <w:numId w:val="3"/>
              </w:numPr>
              <w:spacing w:before="120" w:line="280" w:lineRule="atLeast"/>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Option 2: In general, no band-specific requirement for SBFD operation. </w:t>
            </w:r>
          </w:p>
          <w:p>
            <w:pPr>
              <w:pStyle w:val="25"/>
              <w:numPr>
                <w:ilvl w:val="0"/>
                <w:numId w:val="3"/>
              </w:numPr>
              <w:overflowPunct/>
              <w:autoSpaceDE/>
              <w:autoSpaceDN/>
              <w:adjustRightInd/>
              <w:spacing w:before="120" w:after="120" w:line="259" w:lineRule="auto"/>
              <w:ind w:left="720" w:firstLineChars="0"/>
              <w:textAlignment w:val="auto"/>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Moderator Recommendation: </w:t>
            </w:r>
          </w:p>
          <w:p>
            <w:pPr>
              <w:pStyle w:val="25"/>
              <w:numPr>
                <w:ilvl w:val="1"/>
                <w:numId w:val="3"/>
              </w:numPr>
              <w:overflowPunct/>
              <w:autoSpaceDE/>
              <w:autoSpaceDN/>
              <w:adjustRightInd/>
              <w:spacing w:before="120" w:after="120" w:line="259" w:lineRule="auto"/>
              <w:ind w:firstLineChars="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rPr>
              <w:t xml:space="preserve">Discussion on this issue firstly in this meeting. </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Different from UE spec, in BS spec there is no band specific RF requirements for most bands except for the system parameters. The exception is for the unlicensed band and band n104. </w:t>
      </w:r>
    </w:p>
    <w:p>
      <w:pPr>
        <w:keepNext w:val="0"/>
        <w:keepLines w:val="0"/>
        <w:pageBreakBefore w:val="0"/>
        <w:widowControl w:val="0"/>
        <w:numPr>
          <w:ilvl w:val="0"/>
          <w:numId w:val="4"/>
        </w:numPr>
        <w:kinsoku/>
        <w:wordWrap/>
        <w:overflowPunct/>
        <w:topLinePunct w:val="0"/>
        <w:autoSpaceDE/>
        <w:autoSpaceDN/>
        <w:bidi w:val="0"/>
        <w:adjustRightInd/>
        <w:snapToGrid/>
        <w:spacing w:before="157" w:beforeLines="50" w:after="180"/>
        <w:ind w:left="936" w:leftChars="0" w:hanging="360" w:firstLine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system parameter, SBFD would not impact current system parameters except for it may add new frequency domain configuration requirements. In other words, there is no need to define new band specific system parameters for SBFD. </w:t>
      </w:r>
    </w:p>
    <w:p>
      <w:pPr>
        <w:keepNext w:val="0"/>
        <w:keepLines w:val="0"/>
        <w:pageBreakBefore w:val="0"/>
        <w:widowControl w:val="0"/>
        <w:numPr>
          <w:ilvl w:val="0"/>
          <w:numId w:val="4"/>
        </w:numPr>
        <w:kinsoku/>
        <w:wordWrap/>
        <w:overflowPunct/>
        <w:topLinePunct w:val="0"/>
        <w:autoSpaceDE/>
        <w:autoSpaceDN/>
        <w:bidi w:val="0"/>
        <w:adjustRightInd/>
        <w:snapToGrid/>
        <w:spacing w:before="157" w:beforeLines="50" w:after="180"/>
        <w:ind w:left="936" w:leftChars="0" w:hanging="360" w:firstLine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band n104, as discussed during IMT sharing study, n104 is also suggested to support SBFD and further check whether there is new band specific RF requirements for band n104. but from out initial analysis, there is no specific RF requirements for band n104 to support SBFD. </w:t>
      </w:r>
    </w:p>
    <w:p>
      <w:pPr>
        <w:keepNext w:val="0"/>
        <w:keepLines w:val="0"/>
        <w:pageBreakBefore w:val="0"/>
        <w:widowControl w:val="0"/>
        <w:numPr>
          <w:ilvl w:val="0"/>
          <w:numId w:val="4"/>
        </w:numPr>
        <w:kinsoku/>
        <w:wordWrap/>
        <w:overflowPunct/>
        <w:topLinePunct w:val="0"/>
        <w:autoSpaceDE/>
        <w:autoSpaceDN/>
        <w:bidi w:val="0"/>
        <w:adjustRightInd/>
        <w:snapToGrid/>
        <w:spacing w:before="157" w:beforeLines="50" w:after="180"/>
        <w:ind w:left="936" w:leftChars="0" w:hanging="360" w:firstLineChars="0"/>
        <w:textAlignment w:val="auto"/>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the unlicensed band, we have no strong view whether they should support SBFD or not. Both licensed and unlicensed bands could support SBFD.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specify all TDD bands for SBFD operation.</w:t>
      </w:r>
    </w:p>
    <w:p>
      <w:pPr>
        <w:pStyle w:val="6"/>
        <w:numPr>
          <w:ilvl w:val="1"/>
          <w:numId w:val="1"/>
        </w:numPr>
        <w:bidi w:val="0"/>
        <w:rPr>
          <w:rFonts w:hint="eastAsia"/>
          <w:lang w:val="en-US" w:eastAsia="zh-CN"/>
        </w:rPr>
      </w:pPr>
      <w:r>
        <w:rPr>
          <w:rFonts w:hint="eastAsia"/>
          <w:lang w:val="en-US" w:eastAsia="zh-CN"/>
        </w:rPr>
        <w:t xml:space="preserve"> </w:t>
      </w:r>
      <w:r>
        <w:rPr>
          <w:lang w:val="en-US"/>
        </w:rPr>
        <w:t>SBFD frequency-domain configuration</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 last meeting, the candidate options are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5"/>
              <w:numPr>
                <w:ilvl w:val="0"/>
                <w:numId w:val="3"/>
              </w:numPr>
              <w:overflowPunct/>
              <w:autoSpaceDE/>
              <w:autoSpaceDN/>
              <w:adjustRightInd/>
              <w:spacing w:before="120" w:after="120" w:line="259" w:lineRule="auto"/>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[Moderator] As requested in WID, to support SBFD operation at gNB side within a TDD carrier, the mechanism for semi-static indication of frequency location of SBFD subbands to UE in RRC_CONNECTED mode shall be specified. Based on last RAN1 meeting, it is agreed that: </w:t>
            </w:r>
          </w:p>
          <w:tbl>
            <w:tblPr>
              <w:tblStyle w:val="17"/>
              <w:tblW w:w="0" w:type="auto"/>
              <w:tblInd w:w="1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0" w:type="dxa"/>
                </w:tcPr>
                <w:p>
                  <w:pPr>
                    <w:overflowPunct/>
                    <w:autoSpaceDE/>
                    <w:autoSpaceDN/>
                    <w:adjustRightInd/>
                    <w:spacing w:before="120" w:after="0" w:line="280" w:lineRule="atLeast"/>
                    <w:textAlignment w:val="auto"/>
                    <w:rPr>
                      <w:rFonts w:hint="default" w:ascii="Times New Roman" w:hAnsi="Times New Roman" w:eastAsia="Malgun Gothic" w:cs="Times New Roman"/>
                      <w:b/>
                      <w:sz w:val="20"/>
                      <w:szCs w:val="20"/>
                      <w:highlight w:val="none"/>
                      <w:lang w:eastAsia="zh-CN"/>
                    </w:rPr>
                  </w:pPr>
                  <w:r>
                    <w:rPr>
                      <w:rFonts w:hint="default" w:ascii="Times New Roman" w:hAnsi="Times New Roman" w:eastAsia="Malgun Gothic" w:cs="Times New Roman"/>
                      <w:b/>
                      <w:sz w:val="20"/>
                      <w:szCs w:val="20"/>
                      <w:highlight w:val="none"/>
                      <w:lang w:eastAsia="zh-CN"/>
                    </w:rPr>
                    <w:t>Agreement</w:t>
                  </w:r>
                </w:p>
                <w:p>
                  <w:pPr>
                    <w:overflowPunct/>
                    <w:autoSpaceDE/>
                    <w:autoSpaceDN/>
                    <w:adjustRightInd/>
                    <w:spacing w:before="120" w:after="0" w:line="280" w:lineRule="atLeast"/>
                    <w:textAlignment w:val="auto"/>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The subband frequency-domain resources are same across different SBFD symbols within a TDD carrier. Frequency location of cell specific UL subband, and DL subband(s) if explicitly indicated, are indicated with reference to CRB grid.</w:t>
                  </w:r>
                </w:p>
                <w:p>
                  <w:pPr>
                    <w:numPr>
                      <w:ilvl w:val="0"/>
                      <w:numId w:val="5"/>
                    </w:numPr>
                    <w:suppressAutoHyphens/>
                    <w:overflowPunct/>
                    <w:autoSpaceDE/>
                    <w:autoSpaceDN/>
                    <w:adjustRightInd/>
                    <w:spacing w:before="120" w:after="0" w:line="280" w:lineRule="atLeast"/>
                    <w:textAlignment w:val="auto"/>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RB-level granularity is supported for semi-static indication of SBFD subband frequency location.</w:t>
                  </w:r>
                </w:p>
                <w:p>
                  <w:pPr>
                    <w:numPr>
                      <w:ilvl w:val="1"/>
                      <w:numId w:val="5"/>
                    </w:numPr>
                    <w:suppressAutoHyphens/>
                    <w:overflowPunct/>
                    <w:autoSpaceDE/>
                    <w:autoSpaceDN/>
                    <w:adjustRightInd/>
                    <w:spacing w:before="120" w:after="0" w:line="280" w:lineRule="atLeast"/>
                    <w:textAlignment w:val="auto"/>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Subject to RAN4 guidance on the size of subband/guardband, if any</w:t>
                  </w:r>
                </w:p>
                <w:p>
                  <w:pPr>
                    <w:numPr>
                      <w:ilvl w:val="1"/>
                      <w:numId w:val="5"/>
                    </w:numPr>
                    <w:suppressAutoHyphens/>
                    <w:overflowPunct/>
                    <w:autoSpaceDE/>
                    <w:autoSpaceDN/>
                    <w:adjustRightInd/>
                    <w:spacing w:before="120" w:after="0" w:line="280" w:lineRule="atLeast"/>
                    <w:textAlignment w:val="auto"/>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FFS reference starting RB and reference SCS</w:t>
                  </w:r>
                </w:p>
              </w:tc>
            </w:tr>
          </w:tbl>
          <w:p>
            <w:pPr>
              <w:pStyle w:val="25"/>
              <w:numPr>
                <w:ilvl w:val="0"/>
                <w:numId w:val="3"/>
              </w:numPr>
              <w:overflowPunct/>
              <w:autoSpaceDE/>
              <w:autoSpaceDN/>
              <w:adjustRightInd/>
              <w:spacing w:before="120" w:after="120" w:line="259" w:lineRule="auto"/>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Proposals related to SBFD frequency-domain configuration in RAN4 specification: </w:t>
            </w:r>
          </w:p>
          <w:p>
            <w:pPr>
              <w:pStyle w:val="25"/>
              <w:numPr>
                <w:ilvl w:val="1"/>
                <w:numId w:val="3"/>
              </w:numPr>
              <w:spacing w:before="120" w:line="280" w:lineRule="atLeast"/>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Proposal 1 (Samsung/Qualcomm/Ericsson/vivo): It is within RAN4 scope to study/specify the limitation or restriction on the size of subband/guardband.</w:t>
            </w:r>
          </w:p>
          <w:p>
            <w:pPr>
              <w:pStyle w:val="25"/>
              <w:numPr>
                <w:ilvl w:val="0"/>
                <w:numId w:val="3"/>
              </w:numPr>
              <w:overflowPunct/>
              <w:autoSpaceDE/>
              <w:autoSpaceDN/>
              <w:adjustRightInd/>
              <w:spacing w:before="120" w:after="120" w:line="259" w:lineRule="auto"/>
              <w:ind w:left="720" w:firstLineChars="0"/>
              <w:textAlignment w:val="auto"/>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Moderator Recommendation: </w:t>
            </w:r>
          </w:p>
          <w:p>
            <w:pPr>
              <w:pStyle w:val="25"/>
              <w:numPr>
                <w:ilvl w:val="1"/>
                <w:numId w:val="3"/>
              </w:numPr>
              <w:overflowPunct/>
              <w:autoSpaceDE/>
              <w:autoSpaceDN/>
              <w:adjustRightInd/>
              <w:spacing w:before="120" w:after="120" w:line="259" w:lineRule="auto"/>
              <w:ind w:firstLineChars="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rPr>
              <w:t xml:space="preserve">The proposal 1 can be agreed, and it can be suggested to FFS the size of subband/guardband in the following RAN4 meetings. </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During the study phase and according to the WID, the common understanding is that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within RAN4 scope to study/specify the size of sub-band/guardband. Considering some implementation use RF filter to avoid blocking and self-interference,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specify limited number of subband size for each channel bandwidth with corresponding guardband. As for the channel bandwidth definition, wider channel bandwidth would fully utilize SBFD performance gain and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s more challenging to use narrower channel bandwidth to support SBFD. From out point of view, 100MHz and 60MHz are preferred to support SBFD.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better to specify limited number of subband size for each channel bandwidth with corresponding guardband. 100MHz and 60MHz are suggested as typical channel bandwidth to support SBFD.</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SBFD RF requirements are discussed with following observations and proposals.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val="0"/>
          <w:bCs w:val="0"/>
          <w:sz w:val="20"/>
          <w:szCs w:val="20"/>
          <w:lang w:val="en-US" w:eastAsia="zh-CN"/>
        </w:rPr>
      </w:pPr>
      <w:r>
        <w:rPr>
          <w:rFonts w:hint="eastAsia" w:ascii="Times New Roman" w:hAnsi="Times New Roman"/>
          <w:b/>
          <w:bCs/>
          <w:sz w:val="20"/>
          <w:szCs w:val="20"/>
          <w:lang w:val="en-US" w:eastAsia="zh-CN"/>
        </w:rPr>
        <w:t>Proposal 1: for RF spec structure of SBFD requirements,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better to create new sub-clauses in TS 38.104 which capture all new and existing RF requirements that applies for SBFD.</w:t>
      </w:r>
      <w:r>
        <w:rPr>
          <w:rFonts w:hint="eastAsia" w:ascii="Times New Roman" w:hAnsi="Times New Roman"/>
          <w:b w:val="0"/>
          <w:bCs w:val="0"/>
          <w:sz w:val="20"/>
          <w:szCs w:val="2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specify all TDD bands for SBFD operation.</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cs="Times New Roman"/>
          <w:b/>
          <w:bCs/>
          <w:sz w:val="20"/>
          <w:szCs w:val="20"/>
          <w:highlight w:val="none"/>
          <w:lang w:val="en-US" w:eastAsia="zh-CN"/>
        </w:rPr>
      </w:pPr>
      <w:r>
        <w:rPr>
          <w:rFonts w:hint="eastAsia" w:ascii="Times New Roman" w:hAnsi="Times New Roman"/>
          <w:b/>
          <w:bCs/>
          <w:sz w:val="20"/>
          <w:szCs w:val="20"/>
          <w:lang w:val="en-US" w:eastAsia="zh-CN"/>
        </w:rPr>
        <w:t>Proposal 3: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better to specify limited number of subband size for each channel bandwidth with corresponding guardband. 100MHz and 60MHz are suggested as typical channel bandwidth to support SBFD.</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hint="eastAsia" w:ascii="Times New Roman" w:hAnsi="Times New Roman"/>
          <w:sz w:val="20"/>
          <w:szCs w:val="20"/>
          <w:lang w:val="en-US" w:eastAsia="zh-CN"/>
        </w:rPr>
      </w:pPr>
      <w:r>
        <w:rPr>
          <w:rFonts w:hint="eastAsia" w:ascii="Times New Roman" w:hAnsi="Times New Roman"/>
          <w:sz w:val="20"/>
          <w:szCs w:val="20"/>
        </w:rPr>
        <w:t xml:space="preserve">[1] </w:t>
      </w:r>
      <w:r>
        <w:rPr>
          <w:rFonts w:hint="eastAsia" w:ascii="Times New Roman" w:hAnsi="Times New Roman"/>
          <w:sz w:val="20"/>
          <w:szCs w:val="20"/>
          <w:lang w:val="en-US" w:eastAsia="zh-CN"/>
        </w:rPr>
        <w:t xml:space="preserve">TR 38.858, </w:t>
      </w:r>
    </w:p>
    <w:p>
      <w:pPr>
        <w:widowControl/>
        <w:overflowPunct w:val="0"/>
        <w:autoSpaceDE w:val="0"/>
        <w:autoSpaceDN w:val="0"/>
        <w:adjustRightInd w:val="0"/>
        <w:spacing w:after="180"/>
        <w:jc w:val="left"/>
        <w:textAlignment w:val="baseline"/>
        <w:rPr>
          <w:rFonts w:hint="default" w:ascii="Times New Roman" w:hAnsi="Times New Roman"/>
          <w:sz w:val="20"/>
          <w:szCs w:val="20"/>
          <w:lang w:val="en-US" w:eastAsia="zh-CN"/>
        </w:rPr>
      </w:pPr>
      <w:r>
        <w:rPr>
          <w:rFonts w:hint="eastAsia" w:ascii="Times New Roman" w:hAnsi="Times New Roman"/>
          <w:sz w:val="20"/>
          <w:szCs w:val="20"/>
          <w:lang w:val="en-US" w:eastAsia="zh-CN"/>
        </w:rPr>
        <w:t>[2] R4-2406107, Way Forward for [110bis][313] NR_duplex_evo, Samsung, #110bis meeting</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9AF7C"/>
    <w:multiLevelType w:val="multilevel"/>
    <w:tmpl w:val="BB69AF7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D55183A1"/>
    <w:multiLevelType w:val="multilevel"/>
    <w:tmpl w:val="D55183A1"/>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G Times (W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G Times (W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G Times (WN)"/>
      </w:rPr>
    </w:lvl>
    <w:lvl w:ilvl="8" w:tentative="0">
      <w:start w:val="1"/>
      <w:numFmt w:val="bullet"/>
      <w:lvlText w:val=""/>
      <w:lvlJc w:val="left"/>
      <w:pPr>
        <w:ind w:left="6696" w:hanging="36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72EC12BD"/>
    <w:multiLevelType w:val="multilevel"/>
    <w:tmpl w:val="72EC12BD"/>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7736D113"/>
    <w:multiLevelType w:val="multilevel"/>
    <w:tmpl w:val="7736D113"/>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G Times (W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G Times (W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G Times (WN)"/>
      </w:rPr>
    </w:lvl>
    <w:lvl w:ilvl="8" w:tentative="0">
      <w:start w:val="1"/>
      <w:numFmt w:val="bullet"/>
      <w:lvlText w:val=""/>
      <w:lvlJc w:val="left"/>
      <w:pPr>
        <w:ind w:left="6696"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740BD"/>
    <w:rsid w:val="01BD0368"/>
    <w:rsid w:val="01C365C1"/>
    <w:rsid w:val="01DE089D"/>
    <w:rsid w:val="020970CA"/>
    <w:rsid w:val="021E4F0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3442C"/>
    <w:rsid w:val="0769686A"/>
    <w:rsid w:val="076E27BD"/>
    <w:rsid w:val="0770402F"/>
    <w:rsid w:val="07BA06BE"/>
    <w:rsid w:val="07CA6B66"/>
    <w:rsid w:val="07CF155D"/>
    <w:rsid w:val="08973524"/>
    <w:rsid w:val="08A65D3D"/>
    <w:rsid w:val="0900762B"/>
    <w:rsid w:val="094C55D1"/>
    <w:rsid w:val="09626007"/>
    <w:rsid w:val="09993AB5"/>
    <w:rsid w:val="09F66D51"/>
    <w:rsid w:val="0ABA1F25"/>
    <w:rsid w:val="0ADD2F10"/>
    <w:rsid w:val="0AE962F7"/>
    <w:rsid w:val="0AF159BB"/>
    <w:rsid w:val="0B0758A7"/>
    <w:rsid w:val="0B1B4548"/>
    <w:rsid w:val="0B98539E"/>
    <w:rsid w:val="0BB17964"/>
    <w:rsid w:val="0BE65845"/>
    <w:rsid w:val="0BF0521B"/>
    <w:rsid w:val="0BFE4B3A"/>
    <w:rsid w:val="0C323D10"/>
    <w:rsid w:val="0C8D3125"/>
    <w:rsid w:val="0C942AAF"/>
    <w:rsid w:val="0CCF7411"/>
    <w:rsid w:val="0D545798"/>
    <w:rsid w:val="0D624402"/>
    <w:rsid w:val="0DB4420C"/>
    <w:rsid w:val="0E037D57"/>
    <w:rsid w:val="0E1D4B35"/>
    <w:rsid w:val="0E5F68A3"/>
    <w:rsid w:val="0E6C0137"/>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170FF0"/>
    <w:rsid w:val="175862BF"/>
    <w:rsid w:val="17A04468"/>
    <w:rsid w:val="17A056D1"/>
    <w:rsid w:val="1807637A"/>
    <w:rsid w:val="18135A10"/>
    <w:rsid w:val="18642373"/>
    <w:rsid w:val="187A66B9"/>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0A05D9"/>
    <w:rsid w:val="1E3D0B9B"/>
    <w:rsid w:val="1E682B71"/>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1B09D9"/>
    <w:rsid w:val="282A4CAC"/>
    <w:rsid w:val="286036CB"/>
    <w:rsid w:val="286768D9"/>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781282"/>
    <w:rsid w:val="2C8A2F49"/>
    <w:rsid w:val="2C9F3BCE"/>
    <w:rsid w:val="2CA64350"/>
    <w:rsid w:val="2CF4664D"/>
    <w:rsid w:val="2D2E332F"/>
    <w:rsid w:val="2D474A31"/>
    <w:rsid w:val="2D4D79AC"/>
    <w:rsid w:val="2E9C0F87"/>
    <w:rsid w:val="2EB8044F"/>
    <w:rsid w:val="2EC16B9C"/>
    <w:rsid w:val="2EDF426C"/>
    <w:rsid w:val="2EEC4E92"/>
    <w:rsid w:val="2F1C0982"/>
    <w:rsid w:val="2F283914"/>
    <w:rsid w:val="2F747966"/>
    <w:rsid w:val="2FCB6344"/>
    <w:rsid w:val="2FEC1523"/>
    <w:rsid w:val="30047496"/>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475DCC"/>
    <w:rsid w:val="36510879"/>
    <w:rsid w:val="372F46A7"/>
    <w:rsid w:val="37726C9D"/>
    <w:rsid w:val="379344BE"/>
    <w:rsid w:val="37A12A42"/>
    <w:rsid w:val="37BD6848"/>
    <w:rsid w:val="37CC6816"/>
    <w:rsid w:val="384E323D"/>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B363A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684BFF"/>
    <w:rsid w:val="42733C91"/>
    <w:rsid w:val="42916AC5"/>
    <w:rsid w:val="42EB4612"/>
    <w:rsid w:val="431A5724"/>
    <w:rsid w:val="436807A8"/>
    <w:rsid w:val="439901E8"/>
    <w:rsid w:val="43EC12FF"/>
    <w:rsid w:val="43F11B33"/>
    <w:rsid w:val="43F17986"/>
    <w:rsid w:val="444678CE"/>
    <w:rsid w:val="44565A46"/>
    <w:rsid w:val="447E086E"/>
    <w:rsid w:val="44950494"/>
    <w:rsid w:val="44B37A44"/>
    <w:rsid w:val="44B454C5"/>
    <w:rsid w:val="44C125DD"/>
    <w:rsid w:val="44DD6689"/>
    <w:rsid w:val="44E7774D"/>
    <w:rsid w:val="45127C50"/>
    <w:rsid w:val="4524487F"/>
    <w:rsid w:val="45252508"/>
    <w:rsid w:val="45830A1B"/>
    <w:rsid w:val="458D51A8"/>
    <w:rsid w:val="459B4244"/>
    <w:rsid w:val="45A33E4B"/>
    <w:rsid w:val="45A94422"/>
    <w:rsid w:val="45CC5F92"/>
    <w:rsid w:val="465C2D4B"/>
    <w:rsid w:val="465C457C"/>
    <w:rsid w:val="46643B28"/>
    <w:rsid w:val="46E67A01"/>
    <w:rsid w:val="47262D4B"/>
    <w:rsid w:val="47A82020"/>
    <w:rsid w:val="47E2567D"/>
    <w:rsid w:val="47EB67FE"/>
    <w:rsid w:val="47F00216"/>
    <w:rsid w:val="48FF25D1"/>
    <w:rsid w:val="49281A93"/>
    <w:rsid w:val="492F313E"/>
    <w:rsid w:val="495010D7"/>
    <w:rsid w:val="4955555E"/>
    <w:rsid w:val="49570A61"/>
    <w:rsid w:val="49E453DD"/>
    <w:rsid w:val="49EE4458"/>
    <w:rsid w:val="4A521971"/>
    <w:rsid w:val="4A772194"/>
    <w:rsid w:val="4A9C4E28"/>
    <w:rsid w:val="4AC9763E"/>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3D316B"/>
    <w:rsid w:val="4E5A1A99"/>
    <w:rsid w:val="4E723844"/>
    <w:rsid w:val="4EB54731"/>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7D468A"/>
    <w:rsid w:val="538C361F"/>
    <w:rsid w:val="53A46AC8"/>
    <w:rsid w:val="53A54549"/>
    <w:rsid w:val="53F47B4C"/>
    <w:rsid w:val="5403314B"/>
    <w:rsid w:val="544A4CD7"/>
    <w:rsid w:val="545309AA"/>
    <w:rsid w:val="54DE26CA"/>
    <w:rsid w:val="552827AD"/>
    <w:rsid w:val="55584783"/>
    <w:rsid w:val="55835CD9"/>
    <w:rsid w:val="558E2FA7"/>
    <w:rsid w:val="55B14C44"/>
    <w:rsid w:val="55B464A8"/>
    <w:rsid w:val="55BD2802"/>
    <w:rsid w:val="55F969E7"/>
    <w:rsid w:val="56024028"/>
    <w:rsid w:val="5616190A"/>
    <w:rsid w:val="567E13F4"/>
    <w:rsid w:val="567E71F5"/>
    <w:rsid w:val="56941399"/>
    <w:rsid w:val="569F71AC"/>
    <w:rsid w:val="56F83407"/>
    <w:rsid w:val="571F34FB"/>
    <w:rsid w:val="572210F5"/>
    <w:rsid w:val="572A730E"/>
    <w:rsid w:val="576146B9"/>
    <w:rsid w:val="577865C9"/>
    <w:rsid w:val="577F4DBA"/>
    <w:rsid w:val="578F7CCE"/>
    <w:rsid w:val="57CA1416"/>
    <w:rsid w:val="57E1103B"/>
    <w:rsid w:val="58467715"/>
    <w:rsid w:val="587B1239"/>
    <w:rsid w:val="58B65B9B"/>
    <w:rsid w:val="593309E8"/>
    <w:rsid w:val="59BC0B47"/>
    <w:rsid w:val="59FB712C"/>
    <w:rsid w:val="5A050D40"/>
    <w:rsid w:val="5A66205E"/>
    <w:rsid w:val="5A8A0BF0"/>
    <w:rsid w:val="5AA83DCD"/>
    <w:rsid w:val="5B2F7529"/>
    <w:rsid w:val="5BBA168B"/>
    <w:rsid w:val="5BBD01B3"/>
    <w:rsid w:val="5CAC7D1A"/>
    <w:rsid w:val="5CCF11D3"/>
    <w:rsid w:val="5D1154C0"/>
    <w:rsid w:val="5D4A309B"/>
    <w:rsid w:val="5D7F7CF2"/>
    <w:rsid w:val="5D851C35"/>
    <w:rsid w:val="5E1A7EF1"/>
    <w:rsid w:val="5E2A018B"/>
    <w:rsid w:val="5EA04BEE"/>
    <w:rsid w:val="5F0955FB"/>
    <w:rsid w:val="5F0C405A"/>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AF3D1A"/>
    <w:rsid w:val="63B41D56"/>
    <w:rsid w:val="640E1B35"/>
    <w:rsid w:val="6412053C"/>
    <w:rsid w:val="64430D0B"/>
    <w:rsid w:val="644E6752"/>
    <w:rsid w:val="648065F1"/>
    <w:rsid w:val="65046BCA"/>
    <w:rsid w:val="650A2CD2"/>
    <w:rsid w:val="651D6610"/>
    <w:rsid w:val="6566621E"/>
    <w:rsid w:val="65821697"/>
    <w:rsid w:val="6601232A"/>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CAD3358"/>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745A74"/>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2463F3"/>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46"/>
    <w:unhideWhenUsed/>
    <w:qFormat/>
    <w:uiPriority w:val="9"/>
    <w:pPr>
      <w:keepNext/>
      <w:keepLines/>
      <w:spacing w:before="50" w:beforeLines="50" w:after="50" w:afterLines="50" w:line="240" w:lineRule="auto"/>
      <w:outlineLvl w:val="2"/>
    </w:pPr>
    <w:rPr>
      <w:rFonts w:ascii="Arial" w:hAnsi="Arial" w:eastAsia="Arial Unicode MS"/>
      <w:sz w:val="30"/>
      <w:szCs w:val="32"/>
    </w:rPr>
  </w:style>
  <w:style w:type="paragraph" w:styleId="5">
    <w:name w:val="heading 4"/>
    <w:basedOn w:val="4"/>
    <w:next w:val="1"/>
    <w:qFormat/>
    <w:uiPriority w:val="0"/>
    <w:pPr>
      <w:outlineLvl w:val="3"/>
    </w:pPr>
    <w:rPr>
      <w:sz w:val="24"/>
    </w:rPr>
  </w:style>
  <w:style w:type="paragraph" w:styleId="6">
    <w:name w:val="heading 5"/>
    <w:basedOn w:val="1"/>
    <w:next w:val="1"/>
    <w:link w:val="50"/>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39"/>
    <w:semiHidden/>
    <w:unhideWhenUsed/>
    <w:qFormat/>
    <w:uiPriority w:val="99"/>
    <w:rPr>
      <w:rFonts w:ascii="宋体"/>
      <w:sz w:val="18"/>
      <w:szCs w:val="18"/>
    </w:rPr>
  </w:style>
  <w:style w:type="paragraph" w:styleId="9">
    <w:name w:val="annotation text"/>
    <w:basedOn w:val="1"/>
    <w:link w:val="37"/>
    <w:unhideWhenUsed/>
    <w:qFormat/>
    <w:uiPriority w:val="0"/>
    <w:pPr>
      <w:jc w:val="left"/>
    </w:pPr>
  </w:style>
  <w:style w:type="paragraph" w:styleId="10">
    <w:name w:val="Balloon Text"/>
    <w:basedOn w:val="1"/>
    <w:link w:val="35"/>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9"/>
    <w:next w:val="9"/>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2"/>
    <w:qFormat/>
    <w:uiPriority w:val="99"/>
    <w:rPr>
      <w:sz w:val="18"/>
      <w:szCs w:val="18"/>
    </w:rPr>
  </w:style>
  <w:style w:type="character" w:customStyle="1" w:styleId="22">
    <w:name w:val="Footer Char"/>
    <w:basedOn w:val="18"/>
    <w:link w:val="11"/>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3"/>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0"/>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9"/>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8"/>
    <w:semiHidden/>
    <w:qFormat/>
    <w:uiPriority w:val="99"/>
    <w:rPr>
      <w:rFonts w:ascii="宋体" w:hAnsi="CG Times (WN)" w:eastAsia="宋体" w:cs="Times New Roman"/>
      <w:sz w:val="18"/>
      <w:szCs w:val="18"/>
    </w:rPr>
  </w:style>
  <w:style w:type="character" w:customStyle="1" w:styleId="40">
    <w:name w:val="Caption Char"/>
    <w:link w:val="7"/>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6"/>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
    <w:qFormat/>
    <w:uiPriority w:val="0"/>
    <w:pPr>
      <w:ind w:left="851"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0</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2024-05-13T11:13:13Z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