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bCs/>
          <w:sz w:val="24"/>
          <w:szCs w:val="28"/>
          <w:lang w:val="en-US" w:eastAsia="zh-CN"/>
        </w:rPr>
      </w:pPr>
      <w:r>
        <w:rPr>
          <w:rFonts w:ascii="Arial" w:hAnsi="Arial" w:eastAsia="宋体" w:cs="Arial"/>
          <w:b/>
          <w:bCs/>
          <w:sz w:val="24"/>
          <w:szCs w:val="28"/>
        </w:rPr>
        <w:t xml:space="preserve">3GPP TSG-RAN WG4 Meeting # 111   </w:t>
      </w:r>
      <w:r>
        <w:rPr>
          <w:rFonts w:hint="eastAsia" w:ascii="Arial" w:hAnsi="Arial" w:eastAsia="宋体" w:cs="Arial"/>
          <w:b/>
          <w:bCs/>
          <w:sz w:val="24"/>
          <w:szCs w:val="28"/>
          <w:lang w:val="en-US" w:eastAsia="zh-CN"/>
        </w:rPr>
        <w:tab/>
      </w:r>
      <w:r>
        <w:rPr>
          <w:rFonts w:hint="eastAsia" w:ascii="Arial" w:hAnsi="Arial" w:eastAsia="宋体" w:cs="Arial"/>
          <w:b/>
          <w:bCs/>
          <w:sz w:val="24"/>
          <w:szCs w:val="28"/>
          <w:lang w:val="en-US" w:eastAsia="zh-CN"/>
        </w:rPr>
        <w:t xml:space="preserve">                </w:t>
      </w:r>
      <w:r>
        <w:rPr>
          <w:rFonts w:hint="eastAsia" w:ascii="Arial" w:hAnsi="Arial" w:eastAsia="宋体" w:cs="Arial"/>
          <w:b/>
          <w:bCs/>
          <w:sz w:val="24"/>
          <w:szCs w:val="28"/>
        </w:rPr>
        <w:t xml:space="preserve">             </w:t>
      </w:r>
      <w:r>
        <w:rPr>
          <w:rFonts w:ascii="Arial" w:hAnsi="Arial" w:eastAsia="宋体" w:cs="Arial"/>
          <w:b/>
          <w:bCs/>
          <w:sz w:val="24"/>
          <w:szCs w:val="28"/>
        </w:rPr>
        <w:t xml:space="preserve">  </w:t>
      </w:r>
      <w:r>
        <w:rPr>
          <w:rFonts w:hint="eastAsia" w:ascii="Arial" w:hAnsi="Arial" w:eastAsia="宋体" w:cs="Arial"/>
          <w:b/>
          <w:bCs/>
          <w:sz w:val="24"/>
          <w:szCs w:val="28"/>
        </w:rPr>
        <w:t>R4-24082</w:t>
      </w:r>
      <w:r>
        <w:rPr>
          <w:rFonts w:hint="eastAsia" w:ascii="Arial" w:hAnsi="Arial" w:cs="Arial"/>
          <w:b/>
          <w:bCs/>
          <w:sz w:val="24"/>
          <w:szCs w:val="28"/>
          <w:lang w:val="en-US" w:eastAsia="zh-CN"/>
        </w:rPr>
        <w:t>21</w:t>
      </w:r>
      <w:bookmarkStart w:id="0" w:name="_GoBack"/>
      <w:bookmarkEnd w:id="0"/>
    </w:p>
    <w:p>
      <w:pPr>
        <w:rPr>
          <w:rFonts w:ascii="Arial" w:hAnsi="Arial" w:eastAsia="宋体" w:cs="Arial"/>
          <w:b/>
          <w:bCs/>
          <w:sz w:val="24"/>
          <w:szCs w:val="28"/>
        </w:rPr>
      </w:pPr>
      <w:r>
        <w:rPr>
          <w:rFonts w:ascii="Arial" w:hAnsi="Arial" w:eastAsia="宋体" w:cs="Arial"/>
          <w:b/>
          <w:bCs/>
          <w:sz w:val="24"/>
          <w:szCs w:val="28"/>
        </w:rPr>
        <w:t>Fukuoka, Japan, 20 May – 24 May, 2024</w:t>
      </w:r>
    </w:p>
    <w:p>
      <w:pPr>
        <w:bidi w:val="0"/>
        <w:rPr>
          <w:rFonts w:hint="default" w:ascii="Arial" w:hAnsi="Arial" w:cs="Arial"/>
          <w:b/>
          <w:bCs/>
          <w:sz w:val="24"/>
          <w:szCs w:val="28"/>
          <w:lang w:val="en-US" w:eastAsia="zh-CN"/>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highlight w:val="none"/>
          <w:lang w:val="en-US" w:eastAsia="zh-CN"/>
        </w:rPr>
        <w:t>10.13.3.3</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A-IoT intermediate UE RF requirements</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hint="eastAsia" w:ascii="Times New Roman" w:hAnsi="Times New Roman"/>
          <w:sz w:val="20"/>
          <w:lang w:val="en-US" w:eastAsia="zh-CN"/>
        </w:rPr>
      </w:pPr>
      <w:r>
        <w:rPr>
          <w:rFonts w:hint="eastAsia" w:ascii="Times New Roman" w:hAnsi="Times New Roman"/>
          <w:sz w:val="20"/>
          <w:lang w:val="en-US" w:eastAsia="zh-CN"/>
        </w:rPr>
        <w:t>In RAN plenary #102 meeting, a new SID[1] of A-IoT is approved with following RAN4 lead RF part objectives:</w:t>
      </w:r>
    </w:p>
    <w:p>
      <w:pPr>
        <w:numPr>
          <w:ilvl w:val="0"/>
          <w:numId w:val="1"/>
        </w:numPr>
        <w:spacing w:after="180"/>
        <w:ind w:left="72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Coexistence study of Ambient IoT and NR/LTE.</w:t>
      </w:r>
    </w:p>
    <w:p>
      <w:pPr>
        <w:numPr>
          <w:ilvl w:val="0"/>
          <w:numId w:val="1"/>
        </w:numPr>
        <w:spacing w:after="180"/>
        <w:ind w:left="72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RF requirements study for Ambient IoT:</w:t>
      </w:r>
    </w:p>
    <w:p>
      <w:pPr>
        <w:numPr>
          <w:ilvl w:val="1"/>
          <w:numId w:val="1"/>
        </w:numPr>
        <w:spacing w:after="180"/>
        <w:ind w:left="144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Ambient IoT BS transmission and reception</w:t>
      </w:r>
    </w:p>
    <w:p>
      <w:pPr>
        <w:numPr>
          <w:ilvl w:val="1"/>
          <w:numId w:val="1"/>
        </w:numPr>
        <w:spacing w:after="180"/>
        <w:ind w:left="144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Ambient IoT Device, as per the General Scope, transmission and reception</w:t>
      </w:r>
    </w:p>
    <w:p>
      <w:pPr>
        <w:numPr>
          <w:ilvl w:val="1"/>
          <w:numId w:val="1"/>
        </w:numPr>
        <w:spacing w:after="180"/>
        <w:ind w:left="1440" w:leftChars="0" w:hanging="360" w:firstLineChars="0"/>
        <w:rPr>
          <w:rFonts w:hint="eastAsia" w:ascii="Times New Roman" w:hAnsi="Times New Roman"/>
          <w:sz w:val="20"/>
          <w:lang w:val="en-US" w:eastAsia="zh-CN"/>
        </w:rPr>
      </w:pPr>
      <w:r>
        <w:rPr>
          <w:rFonts w:hint="eastAsia" w:ascii="Times New Roman" w:hAnsi="Times New Roman"/>
          <w:sz w:val="20"/>
          <w:lang w:val="en-US" w:eastAsia="zh-CN"/>
        </w:rPr>
        <w:t>Intermediate node (UE), as per the General Scope, transmission and reception</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0"/>
        <w:ind w:left="0" w:leftChars="0"/>
        <w:textAlignment w:val="auto"/>
        <w:rPr>
          <w:rFonts w:hint="default" w:ascii="Times New Roman" w:hAnsi="Times New Roman" w:eastAsia="宋体"/>
          <w:sz w:val="20"/>
          <w:lang w:val="en-US" w:eastAsia="zh-CN"/>
        </w:rPr>
      </w:pPr>
      <w:r>
        <w:rPr>
          <w:rFonts w:hint="eastAsia" w:ascii="Times New Roman" w:hAnsi="Times New Roman" w:cs="Times New Roman"/>
          <w:bCs/>
          <w:sz w:val="20"/>
          <w:szCs w:val="20"/>
          <w:lang w:val="en-US" w:eastAsia="zh-CN"/>
        </w:rPr>
        <w:t xml:space="preserve">This is the first meeting of RF requirements discussion, following we list our analysis for A-IoT intermediate UE RF requirements. </w:t>
      </w:r>
    </w:p>
    <w:p>
      <w:pPr>
        <w:keepNext/>
        <w:keepLines/>
        <w:widowControl/>
        <w:numPr>
          <w:ilvl w:val="0"/>
          <w:numId w:val="2"/>
        </w:numPr>
        <w:pBdr>
          <w:top w:val="single" w:color="auto" w:sz="12" w:space="1"/>
        </w:pBdr>
        <w:tabs>
          <w:tab w:val="left" w:pos="567"/>
        </w:tabs>
        <w:adjustRightInd w:val="0"/>
        <w:spacing w:before="240" w:after="180"/>
        <w:ind w:left="510" w:hanging="510"/>
        <w:outlineLvl w:val="0"/>
        <w:rPr>
          <w:rFonts w:hint="eastAsia" w:ascii="Arial" w:hAnsi="Arial" w:eastAsiaTheme="minorEastAsia" w:cstheme="minorBidi"/>
          <w:sz w:val="32"/>
          <w:szCs w:val="36"/>
        </w:rPr>
      </w:pPr>
      <w:r>
        <w:rPr>
          <w:rFonts w:hint="eastAsia" w:ascii="Arial" w:hAnsi="Arial" w:eastAsiaTheme="minorEastAsia" w:cstheme="minorBidi"/>
          <w:sz w:val="32"/>
          <w:szCs w:val="36"/>
        </w:rPr>
        <w:t>Discussion</w:t>
      </w:r>
    </w:p>
    <w:p>
      <w:pPr>
        <w:pStyle w:val="4"/>
        <w:bidi w:val="0"/>
        <w:rPr>
          <w:rFonts w:hint="default"/>
          <w:lang w:val="en-US" w:eastAsia="zh-CN"/>
        </w:rPr>
      </w:pPr>
      <w:r>
        <w:rPr>
          <w:rFonts w:hint="eastAsia"/>
          <w:lang w:val="en-US" w:eastAsia="zh-CN"/>
        </w:rPr>
        <w:t>2.1 A-IoT reader for topology 2</w:t>
      </w:r>
    </w:p>
    <w:p>
      <w:pPr>
        <w:numPr>
          <w:ilvl w:val="0"/>
          <w:numId w:val="3"/>
        </w:numPr>
        <w:spacing w:after="180"/>
        <w:ind w:left="42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Operation bands</w:t>
      </w:r>
    </w:p>
    <w:p>
      <w:pPr>
        <w:widowControl w:val="0"/>
        <w:numPr>
          <w:ilvl w:val="0"/>
          <w:numId w:val="0"/>
        </w:num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There are some band specific requirements in UE spec. For A-IoT intermediate UE RF requirements analysis,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better to find out the example bands for the band specific requirements, e.g. NF related requirements. According to last meeting discussion, 900MHz is listed as the high priority for co-existence analysis. 900MHz n8 could be listed as example band. Other example bands are also welcome.</w:t>
      </w:r>
    </w:p>
    <w:p>
      <w:pPr>
        <w:widowControl w:val="0"/>
        <w:numPr>
          <w:ilvl w:val="0"/>
          <w:numId w:val="0"/>
        </w:numPr>
        <w:spacing w:after="180"/>
        <w:jc w:val="left"/>
        <w:rPr>
          <w:rFonts w:hint="default" w:ascii="Times New Roman" w:hAnsi="Times New Roman" w:eastAsia="宋体"/>
          <w:b/>
          <w:bCs/>
          <w:sz w:val="20"/>
          <w:szCs w:val="20"/>
          <w:lang w:val="en-US" w:eastAsia="zh-CN"/>
        </w:rPr>
      </w:pPr>
      <w:r>
        <w:rPr>
          <w:rFonts w:hint="eastAsia" w:ascii="Times New Roman" w:hAnsi="Times New Roman"/>
          <w:b/>
          <w:bCs/>
          <w:sz w:val="20"/>
          <w:szCs w:val="20"/>
          <w:lang w:val="en-US" w:eastAsia="zh-CN"/>
        </w:rPr>
        <w:t>Proposal 1: for intermediate UE band specific RF requirement analysis,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s suggested to use n8(900MHz) as example band. Other example bands are not precluded. </w:t>
      </w:r>
      <w:r>
        <w:rPr>
          <w:rFonts w:hint="eastAsia"/>
          <w:b/>
          <w:bCs/>
          <w:lang w:val="en-US" w:eastAsia="zh-CN"/>
        </w:rPr>
        <w:t xml:space="preserve"> </w:t>
      </w:r>
    </w:p>
    <w:p>
      <w:pPr>
        <w:numPr>
          <w:ilvl w:val="0"/>
          <w:numId w:val="3"/>
        </w:numPr>
        <w:spacing w:after="180"/>
        <w:ind w:left="42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Reader power class</w:t>
      </w:r>
    </w:p>
    <w:p>
      <w:pPr>
        <w:widowControl w:val="0"/>
        <w:numPr>
          <w:ilvl w:val="0"/>
          <w:numId w:val="0"/>
        </w:numPr>
        <w:spacing w:after="180"/>
        <w:jc w:val="left"/>
        <w:rPr>
          <w:rFonts w:hint="default" w:ascii="Times New Roman" w:hAnsi="Times New Roman" w:eastAsia="宋体"/>
          <w:b w:val="0"/>
          <w:bCs w:val="0"/>
          <w:sz w:val="20"/>
          <w:szCs w:val="20"/>
          <w:lang w:val="en-US" w:eastAsia="zh-CN"/>
        </w:rPr>
      </w:pPr>
      <w:r>
        <w:rPr>
          <w:rFonts w:hint="eastAsia" w:ascii="Times New Roman" w:hAnsi="Times New Roman"/>
          <w:b w:val="0"/>
          <w:bCs w:val="0"/>
          <w:sz w:val="20"/>
          <w:szCs w:val="20"/>
          <w:lang w:val="en-US" w:eastAsia="zh-CN"/>
        </w:rPr>
        <w:t xml:space="preserve">According to link budget analysis from RAN1, compared with UL link with low target data rate, DL link is the link bottleneck. From this point of view, higher power class would help to enhance coverage for A-IoT system. Therefore, both PC3 and PC2 are suggested. For PC1.5, in current spec, the is no FDD band supporting PC1.5. </w:t>
      </w:r>
      <w:r>
        <w:rPr>
          <w:rFonts w:hint="eastAsia"/>
          <w:lang w:val="en-US" w:eastAsia="zh-CN"/>
        </w:rPr>
        <w:t xml:space="preserve"> </w:t>
      </w:r>
    </w:p>
    <w:p>
      <w:pPr>
        <w:widowControl w:val="0"/>
        <w:numPr>
          <w:ilvl w:val="0"/>
          <w:numId w:val="0"/>
        </w:num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intermediate UE, one issue is whether only limited to current supported max power class per operation band. Other higher power class are not supported in this A-IoT WID. When other higher power class are supported in spectrum related WID in future, we can further check the feasibility for A-IoT intermediate UE.</w:t>
      </w:r>
    </w:p>
    <w:p>
      <w:pPr>
        <w:widowControl w:val="0"/>
        <w:numPr>
          <w:ilvl w:val="0"/>
          <w:numId w:val="0"/>
        </w:numPr>
        <w:spacing w:after="180"/>
        <w:jc w:val="left"/>
        <w:rPr>
          <w:rFonts w:hint="default" w:ascii="Times New Roman" w:hAnsi="Times New Roman"/>
          <w:b w:val="0"/>
          <w:bCs w:val="0"/>
          <w:sz w:val="20"/>
          <w:szCs w:val="20"/>
          <w:lang w:val="en-US" w:eastAsia="zh-CN"/>
        </w:rPr>
      </w:pPr>
      <w:r>
        <w:rPr>
          <w:rFonts w:hint="eastAsia" w:ascii="Times New Roman" w:hAnsi="Times New Roman"/>
          <w:b/>
          <w:bCs/>
          <w:sz w:val="20"/>
          <w:szCs w:val="20"/>
          <w:lang w:val="en-US" w:eastAsia="zh-CN"/>
        </w:rPr>
        <w:t>Proposal 2: max supported power class per band is only limited to upper bound as specified in current R18 spec, i.e. no need to consider PC1.5 for FDD bands in study phase.</w:t>
      </w:r>
    </w:p>
    <w:p>
      <w:pPr>
        <w:numPr>
          <w:ilvl w:val="0"/>
          <w:numId w:val="3"/>
        </w:numPr>
        <w:spacing w:after="180"/>
        <w:ind w:left="42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IBE and ICS requirements for in-band spectrum deployment mode of topology 2 reader</w:t>
      </w:r>
    </w:p>
    <w:p>
      <w:pPr>
        <w:widowControl w:val="0"/>
        <w:numPr>
          <w:ilvl w:val="0"/>
          <w:numId w:val="0"/>
        </w:num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Following list the options for deployment scenario D2T2 in co-existence analysis.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spacing w:before="120" w:after="180" w:line="280" w:lineRule="atLeast"/>
              <w:jc w:val="left"/>
              <w:rPr>
                <w:rFonts w:ascii="Times New Roman" w:hAnsi="Times New Roman" w:eastAsia="等线" w:cs="Times New Roman"/>
                <w:b/>
                <w:bCs/>
                <w:kern w:val="0"/>
                <w:sz w:val="20"/>
                <w:szCs w:val="20"/>
                <w:u w:val="single"/>
                <w:lang w:val="en-US" w:eastAsia="zh-CN"/>
              </w:rPr>
            </w:pPr>
            <w:r>
              <w:rPr>
                <w:rFonts w:hint="eastAsia" w:ascii="Times New Roman" w:hAnsi="Times New Roman" w:eastAsia="等线" w:cs="Times New Roman"/>
                <w:b/>
                <w:bCs/>
                <w:kern w:val="0"/>
                <w:sz w:val="20"/>
                <w:szCs w:val="20"/>
                <w:u w:val="single"/>
                <w:lang w:val="en-US" w:eastAsia="zh-CN"/>
              </w:rPr>
              <w:t>Issue 2-1-2: deployment scenarios for D2T2</w:t>
            </w:r>
          </w:p>
          <w:p>
            <w:pPr>
              <w:widowControl/>
              <w:spacing w:before="120" w:after="180" w:line="280" w:lineRule="atLeast"/>
              <w:jc w:val="left"/>
              <w:rPr>
                <w:rFonts w:ascii="Times New Roman" w:hAnsi="Times New Roman" w:eastAsia="等线" w:cs="Times New Roman"/>
                <w:kern w:val="0"/>
                <w:sz w:val="20"/>
                <w:szCs w:val="20"/>
                <w:lang w:val="en-GB" w:eastAsia="en-US"/>
              </w:rPr>
            </w:pPr>
            <w:r>
              <w:rPr>
                <w:rFonts w:hint="eastAsia" w:ascii="Times New Roman" w:hAnsi="Times New Roman" w:eastAsia="等线" w:cs="Times New Roman"/>
                <w:kern w:val="0"/>
                <w:sz w:val="20"/>
                <w:szCs w:val="20"/>
                <w:lang w:val="en-GB" w:eastAsia="zh-CN"/>
              </w:rPr>
              <w:t>Option 1-1:  Legacy</w:t>
            </w:r>
            <w:r>
              <w:rPr>
                <w:rFonts w:ascii="Times New Roman" w:hAnsi="Times New Roman" w:eastAsia="等线" w:cs="Times New Roman"/>
                <w:kern w:val="0"/>
                <w:sz w:val="20"/>
                <w:szCs w:val="20"/>
                <w:lang w:val="en-GB" w:eastAsia="zh-CN"/>
              </w:rPr>
              <w:t xml:space="preserve"> N</w:t>
            </w:r>
            <w:r>
              <w:rPr>
                <w:rFonts w:hint="eastAsia" w:ascii="Times New Roman" w:hAnsi="Times New Roman" w:eastAsia="等线" w:cs="Times New Roman"/>
                <w:kern w:val="0"/>
                <w:sz w:val="20"/>
                <w:szCs w:val="20"/>
                <w:lang w:val="en-GB" w:eastAsia="zh-CN"/>
              </w:rPr>
              <w:t>R</w:t>
            </w:r>
            <w:r>
              <w:rPr>
                <w:rFonts w:ascii="Times New Roman" w:hAnsi="Times New Roman" w:eastAsia="等线" w:cs="Times New Roman"/>
                <w:kern w:val="0"/>
                <w:sz w:val="20"/>
                <w:szCs w:val="20"/>
                <w:lang w:val="en-GB" w:eastAsia="zh-CN"/>
              </w:rPr>
              <w:t xml:space="preserve"> gNB are outdoor macro gNB, </w:t>
            </w:r>
            <w:r>
              <w:rPr>
                <w:rFonts w:hint="eastAsia" w:ascii="Times New Roman" w:hAnsi="Times New Roman" w:eastAsia="等线" w:cs="Times New Roman"/>
                <w:kern w:val="0"/>
                <w:sz w:val="20"/>
                <w:szCs w:val="20"/>
                <w:lang w:val="en-GB" w:eastAsia="zh-CN"/>
              </w:rPr>
              <w:t xml:space="preserve">AIoT </w:t>
            </w:r>
            <w:r>
              <w:rPr>
                <w:rFonts w:ascii="Times New Roman" w:hAnsi="Times New Roman" w:eastAsia="等线" w:cs="Times New Roman"/>
                <w:kern w:val="0"/>
                <w:sz w:val="20"/>
                <w:szCs w:val="20"/>
                <w:lang w:val="en-GB" w:eastAsia="zh-CN"/>
              </w:rPr>
              <w:t xml:space="preserve">intermediate UE/CW/devices are all indoors. </w:t>
            </w:r>
            <w:r>
              <w:rPr>
                <w:rFonts w:hint="eastAsia" w:ascii="Times New Roman" w:hAnsi="Times New Roman" w:eastAsia="等线" w:cs="Times New Roman"/>
                <w:kern w:val="0"/>
                <w:sz w:val="20"/>
                <w:szCs w:val="20"/>
                <w:lang w:val="en-GB" w:eastAsia="zh-CN"/>
              </w:rPr>
              <w:t>Legacy</w:t>
            </w:r>
            <w:r>
              <w:rPr>
                <w:rFonts w:ascii="Times New Roman" w:hAnsi="Times New Roman" w:eastAsia="等线" w:cs="Times New Roman"/>
                <w:kern w:val="0"/>
                <w:sz w:val="20"/>
                <w:szCs w:val="20"/>
                <w:lang w:val="en-GB" w:eastAsia="zh-CN"/>
              </w:rPr>
              <w:t xml:space="preserve"> NR UE is only allowed outdoor.</w:t>
            </w:r>
          </w:p>
          <w:p>
            <w:pPr>
              <w:widowControl/>
              <w:spacing w:before="120" w:after="180" w:line="280" w:lineRule="atLeast"/>
              <w:jc w:val="left"/>
              <w:rPr>
                <w:rFonts w:ascii="Times New Roman" w:hAnsi="Times New Roman" w:eastAsia="等线" w:cs="Times New Roman"/>
                <w:kern w:val="0"/>
                <w:sz w:val="20"/>
                <w:szCs w:val="20"/>
                <w:lang w:val="en-GB" w:eastAsia="en-US"/>
              </w:rPr>
            </w:pPr>
            <w:r>
              <w:rPr>
                <w:rFonts w:hint="eastAsia" w:ascii="Times New Roman" w:hAnsi="Times New Roman" w:eastAsia="等线" w:cs="Times New Roman"/>
                <w:kern w:val="0"/>
                <w:sz w:val="20"/>
                <w:szCs w:val="20"/>
                <w:lang w:val="en-GB" w:eastAsia="zh-CN"/>
              </w:rPr>
              <w:t>Option 1-2:  Legacy</w:t>
            </w:r>
            <w:r>
              <w:rPr>
                <w:rFonts w:ascii="Times New Roman" w:hAnsi="Times New Roman" w:eastAsia="等线" w:cs="Times New Roman"/>
                <w:kern w:val="0"/>
                <w:sz w:val="20"/>
                <w:szCs w:val="20"/>
                <w:lang w:val="en-GB" w:eastAsia="en-US"/>
              </w:rPr>
              <w:t xml:space="preserve"> N</w:t>
            </w:r>
            <w:r>
              <w:rPr>
                <w:rFonts w:hint="eastAsia" w:ascii="Times New Roman" w:hAnsi="Times New Roman" w:eastAsia="等线" w:cs="Times New Roman"/>
                <w:kern w:val="0"/>
                <w:sz w:val="20"/>
                <w:szCs w:val="20"/>
                <w:lang w:val="en-GB" w:eastAsia="zh-CN"/>
              </w:rPr>
              <w:t>R</w:t>
            </w:r>
            <w:r>
              <w:rPr>
                <w:rFonts w:ascii="Times New Roman" w:hAnsi="Times New Roman" w:eastAsia="等线" w:cs="Times New Roman"/>
                <w:kern w:val="0"/>
                <w:sz w:val="20"/>
                <w:szCs w:val="20"/>
                <w:lang w:val="en-GB" w:eastAsia="en-US"/>
              </w:rPr>
              <w:t xml:space="preserve"> gNB are outdoor macro gNB, </w:t>
            </w:r>
            <w:r>
              <w:rPr>
                <w:rFonts w:hint="eastAsia" w:ascii="Times New Roman" w:hAnsi="Times New Roman" w:eastAsia="等线" w:cs="Times New Roman"/>
                <w:kern w:val="0"/>
                <w:sz w:val="20"/>
                <w:szCs w:val="20"/>
                <w:lang w:val="en-GB" w:eastAsia="zh-CN"/>
              </w:rPr>
              <w:t xml:space="preserve">AIoT </w:t>
            </w:r>
            <w:r>
              <w:rPr>
                <w:rFonts w:ascii="Times New Roman" w:hAnsi="Times New Roman" w:eastAsia="等线" w:cs="Times New Roman"/>
                <w:kern w:val="0"/>
                <w:sz w:val="20"/>
                <w:szCs w:val="20"/>
                <w:lang w:val="en-GB" w:eastAsia="en-US"/>
              </w:rPr>
              <w:t xml:space="preserve">intermediate UE/CW/devices are all indoors. </w:t>
            </w:r>
            <w:r>
              <w:rPr>
                <w:rFonts w:hint="eastAsia" w:ascii="Times New Roman" w:hAnsi="Times New Roman" w:eastAsia="等线" w:cs="Times New Roman"/>
                <w:kern w:val="0"/>
                <w:sz w:val="20"/>
                <w:szCs w:val="20"/>
                <w:lang w:val="en-GB" w:eastAsia="zh-CN"/>
              </w:rPr>
              <w:t>Legacy</w:t>
            </w:r>
            <w:r>
              <w:rPr>
                <w:rFonts w:ascii="Times New Roman" w:hAnsi="Times New Roman" w:eastAsia="等线" w:cs="Times New Roman"/>
                <w:kern w:val="0"/>
                <w:sz w:val="20"/>
                <w:szCs w:val="20"/>
                <w:lang w:val="en-GB" w:eastAsia="en-US"/>
              </w:rPr>
              <w:t xml:space="preserve"> NR UE is indoor.</w:t>
            </w:r>
          </w:p>
          <w:p>
            <w:pPr>
              <w:widowControl/>
              <w:spacing w:before="120" w:after="180" w:line="280" w:lineRule="atLeast"/>
              <w:jc w:val="left"/>
              <w:rPr>
                <w:rFonts w:ascii="Times New Roman" w:hAnsi="Times New Roman" w:eastAsia="等线" w:cs="Times New Roman"/>
                <w:b/>
                <w:bCs/>
                <w:kern w:val="0"/>
                <w:sz w:val="20"/>
                <w:szCs w:val="20"/>
                <w:lang w:val="en-US" w:eastAsia="zh-CN"/>
              </w:rPr>
            </w:pPr>
            <w:r>
              <w:rPr>
                <w:rFonts w:hint="eastAsia" w:ascii="Times New Roman" w:hAnsi="Times New Roman" w:eastAsia="等线" w:cs="Times New Roman"/>
                <w:b/>
                <w:bCs/>
                <w:kern w:val="0"/>
                <w:sz w:val="20"/>
                <w:szCs w:val="20"/>
                <w:lang w:val="en-US" w:eastAsia="zh-CN"/>
              </w:rPr>
              <w:t>A</w:t>
            </w:r>
            <w:r>
              <w:rPr>
                <w:rFonts w:ascii="Times New Roman" w:hAnsi="Times New Roman" w:eastAsia="等线" w:cs="Times New Roman"/>
                <w:b/>
                <w:bCs/>
                <w:kern w:val="0"/>
                <w:sz w:val="20"/>
                <w:szCs w:val="20"/>
                <w:lang w:val="en-US" w:eastAsia="zh-CN"/>
              </w:rPr>
              <w:t>greement:</w:t>
            </w:r>
          </w:p>
          <w:p>
            <w:pPr>
              <w:numPr>
                <w:ilvl w:val="0"/>
                <w:numId w:val="4"/>
              </w:numPr>
              <w:overflowPunct w:val="0"/>
              <w:autoSpaceDE w:val="0"/>
              <w:autoSpaceDN w:val="0"/>
              <w:adjustRightInd w:val="0"/>
              <w:spacing w:before="120" w:after="180" w:line="280" w:lineRule="atLeast"/>
              <w:ind w:left="420" w:hanging="420" w:firstLineChars="0"/>
              <w:textAlignment w:val="baseline"/>
              <w:rPr>
                <w:rFonts w:ascii="Times New Roman" w:hAnsi="Times New Roman" w:eastAsia="等线" w:cs="Times New Roman"/>
                <w:lang w:val="en-GB" w:eastAsia="en-US" w:bidi="ar-SA"/>
              </w:rPr>
            </w:pPr>
            <w:r>
              <w:rPr>
                <w:rFonts w:hint="eastAsia" w:ascii="Times New Roman" w:hAnsi="Times New Roman" w:eastAsia="等线" w:cs="Times New Roman"/>
                <w:lang w:val="en-GB" w:eastAsia="en-US" w:bidi="ar-SA"/>
              </w:rPr>
              <w:t xml:space="preserve">For D2T2 co-existence evaluation, </w:t>
            </w:r>
            <w:r>
              <w:rPr>
                <w:rFonts w:hint="eastAsia" w:ascii="Times New Roman" w:hAnsi="Times New Roman" w:eastAsia="等线" w:cs="Times New Roman"/>
                <w:lang w:val="en-GB" w:eastAsia="zh-CN" w:bidi="ar-SA"/>
              </w:rPr>
              <w:t>Legacy</w:t>
            </w:r>
            <w:r>
              <w:rPr>
                <w:rFonts w:ascii="Times New Roman" w:hAnsi="Times New Roman" w:eastAsia="等线" w:cs="Times New Roman"/>
                <w:lang w:val="en-GB" w:eastAsia="en-US" w:bidi="ar-SA"/>
              </w:rPr>
              <w:t xml:space="preserve"> NR gNB are outdoor macro gNB</w:t>
            </w:r>
            <w:r>
              <w:rPr>
                <w:rFonts w:hint="eastAsia" w:ascii="Times New Roman" w:hAnsi="Times New Roman" w:eastAsia="等线" w:cs="Times New Roman"/>
                <w:lang w:val="en-GB" w:eastAsia="en-US" w:bidi="ar-SA"/>
              </w:rPr>
              <w:t xml:space="preserve">, </w:t>
            </w:r>
            <w:r>
              <w:rPr>
                <w:rFonts w:hint="eastAsia" w:ascii="Times New Roman" w:hAnsi="Times New Roman" w:eastAsia="等线" w:cs="Times New Roman"/>
                <w:lang w:val="en-GB" w:eastAsia="zh-CN" w:bidi="ar-SA"/>
              </w:rPr>
              <w:t xml:space="preserve">AIoT </w:t>
            </w:r>
            <w:r>
              <w:rPr>
                <w:rFonts w:hint="eastAsia" w:ascii="Times New Roman" w:hAnsi="Times New Roman" w:eastAsia="等线" w:cs="Times New Roman"/>
                <w:lang w:val="en-GB" w:eastAsia="en-US" w:bidi="ar-SA"/>
              </w:rPr>
              <w:t>intermediate UE/CW/devices are all indoors.</w:t>
            </w:r>
          </w:p>
          <w:p>
            <w:pPr>
              <w:numPr>
                <w:ilvl w:val="1"/>
                <w:numId w:val="4"/>
              </w:numPr>
              <w:overflowPunct w:val="0"/>
              <w:autoSpaceDE w:val="0"/>
              <w:autoSpaceDN w:val="0"/>
              <w:adjustRightInd w:val="0"/>
              <w:spacing w:before="120" w:after="180" w:line="280" w:lineRule="atLeast"/>
              <w:ind w:left="840" w:hanging="420" w:firstLineChars="0"/>
              <w:textAlignment w:val="baseline"/>
              <w:rPr>
                <w:rFonts w:hint="default" w:ascii="Times New Roman" w:hAnsi="Times New Roman"/>
                <w:b w:val="0"/>
                <w:bCs w:val="0"/>
                <w:sz w:val="20"/>
                <w:szCs w:val="20"/>
                <w:vertAlign w:val="baseline"/>
                <w:lang w:val="en-US" w:eastAsia="zh-CN"/>
              </w:rPr>
            </w:pPr>
            <w:r>
              <w:rPr>
                <w:rFonts w:ascii="Times New Roman" w:hAnsi="Times New Roman" w:eastAsia="等线" w:cs="Times New Roman"/>
                <w:lang w:val="en-GB" w:eastAsia="en-US" w:bidi="ar-SA"/>
              </w:rPr>
              <w:t>Consider option 1-1 and option 1-2 as the starting point</w:t>
            </w:r>
          </w:p>
        </w:tc>
      </w:tr>
    </w:tbl>
    <w:p>
      <w:pPr>
        <w:widowControl w:val="0"/>
        <w:numPr>
          <w:ilvl w:val="0"/>
          <w:numId w:val="0"/>
        </w:numPr>
        <w:spacing w:after="180"/>
        <w:jc w:val="left"/>
        <w:rPr>
          <w:rFonts w:hint="default" w:ascii="Times New Roman" w:hAnsi="Times New Roman"/>
          <w:b w:val="0"/>
          <w:bCs w:val="0"/>
          <w:sz w:val="20"/>
          <w:szCs w:val="20"/>
          <w:lang w:val="en-US" w:eastAsia="zh-CN"/>
        </w:rPr>
      </w:pPr>
    </w:p>
    <w:p>
      <w:pPr>
        <w:widowControl w:val="0"/>
        <w:numPr>
          <w:ilvl w:val="0"/>
          <w:numId w:val="0"/>
        </w:num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Current baseline assumption is that R2D for topology 2 will use UL spectrum, the IBE requirements of intermediate UE and the ICS requirements of existing gNB/ will impact final interference level between intermediate UE and legacy existing gNB. The interference is much similar like legacy NR intra-system interference. The main difference is the frequency error since for A-IoT the frequency error is between network control gNB and legacy gNB rather than between two intra-system gNB. But the frequency error is small and final contribution for interference is marginal. So it seems reasonable to assume current IBE requirements of legacy UE still applies for intermediate UE.</w:t>
      </w:r>
    </w:p>
    <w:p>
      <w:pPr>
        <w:widowControl w:val="0"/>
        <w:numPr>
          <w:ilvl w:val="0"/>
          <w:numId w:val="0"/>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1: It seems current legacy IBE requirements of UE still applies for intermediate UE.</w:t>
      </w:r>
    </w:p>
    <w:p>
      <w:pPr>
        <w:widowControl w:val="0"/>
        <w:numPr>
          <w:ilvl w:val="0"/>
          <w:numId w:val="0"/>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3: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assume that legacy IBE requirements of UE still applies for intermediate UE as starting point.</w:t>
      </w:r>
    </w:p>
    <w:p>
      <w:pPr>
        <w:widowControl w:val="0"/>
        <w:numPr>
          <w:ilvl w:val="0"/>
          <w:numId w:val="0"/>
        </w:num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For ICS requirement, currently intermediate UE is allowed to receive at both UL and DL spectrum. </w:t>
      </w:r>
    </w:p>
    <w:p>
      <w:pPr>
        <w:widowControl w:val="0"/>
        <w:numPr>
          <w:ilvl w:val="0"/>
          <w:numId w:val="0"/>
        </w:num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When intermediate UE receive at DL spectrum, we mainly consider the interference from legacy existing gNB to intermediate UE, i.e. the IBE at existing gNB and ICS at intermediate UE will impact final interference. When intermediate UE receive at UL spectrum, we mainly consider the interference from legacy existing UE to intermediate UE, i.e. the IBE at existing UE and ICS at intermediate UE will impact final interference. at first we should wait for co-existence analysis to conclude whether such ICS requirement is required or not for both deployment scenario option 1-1 and 1-2.</w:t>
      </w:r>
    </w:p>
    <w:p>
      <w:pPr>
        <w:widowControl w:val="0"/>
        <w:numPr>
          <w:ilvl w:val="0"/>
          <w:numId w:val="0"/>
        </w:num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4: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wait for co-existence analysis conclusion before define ICS requirement for intermediate UE when topology 2 reader using UL/DL spectrum for receive.</w:t>
      </w:r>
    </w:p>
    <w:p>
      <w:pPr>
        <w:widowControl w:val="0"/>
        <w:numPr>
          <w:ilvl w:val="0"/>
          <w:numId w:val="0"/>
        </w:num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Guard RB would help to improve IBE/ICS performance for intermediate UE. If we don</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t define such guard RB requirement but leave it for implementation, then network control gNB has no idea of intermediate UE</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different guard RB. Once the guard RB is scheduled by UE, interference occurs. But such constant guard RB would reduce spectrum utilization.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better to take care of this guard RB requirements and study how to balance interference and spectrum utilization.</w:t>
      </w:r>
    </w:p>
    <w:p>
      <w:pPr>
        <w:widowControl w:val="0"/>
        <w:numPr>
          <w:ilvl w:val="0"/>
          <w:numId w:val="0"/>
        </w:numPr>
        <w:spacing w:after="180"/>
        <w:jc w:val="left"/>
      </w:pPr>
      <w:r>
        <w:rPr>
          <w:rFonts w:hint="eastAsia" w:ascii="Times New Roman" w:hAnsi="Times New Roman"/>
          <w:b/>
          <w:bCs/>
          <w:sz w:val="20"/>
          <w:szCs w:val="20"/>
          <w:lang w:val="en-US" w:eastAsia="zh-CN"/>
        </w:rPr>
        <w:t>Observation 2: guard RB will help to improve IBE/ICS performance but will reduce spectrum utilization.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s suggested to take care of this guard RB requirements. </w:t>
      </w:r>
      <w:r>
        <w:rPr>
          <w:rFonts w:hint="eastAsia" w:ascii="Times New Roman" w:hAnsi="Times New Roman"/>
          <w:b w:val="0"/>
          <w:bCs w:val="0"/>
          <w:sz w:val="20"/>
          <w:szCs w:val="20"/>
          <w:lang w:val="en-US" w:eastAsia="zh-CN"/>
        </w:rPr>
        <w:t xml:space="preserve"> </w:t>
      </w:r>
      <w:r>
        <w:rPr>
          <w:rFonts w:hint="eastAsia" w:ascii="Times New Roman" w:hAnsi="Times New Roman"/>
          <w:b/>
          <w:bCs/>
          <w:sz w:val="20"/>
          <w:szCs w:val="20"/>
          <w:lang w:val="en-US" w:eastAsia="zh-CN"/>
        </w:rPr>
        <w:t xml:space="preserve"> </w:t>
      </w:r>
    </w:p>
    <w:p>
      <w:pPr>
        <w:numPr>
          <w:ilvl w:val="0"/>
          <w:numId w:val="3"/>
        </w:numPr>
        <w:spacing w:after="180"/>
        <w:ind w:left="42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Self-interference issue</w:t>
      </w:r>
    </w:p>
    <w:p>
      <w:pPr>
        <w:widowControl w:val="0"/>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Whether the CW uses DL or UL spectrum, self-interference occurs from CW to reader receiver. For the CW inside topology, we can use REFSENSE to reflect residual self-interference.</w:t>
      </w:r>
      <w:r>
        <w:rPr>
          <w:rFonts w:hint="eastAsia"/>
          <w:lang w:val="en-US" w:eastAsia="zh-CN"/>
        </w:rPr>
        <w:t xml:space="preserve"> </w:t>
      </w:r>
      <w:r>
        <w:rPr>
          <w:rFonts w:hint="eastAsia" w:ascii="Times New Roman" w:hAnsi="Times New Roman"/>
          <w:b w:val="0"/>
          <w:bCs w:val="0"/>
          <w:sz w:val="20"/>
          <w:szCs w:val="20"/>
          <w:lang w:val="en-US" w:eastAsia="zh-CN"/>
        </w:rPr>
        <w:t xml:space="preserve">Usually we assume 1dB REFSENSE desense for SBFD, but for A-IoT, the interference is the CW signal with single tone or multi-tone. the interference bandwidth is very narrow and this will lead following issue. </w:t>
      </w:r>
    </w:p>
    <w:p>
      <w:pPr>
        <w:widowControl w:val="0"/>
        <w:numPr>
          <w:ilvl w:val="0"/>
          <w:numId w:val="5"/>
        </w:numPr>
        <w:spacing w:after="180"/>
        <w:ind w:left="936" w:leftChars="0" w:hanging="360" w:firstLine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how to evaluate the REFSENSE desense especially when the interference bandwidth is such narrow, i.e. whether 1dB desense is still applicable or not</w:t>
      </w:r>
    </w:p>
    <w:p>
      <w:pPr>
        <w:keepNext w:val="0"/>
        <w:keepLines w:val="0"/>
        <w:pageBreakBefore w:val="0"/>
        <w:widowControl w:val="0"/>
        <w:numPr>
          <w:ilvl w:val="0"/>
          <w:numId w:val="0"/>
        </w:numPr>
        <w:kinsoku/>
        <w:wordWrap/>
        <w:overflowPunct/>
        <w:topLinePunct w:val="0"/>
        <w:autoSpaceDE/>
        <w:autoSpaceDN/>
        <w:bidi w:val="0"/>
        <w:adjustRightInd/>
        <w:snapToGrid/>
        <w:spacing w:after="180"/>
        <w:ind w:left="0" w:leftChars="0"/>
        <w:jc w:val="left"/>
        <w:textAlignment w:val="auto"/>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3: due to very narrow bandwidth of CW interference signal, RAN4 needs to further discuss whether 1dB desense self-interference cancellation target is still applicable or not.</w:t>
      </w:r>
    </w:p>
    <w:p>
      <w:pPr>
        <w:widowControl w:val="0"/>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When CW is outside the topology, additional spatial isolation will contribute to even less self-interference and the final residual self-interference may be negligible. But as analyzed, final residual self-interference is related to spatial isolation between CW and reader, RAN4 may needs some typical assumption before conclude whether to/how to reflect self-interference for outside topology scenario.</w:t>
      </w:r>
    </w:p>
    <w:p>
      <w:pPr>
        <w:widowControl w:val="0"/>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4: for CW outside topology, RAN4 needs some typical spatial isolation assumption before conclude whether to/ how to reflect self-interference by RF requirements.</w:t>
      </w:r>
    </w:p>
    <w:p>
      <w:pPr>
        <w:widowControl w:val="0"/>
        <w:numPr>
          <w:ilvl w:val="0"/>
          <w:numId w:val="6"/>
        </w:numPr>
        <w:spacing w:after="180"/>
        <w:ind w:left="420" w:leftChars="0" w:hanging="420" w:firstLineChars="0"/>
        <w:jc w:val="left"/>
        <w:rPr>
          <w:rFonts w:hint="default" w:ascii="Times New Roman" w:hAnsi="Times New Roman"/>
          <w:b w:val="0"/>
          <w:bCs w:val="0"/>
          <w:sz w:val="20"/>
          <w:szCs w:val="20"/>
          <w:lang w:val="en-US" w:eastAsia="zh-CN"/>
        </w:rPr>
      </w:pPr>
      <w:r>
        <w:rPr>
          <w:rFonts w:hint="default" w:ascii="Times New Roman" w:hAnsi="Times New Roman"/>
          <w:b w:val="0"/>
          <w:bCs w:val="0"/>
          <w:sz w:val="20"/>
          <w:szCs w:val="20"/>
          <w:lang w:val="en-US" w:eastAsia="zh-CN"/>
        </w:rPr>
        <w:t>IMD product for multiple-tone CW when define Rx requirements for reader</w:t>
      </w:r>
    </w:p>
    <w:p>
      <w:pPr>
        <w:widowControl w:val="0"/>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The same logic as discussed in BS reader RF requirement also applies for UE reader, UE reader should also consider the IMD product produced at device side for multiple single tone case. This seems like equivalent MSD requirement. We may need to define some additional REFSENSE desense requirement to reflect such IMD product. Anyway,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better to wait for RAN1 conclusion at first.</w:t>
      </w:r>
    </w:p>
    <w:p>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Observation 5: IMD product of multi-tone CW is much hard to be suppressed and filter solution may not work considering there is frequency overlapping between IMD products and wanted data. </w:t>
      </w:r>
    </w:p>
    <w:p>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5: RAN4 should wait for RAN1 CW signal design conclusion and then decide whether/how to consider the IMD product of multiple-tone CW when defining Rx requirements for reader.</w:t>
      </w:r>
    </w:p>
    <w:p>
      <w:pPr>
        <w:pStyle w:val="4"/>
        <w:bidi w:val="0"/>
        <w:rPr>
          <w:rFonts w:hint="default"/>
          <w:lang w:val="en-US" w:eastAsia="zh-CN"/>
        </w:rPr>
      </w:pPr>
      <w:r>
        <w:rPr>
          <w:rFonts w:hint="eastAsia"/>
          <w:lang w:val="en-US" w:eastAsia="zh-CN"/>
        </w:rPr>
        <w:t>2.2 A-IoT CW nodes of outside topology</w:t>
      </w:r>
    </w:p>
    <w:p>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the A-IoT CW nodes, only Tx requirement are needed. Different from legacy UE waveform, CW is single tone or multiple tone cases. So for CW node, we mainly need to consider the unwanted emission related requirements. system parameters and signal quality related requirements are not needed.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8"/>
        <w:gridCol w:w="4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requirement</w:t>
            </w:r>
          </w:p>
        </w:tc>
        <w:tc>
          <w:tcPr>
            <w:tcW w:w="4774"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Applicable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Operation bands</w:t>
            </w:r>
          </w:p>
        </w:tc>
        <w:tc>
          <w:tcPr>
            <w:tcW w:w="4774"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Single FDD DL or 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Channel bandwidth related requirements</w:t>
            </w:r>
          </w:p>
        </w:tc>
        <w:tc>
          <w:tcPr>
            <w:tcW w:w="4774"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Channel arrangement related</w:t>
            </w:r>
          </w:p>
        </w:tc>
        <w:tc>
          <w:tcPr>
            <w:tcW w:w="4774"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Transmitter power</w:t>
            </w:r>
          </w:p>
        </w:tc>
        <w:tc>
          <w:tcPr>
            <w:tcW w:w="4774" w:type="dxa"/>
          </w:tcPr>
          <w:p>
            <w:pPr>
              <w:numPr>
                <w:ilvl w:val="0"/>
                <w:numId w:val="0"/>
              </w:numPr>
              <w:spacing w:before="120" w:after="180" w:line="280" w:lineRule="atLeast"/>
              <w:jc w:val="lef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Applicable. Further check the power limit</w:t>
            </w:r>
          </w:p>
          <w:p>
            <w:pPr>
              <w:numPr>
                <w:ilvl w:val="0"/>
                <w:numId w:val="0"/>
              </w:numPr>
              <w:spacing w:before="120" w:after="180" w:line="280" w:lineRule="atLeast"/>
              <w:jc w:val="lef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MPR/A-MPR not applicable</w:t>
            </w:r>
          </w:p>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Configured output power,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Output power dynamic range</w:t>
            </w:r>
          </w:p>
        </w:tc>
        <w:tc>
          <w:tcPr>
            <w:tcW w:w="4774" w:type="dxa"/>
          </w:tcPr>
          <w:p>
            <w:pPr>
              <w:numPr>
                <w:ilvl w:val="0"/>
                <w:numId w:val="0"/>
              </w:numPr>
              <w:spacing w:before="120" w:after="180" w:line="280" w:lineRule="atLeast"/>
              <w:jc w:val="lef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Minimum output power: not applicable</w:t>
            </w:r>
          </w:p>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ON/OFF time mask: may not applicable</w:t>
            </w:r>
          </w:p>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Power control: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numPr>
                <w:ilvl w:val="0"/>
                <w:numId w:val="0"/>
              </w:numPr>
              <w:spacing w:before="120" w:after="180" w:line="280" w:lineRule="atLeast"/>
              <w:jc w:val="lef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Transmit signal quality</w:t>
            </w:r>
          </w:p>
        </w:tc>
        <w:tc>
          <w:tcPr>
            <w:tcW w:w="4774" w:type="dxa"/>
          </w:tcPr>
          <w:p>
            <w:pPr>
              <w:numPr>
                <w:ilvl w:val="0"/>
                <w:numId w:val="0"/>
              </w:numPr>
              <w:spacing w:before="120" w:after="180" w:line="280" w:lineRule="atLeast"/>
              <w:jc w:val="lef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Frequency error: not applicable</w:t>
            </w:r>
          </w:p>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Transmit modulation quality: 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8" w:type="dxa"/>
          </w:tcPr>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RF spectrum emission</w:t>
            </w:r>
          </w:p>
        </w:tc>
        <w:tc>
          <w:tcPr>
            <w:tcW w:w="4774" w:type="dxa"/>
          </w:tcPr>
          <w:p>
            <w:pPr>
              <w:numPr>
                <w:ilvl w:val="0"/>
                <w:numId w:val="0"/>
              </w:numPr>
              <w:spacing w:before="120" w:after="180" w:line="280" w:lineRule="atLeast"/>
              <w:jc w:val="lef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Occupied bandwidth: not applicable</w:t>
            </w:r>
          </w:p>
          <w:p>
            <w:pPr>
              <w:numPr>
                <w:ilvl w:val="0"/>
                <w:numId w:val="0"/>
              </w:numPr>
              <w:spacing w:before="120" w:after="180" w:line="280" w:lineRule="atLeast"/>
              <w:jc w:val="left"/>
              <w:rPr>
                <w:rFonts w:hint="eastAsia" w:ascii="Times New Roman" w:hAnsi="Times New Roman"/>
                <w:b w:val="0"/>
                <w:bCs w:val="0"/>
                <w:sz w:val="20"/>
                <w:szCs w:val="20"/>
                <w:highlight w:val="yellow"/>
                <w:vertAlign w:val="baseline"/>
                <w:lang w:val="en-US" w:eastAsia="zh-CN"/>
              </w:rPr>
            </w:pPr>
            <w:r>
              <w:rPr>
                <w:rFonts w:hint="eastAsia" w:ascii="Times New Roman" w:hAnsi="Times New Roman"/>
                <w:b w:val="0"/>
                <w:bCs w:val="0"/>
                <w:sz w:val="20"/>
                <w:szCs w:val="20"/>
                <w:vertAlign w:val="baseline"/>
                <w:lang w:val="en-US" w:eastAsia="zh-CN"/>
              </w:rPr>
              <w:t>Out of band emi</w:t>
            </w:r>
            <w:r>
              <w:rPr>
                <w:rFonts w:hint="eastAsia" w:ascii="Times New Roman" w:hAnsi="Times New Roman"/>
                <w:b w:val="0"/>
                <w:bCs w:val="0"/>
                <w:sz w:val="20"/>
                <w:szCs w:val="20"/>
                <w:highlight w:val="none"/>
                <w:vertAlign w:val="baseline"/>
                <w:lang w:val="en-US" w:eastAsia="zh-CN"/>
              </w:rPr>
              <w:t>ssion: not applicable if we assume CW nodes have almost perfect out of band emission?</w:t>
            </w:r>
          </w:p>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Spurious emission: current may still applicable to meet regulatory requirement</w:t>
            </w:r>
          </w:p>
          <w:p>
            <w:pPr>
              <w:numPr>
                <w:ilvl w:val="0"/>
                <w:numId w:val="0"/>
              </w:numPr>
              <w:spacing w:before="120" w:after="180" w:line="280" w:lineRule="atLeast"/>
              <w:jc w:val="lef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Transmit inter-modulation: applies at least for inside topology case</w:t>
            </w:r>
          </w:p>
        </w:tc>
      </w:tr>
    </w:tbl>
    <w:p>
      <w:pPr>
        <w:numPr>
          <w:ilvl w:val="0"/>
          <w:numId w:val="0"/>
        </w:numPr>
        <w:spacing w:after="180"/>
        <w:ind w:leftChars="0"/>
        <w:jc w:val="left"/>
        <w:rPr>
          <w:rFonts w:hint="eastAsia" w:ascii="Times New Roman" w:hAnsi="Times New Roman"/>
          <w:b w:val="0"/>
          <w:bCs w:val="0"/>
          <w:sz w:val="20"/>
          <w:szCs w:val="20"/>
          <w:lang w:val="en-US" w:eastAsia="zh-CN"/>
        </w:rPr>
      </w:pPr>
    </w:p>
    <w:p>
      <w:pPr>
        <w:numPr>
          <w:ilvl w:val="0"/>
          <w:numId w:val="0"/>
        </w:numPr>
        <w:spacing w:after="180"/>
        <w:ind w:left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If RAN4 define RF requirements for CW outside topology, it seems the RF framework for topology 1 and topology 2 is the same, i.e. only considering max output power and spurious emission requirements.</w:t>
      </w:r>
    </w:p>
    <w:p>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6: for CW outside of topology, it seems only max output power and spurious emission requirement is applicable. The same RF framework applies for both topology 1 and topology 2.</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RF requirements of intermediate UE are discussed with following observations and proposals.</w:t>
      </w:r>
    </w:p>
    <w:p>
      <w:pPr>
        <w:spacing w:after="156" w:afterLines="5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for intermediate UE band specific RF requirement analysis,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s suggested to use n8(900MHz) as example band. Other example bands are not precluded. </w:t>
      </w:r>
    </w:p>
    <w:p>
      <w:pPr>
        <w:widowControl w:val="0"/>
        <w:numPr>
          <w:ilvl w:val="0"/>
          <w:numId w:val="0"/>
        </w:numPr>
        <w:spacing w:after="180"/>
        <w:jc w:val="left"/>
        <w:rPr>
          <w:rFonts w:hint="default" w:ascii="Times New Roman" w:hAnsi="Times New Roman"/>
          <w:b w:val="0"/>
          <w:bCs w:val="0"/>
          <w:sz w:val="20"/>
          <w:szCs w:val="20"/>
          <w:lang w:val="en-US" w:eastAsia="zh-CN"/>
        </w:rPr>
      </w:pPr>
      <w:r>
        <w:rPr>
          <w:rFonts w:hint="eastAsia" w:ascii="Times New Roman" w:hAnsi="Times New Roman"/>
          <w:b/>
          <w:bCs/>
          <w:sz w:val="20"/>
          <w:szCs w:val="20"/>
          <w:lang w:val="en-US" w:eastAsia="zh-CN"/>
        </w:rPr>
        <w:t>Proposal 2: max supported power class per band is only limited to upper bound as specified in current R18 spec, i.e. no need to consider PC1.5 for FDD bands in study phase.</w:t>
      </w:r>
    </w:p>
    <w:p>
      <w:pPr>
        <w:widowControl w:val="0"/>
        <w:numPr>
          <w:ilvl w:val="0"/>
          <w:numId w:val="0"/>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1: It seems current legacy IBE requirements of UE still applies for intermediate UE.</w:t>
      </w:r>
    </w:p>
    <w:p>
      <w:pPr>
        <w:widowControl w:val="0"/>
        <w:numPr>
          <w:ilvl w:val="0"/>
          <w:numId w:val="0"/>
        </w:num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3: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assume that legacy IBE requirements of UE still applies for intermediate UE as starting point.</w:t>
      </w:r>
    </w:p>
    <w:p>
      <w:pPr>
        <w:widowControl w:val="0"/>
        <w:numPr>
          <w:ilvl w:val="0"/>
          <w:numId w:val="0"/>
        </w:num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4: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wait for co-existence analysis conclusion before define ICS requirement for intermediate UE when topology 2 reader using UL/DL spectrum for receive.</w:t>
      </w:r>
    </w:p>
    <w:p>
      <w:pPr>
        <w:spacing w:after="156" w:afterLines="5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2: guard RB will help to improve IBE/ICS performance but will reduce spectrum utilization.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take care of this guard RB requirements.</w:t>
      </w:r>
    </w:p>
    <w:p>
      <w:pPr>
        <w:keepNext w:val="0"/>
        <w:keepLines w:val="0"/>
        <w:pageBreakBefore w:val="0"/>
        <w:widowControl w:val="0"/>
        <w:numPr>
          <w:ilvl w:val="0"/>
          <w:numId w:val="0"/>
        </w:numPr>
        <w:kinsoku/>
        <w:wordWrap/>
        <w:overflowPunct/>
        <w:topLinePunct w:val="0"/>
        <w:autoSpaceDE/>
        <w:autoSpaceDN/>
        <w:bidi w:val="0"/>
        <w:adjustRightInd/>
        <w:snapToGrid/>
        <w:spacing w:after="180"/>
        <w:ind w:left="0" w:leftChars="0"/>
        <w:jc w:val="left"/>
        <w:textAlignment w:val="auto"/>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3: due to very narrow bandwidth of CW interference signal, RAN4 needs to further discuss whether 1dB desense self-interference cancellation target is still applicable or not.</w:t>
      </w:r>
    </w:p>
    <w:p>
      <w:pPr>
        <w:widowControl w:val="0"/>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4: for CW outside topology, RAN4 needs some typical spatial isolation assumption before conclude whether to/ how to reflect self-interference by RF requirements.</w:t>
      </w:r>
    </w:p>
    <w:p>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Observation 5: IMD product of multi-tone CW is much hard to be suppressed and filter solution may not work considering there is frequency overlapping between IMD products and wanted data. </w:t>
      </w:r>
    </w:p>
    <w:p>
      <w:pPr>
        <w:numPr>
          <w:ilvl w:val="0"/>
          <w:numId w:val="0"/>
        </w:numPr>
        <w:spacing w:after="180"/>
        <w:ind w:left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5: RAN4 should wait for RAN1 CW signal design conclusion and then decide whether/how to consider the IMD product of multiple-tone CW when defining Rx requirements for reader.</w:t>
      </w:r>
    </w:p>
    <w:p>
      <w:pPr>
        <w:numPr>
          <w:ilvl w:val="0"/>
          <w:numId w:val="0"/>
        </w:numPr>
        <w:spacing w:after="180"/>
        <w:ind w:left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6: for CW outside of topology, it seems only max output power and spurious emission requirement is applicable. The same RF framework applies for both topology 1 and topology 2.</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numPr>
          <w:ilvl w:val="0"/>
          <w:numId w:val="7"/>
        </w:numPr>
        <w:tabs>
          <w:tab w:val="right" w:pos="10440"/>
          <w:tab w:val="right" w:pos="13323"/>
        </w:tabs>
        <w:spacing w:after="0"/>
        <w:jc w:val="left"/>
        <w:rPr>
          <w:rFonts w:hint="default" w:ascii="Times New Roman" w:hAnsi="Times New Roman" w:eastAsia="宋体"/>
          <w:sz w:val="20"/>
          <w:szCs w:val="20"/>
          <w:lang w:val="en-US" w:eastAsia="zh-CN"/>
        </w:rPr>
      </w:pPr>
      <w:r>
        <w:rPr>
          <w:rFonts w:hint="default" w:ascii="Times New Roman" w:hAnsi="Times New Roman" w:cs="Times New Roman"/>
          <w:sz w:val="20"/>
          <w:szCs w:val="20"/>
          <w:highlight w:val="none"/>
        </w:rPr>
        <w:t>R</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E36BDDE0"/>
    <w:multiLevelType w:val="multilevel"/>
    <w:tmpl w:val="E36BDDE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0800CF2C"/>
    <w:multiLevelType w:val="singleLevel"/>
    <w:tmpl w:val="0800CF2C"/>
    <w:lvl w:ilvl="0" w:tentative="0">
      <w:start w:val="1"/>
      <w:numFmt w:val="bullet"/>
      <w:lvlText w:val=""/>
      <w:lvlJc w:val="left"/>
      <w:pPr>
        <w:ind w:left="420" w:hanging="420"/>
      </w:pPr>
      <w:rPr>
        <w:rFonts w:hint="default" w:ascii="Wingdings" w:hAnsi="Wingdings"/>
      </w:rPr>
    </w:lvl>
  </w:abstractNum>
  <w:abstractNum w:abstractNumId="4">
    <w:nsid w:val="097A406A"/>
    <w:multiLevelType w:val="multilevel"/>
    <w:tmpl w:val="097A40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79A6892F"/>
    <w:multiLevelType w:val="multilevel"/>
    <w:tmpl w:val="79A6892F"/>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G Times (WN)"/>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G Times (WN)"/>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G Times (WN)"/>
      </w:rPr>
    </w:lvl>
    <w:lvl w:ilvl="8" w:tentative="0">
      <w:start w:val="1"/>
      <w:numFmt w:val="bullet"/>
      <w:lvlText w:val=""/>
      <w:lvlJc w:val="left"/>
      <w:pPr>
        <w:ind w:left="6696" w:hanging="360"/>
      </w:pPr>
      <w:rPr>
        <w:rFonts w:hint="default" w:ascii="Wingdings" w:hAnsi="Wingdings"/>
      </w:rPr>
    </w:lvl>
  </w:abstractNum>
  <w:abstractNum w:abstractNumId="6">
    <w:nsid w:val="79BA65EF"/>
    <w:multiLevelType w:val="singleLevel"/>
    <w:tmpl w:val="79BA65EF"/>
    <w:lvl w:ilvl="0" w:tentative="0">
      <w:start w:val="1"/>
      <w:numFmt w:val="bullet"/>
      <w:lvlText w:val=""/>
      <w:lvlJc w:val="left"/>
      <w:pPr>
        <w:ind w:left="420" w:hanging="420"/>
      </w:pPr>
      <w:rPr>
        <w:rFonts w:hint="default" w:ascii="Wingdings" w:hAnsi="Wingding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017"/>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B45"/>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F3F7C"/>
    <w:rsid w:val="01361389"/>
    <w:rsid w:val="017932F1"/>
    <w:rsid w:val="018A0E13"/>
    <w:rsid w:val="01BD0368"/>
    <w:rsid w:val="01DE089D"/>
    <w:rsid w:val="0203408A"/>
    <w:rsid w:val="020970CA"/>
    <w:rsid w:val="0226460D"/>
    <w:rsid w:val="023B43AB"/>
    <w:rsid w:val="028E1852"/>
    <w:rsid w:val="02C81B1F"/>
    <w:rsid w:val="03391357"/>
    <w:rsid w:val="03401DDD"/>
    <w:rsid w:val="035967B1"/>
    <w:rsid w:val="03597E40"/>
    <w:rsid w:val="035D4591"/>
    <w:rsid w:val="03631D1E"/>
    <w:rsid w:val="037E5DCB"/>
    <w:rsid w:val="03E26584"/>
    <w:rsid w:val="04492C16"/>
    <w:rsid w:val="045647A9"/>
    <w:rsid w:val="04680BC2"/>
    <w:rsid w:val="046A6CCD"/>
    <w:rsid w:val="047B4D00"/>
    <w:rsid w:val="04A732AF"/>
    <w:rsid w:val="04B527F1"/>
    <w:rsid w:val="04C837E3"/>
    <w:rsid w:val="05014C42"/>
    <w:rsid w:val="05026E46"/>
    <w:rsid w:val="053C405B"/>
    <w:rsid w:val="056F5AD7"/>
    <w:rsid w:val="057B51DE"/>
    <w:rsid w:val="058916A3"/>
    <w:rsid w:val="059E10D1"/>
    <w:rsid w:val="05A012C8"/>
    <w:rsid w:val="05AA7D54"/>
    <w:rsid w:val="05BF54F8"/>
    <w:rsid w:val="05DD6BAF"/>
    <w:rsid w:val="05E277B3"/>
    <w:rsid w:val="05FF6A11"/>
    <w:rsid w:val="060557D7"/>
    <w:rsid w:val="06305334"/>
    <w:rsid w:val="0636723D"/>
    <w:rsid w:val="06434355"/>
    <w:rsid w:val="068C7C4C"/>
    <w:rsid w:val="06963DDF"/>
    <w:rsid w:val="06A52D74"/>
    <w:rsid w:val="06CC0A35"/>
    <w:rsid w:val="07031681"/>
    <w:rsid w:val="070A3CB8"/>
    <w:rsid w:val="07530E8A"/>
    <w:rsid w:val="0769686A"/>
    <w:rsid w:val="076E27BD"/>
    <w:rsid w:val="076E63D7"/>
    <w:rsid w:val="0770402F"/>
    <w:rsid w:val="078E5270"/>
    <w:rsid w:val="07913C76"/>
    <w:rsid w:val="07B42F31"/>
    <w:rsid w:val="07CA6B66"/>
    <w:rsid w:val="07D06FDE"/>
    <w:rsid w:val="07E72487"/>
    <w:rsid w:val="07F15671"/>
    <w:rsid w:val="08200491"/>
    <w:rsid w:val="08425E71"/>
    <w:rsid w:val="08545039"/>
    <w:rsid w:val="085D3E3F"/>
    <w:rsid w:val="087912F3"/>
    <w:rsid w:val="088C4ECC"/>
    <w:rsid w:val="08973524"/>
    <w:rsid w:val="08A26EE3"/>
    <w:rsid w:val="08A65D3D"/>
    <w:rsid w:val="08F822C4"/>
    <w:rsid w:val="0900762B"/>
    <w:rsid w:val="09264BC9"/>
    <w:rsid w:val="092D4D1C"/>
    <w:rsid w:val="09626007"/>
    <w:rsid w:val="09670379"/>
    <w:rsid w:val="097C4A9B"/>
    <w:rsid w:val="09993AB5"/>
    <w:rsid w:val="09B86E7F"/>
    <w:rsid w:val="09C147BD"/>
    <w:rsid w:val="09F66D51"/>
    <w:rsid w:val="0A0219DF"/>
    <w:rsid w:val="0A6367BB"/>
    <w:rsid w:val="0A894FD9"/>
    <w:rsid w:val="0A9458FA"/>
    <w:rsid w:val="0AA20101"/>
    <w:rsid w:val="0AA35B83"/>
    <w:rsid w:val="0ABA1F25"/>
    <w:rsid w:val="0ADD2F10"/>
    <w:rsid w:val="0AE113D2"/>
    <w:rsid w:val="0AF67B8B"/>
    <w:rsid w:val="0B0758A7"/>
    <w:rsid w:val="0B1B4548"/>
    <w:rsid w:val="0B3166EB"/>
    <w:rsid w:val="0BBF5056"/>
    <w:rsid w:val="0BE65845"/>
    <w:rsid w:val="0BE92617"/>
    <w:rsid w:val="0BEA0098"/>
    <w:rsid w:val="0BF0521B"/>
    <w:rsid w:val="0BF63EAB"/>
    <w:rsid w:val="0BF7455D"/>
    <w:rsid w:val="0BFE4B3A"/>
    <w:rsid w:val="0C296C83"/>
    <w:rsid w:val="0C4357DC"/>
    <w:rsid w:val="0C5C1421"/>
    <w:rsid w:val="0C8D3125"/>
    <w:rsid w:val="0CDD41A8"/>
    <w:rsid w:val="0D545798"/>
    <w:rsid w:val="0D5D37FD"/>
    <w:rsid w:val="0D624402"/>
    <w:rsid w:val="0D696CE5"/>
    <w:rsid w:val="0D6B0CA5"/>
    <w:rsid w:val="0D747B9F"/>
    <w:rsid w:val="0D8F41B3"/>
    <w:rsid w:val="0DD237BC"/>
    <w:rsid w:val="0E037D57"/>
    <w:rsid w:val="0E1D4B35"/>
    <w:rsid w:val="0E241F41"/>
    <w:rsid w:val="0E413A70"/>
    <w:rsid w:val="0E585CBC"/>
    <w:rsid w:val="0E5E63A7"/>
    <w:rsid w:val="0E5F68A3"/>
    <w:rsid w:val="0E7813A9"/>
    <w:rsid w:val="0EBC441C"/>
    <w:rsid w:val="0EBD33B9"/>
    <w:rsid w:val="0EBE690E"/>
    <w:rsid w:val="0F1A117A"/>
    <w:rsid w:val="0F1A5672"/>
    <w:rsid w:val="0F1C3F4D"/>
    <w:rsid w:val="0F5116AE"/>
    <w:rsid w:val="0F596ABB"/>
    <w:rsid w:val="0F5F09C4"/>
    <w:rsid w:val="0F5F4247"/>
    <w:rsid w:val="0F6273CA"/>
    <w:rsid w:val="0F7D4B34"/>
    <w:rsid w:val="0FC419ED"/>
    <w:rsid w:val="0FCB3577"/>
    <w:rsid w:val="0FD9288C"/>
    <w:rsid w:val="0FEE6FAE"/>
    <w:rsid w:val="0FF20B73"/>
    <w:rsid w:val="10003991"/>
    <w:rsid w:val="100565B7"/>
    <w:rsid w:val="101F3001"/>
    <w:rsid w:val="10254F0A"/>
    <w:rsid w:val="10337AA3"/>
    <w:rsid w:val="10406DB9"/>
    <w:rsid w:val="105E6369"/>
    <w:rsid w:val="107A5C99"/>
    <w:rsid w:val="107B7E97"/>
    <w:rsid w:val="1085402A"/>
    <w:rsid w:val="10994EC9"/>
    <w:rsid w:val="109C57D8"/>
    <w:rsid w:val="10D64689"/>
    <w:rsid w:val="10E05471"/>
    <w:rsid w:val="10ED29B0"/>
    <w:rsid w:val="10EF7E56"/>
    <w:rsid w:val="10FB74EC"/>
    <w:rsid w:val="11254AAD"/>
    <w:rsid w:val="11321BC4"/>
    <w:rsid w:val="1139154F"/>
    <w:rsid w:val="113A6FD0"/>
    <w:rsid w:val="11462FAC"/>
    <w:rsid w:val="11475BCD"/>
    <w:rsid w:val="1155307D"/>
    <w:rsid w:val="1160140E"/>
    <w:rsid w:val="11797DBA"/>
    <w:rsid w:val="117C38F8"/>
    <w:rsid w:val="117D6EEE"/>
    <w:rsid w:val="11B5219D"/>
    <w:rsid w:val="11DF67EB"/>
    <w:rsid w:val="12106FE1"/>
    <w:rsid w:val="12213A4B"/>
    <w:rsid w:val="122946DB"/>
    <w:rsid w:val="12750F57"/>
    <w:rsid w:val="12897C74"/>
    <w:rsid w:val="129C3395"/>
    <w:rsid w:val="12E83AF4"/>
    <w:rsid w:val="131A26ED"/>
    <w:rsid w:val="13771DFE"/>
    <w:rsid w:val="138F4439"/>
    <w:rsid w:val="13F25EC4"/>
    <w:rsid w:val="14245767"/>
    <w:rsid w:val="144A7BD8"/>
    <w:rsid w:val="144A7C4E"/>
    <w:rsid w:val="145A45EF"/>
    <w:rsid w:val="145C23B3"/>
    <w:rsid w:val="149A0C5C"/>
    <w:rsid w:val="149E7662"/>
    <w:rsid w:val="1508348E"/>
    <w:rsid w:val="15127621"/>
    <w:rsid w:val="15350710"/>
    <w:rsid w:val="155F416A"/>
    <w:rsid w:val="156354FD"/>
    <w:rsid w:val="156C0FB4"/>
    <w:rsid w:val="157A51BC"/>
    <w:rsid w:val="157A5D4B"/>
    <w:rsid w:val="159557BE"/>
    <w:rsid w:val="15A85596"/>
    <w:rsid w:val="15CD7D54"/>
    <w:rsid w:val="15D00CD9"/>
    <w:rsid w:val="15E450B5"/>
    <w:rsid w:val="16371982"/>
    <w:rsid w:val="163D388B"/>
    <w:rsid w:val="16456719"/>
    <w:rsid w:val="1683077C"/>
    <w:rsid w:val="168B5B89"/>
    <w:rsid w:val="16C005E1"/>
    <w:rsid w:val="16D51FE2"/>
    <w:rsid w:val="16E06917"/>
    <w:rsid w:val="16FD2BCB"/>
    <w:rsid w:val="171731EE"/>
    <w:rsid w:val="173B7F2B"/>
    <w:rsid w:val="175862BF"/>
    <w:rsid w:val="17912EB8"/>
    <w:rsid w:val="179D67CA"/>
    <w:rsid w:val="17B730F8"/>
    <w:rsid w:val="17C46B8A"/>
    <w:rsid w:val="17C65910"/>
    <w:rsid w:val="17C80E13"/>
    <w:rsid w:val="17E44EC0"/>
    <w:rsid w:val="17F263D4"/>
    <w:rsid w:val="17F52BDC"/>
    <w:rsid w:val="180D2D20"/>
    <w:rsid w:val="180E3E11"/>
    <w:rsid w:val="18197DDC"/>
    <w:rsid w:val="182249A5"/>
    <w:rsid w:val="182269B6"/>
    <w:rsid w:val="183A0ACF"/>
    <w:rsid w:val="18642373"/>
    <w:rsid w:val="187831B6"/>
    <w:rsid w:val="18834ED9"/>
    <w:rsid w:val="18A656AF"/>
    <w:rsid w:val="18CE28C0"/>
    <w:rsid w:val="18E26C79"/>
    <w:rsid w:val="18E55D68"/>
    <w:rsid w:val="18F541E7"/>
    <w:rsid w:val="18FE0AB6"/>
    <w:rsid w:val="1911682C"/>
    <w:rsid w:val="19330066"/>
    <w:rsid w:val="19813C3F"/>
    <w:rsid w:val="19A17418"/>
    <w:rsid w:val="19B263B5"/>
    <w:rsid w:val="19B93092"/>
    <w:rsid w:val="19DF2D99"/>
    <w:rsid w:val="19EA686E"/>
    <w:rsid w:val="1A0A00C9"/>
    <w:rsid w:val="1A325A0A"/>
    <w:rsid w:val="1A7D000B"/>
    <w:rsid w:val="1A8670A6"/>
    <w:rsid w:val="1A97657B"/>
    <w:rsid w:val="1A9E2B3B"/>
    <w:rsid w:val="1AAE167A"/>
    <w:rsid w:val="1AB02A55"/>
    <w:rsid w:val="1AF91F50"/>
    <w:rsid w:val="1AFD11C6"/>
    <w:rsid w:val="1B00542F"/>
    <w:rsid w:val="1B2F42F1"/>
    <w:rsid w:val="1B301DA5"/>
    <w:rsid w:val="1B3F3E40"/>
    <w:rsid w:val="1B7C00B3"/>
    <w:rsid w:val="1B7C0EA4"/>
    <w:rsid w:val="1BB42683"/>
    <w:rsid w:val="1BC416C3"/>
    <w:rsid w:val="1BF509C2"/>
    <w:rsid w:val="1BF95FEE"/>
    <w:rsid w:val="1C0D0793"/>
    <w:rsid w:val="1C1B332C"/>
    <w:rsid w:val="1C2A6C2E"/>
    <w:rsid w:val="1C363B56"/>
    <w:rsid w:val="1C527C03"/>
    <w:rsid w:val="1C700838"/>
    <w:rsid w:val="1CAB3B14"/>
    <w:rsid w:val="1CE56278"/>
    <w:rsid w:val="1CFC261A"/>
    <w:rsid w:val="1CFF6E5D"/>
    <w:rsid w:val="1D0432AA"/>
    <w:rsid w:val="1D0A4412"/>
    <w:rsid w:val="1D0B38F8"/>
    <w:rsid w:val="1D1D5776"/>
    <w:rsid w:val="1D2753AE"/>
    <w:rsid w:val="1D3E218A"/>
    <w:rsid w:val="1D41310E"/>
    <w:rsid w:val="1D67479E"/>
    <w:rsid w:val="1D6D7456"/>
    <w:rsid w:val="1D7879E5"/>
    <w:rsid w:val="1D867707"/>
    <w:rsid w:val="1DE75A9B"/>
    <w:rsid w:val="1E295925"/>
    <w:rsid w:val="1E3D0B9B"/>
    <w:rsid w:val="1E4C463B"/>
    <w:rsid w:val="1E535731"/>
    <w:rsid w:val="1E634337"/>
    <w:rsid w:val="1E81151C"/>
    <w:rsid w:val="1E884DB6"/>
    <w:rsid w:val="1EBF357F"/>
    <w:rsid w:val="1EDC50AE"/>
    <w:rsid w:val="1EFE1319"/>
    <w:rsid w:val="1F0C367F"/>
    <w:rsid w:val="1F0D1045"/>
    <w:rsid w:val="1F1F489E"/>
    <w:rsid w:val="1F2F076D"/>
    <w:rsid w:val="1F5B6C81"/>
    <w:rsid w:val="1F8B19CE"/>
    <w:rsid w:val="1FBF0115"/>
    <w:rsid w:val="1FDC5D1A"/>
    <w:rsid w:val="1FFB17BC"/>
    <w:rsid w:val="200C3221"/>
    <w:rsid w:val="201828B7"/>
    <w:rsid w:val="203D39F0"/>
    <w:rsid w:val="20471021"/>
    <w:rsid w:val="20672636"/>
    <w:rsid w:val="20731CCC"/>
    <w:rsid w:val="20817033"/>
    <w:rsid w:val="208F37FB"/>
    <w:rsid w:val="20990887"/>
    <w:rsid w:val="20B523B5"/>
    <w:rsid w:val="20C65ED3"/>
    <w:rsid w:val="20E833A7"/>
    <w:rsid w:val="20EA2C10"/>
    <w:rsid w:val="21182A73"/>
    <w:rsid w:val="2139298F"/>
    <w:rsid w:val="216C01F4"/>
    <w:rsid w:val="219168A1"/>
    <w:rsid w:val="21B038D2"/>
    <w:rsid w:val="21D70408"/>
    <w:rsid w:val="2216237D"/>
    <w:rsid w:val="221E7789"/>
    <w:rsid w:val="223076A3"/>
    <w:rsid w:val="22666050"/>
    <w:rsid w:val="228B3B2E"/>
    <w:rsid w:val="22A144DF"/>
    <w:rsid w:val="22E55ECD"/>
    <w:rsid w:val="22E84C54"/>
    <w:rsid w:val="22ED23E8"/>
    <w:rsid w:val="235E2230"/>
    <w:rsid w:val="2370600B"/>
    <w:rsid w:val="237B1C44"/>
    <w:rsid w:val="23AD68EA"/>
    <w:rsid w:val="23CA7445"/>
    <w:rsid w:val="240671CC"/>
    <w:rsid w:val="240D4A36"/>
    <w:rsid w:val="241B0EB4"/>
    <w:rsid w:val="24513BF6"/>
    <w:rsid w:val="24683E4B"/>
    <w:rsid w:val="246C2851"/>
    <w:rsid w:val="24753161"/>
    <w:rsid w:val="24775DB4"/>
    <w:rsid w:val="24841763"/>
    <w:rsid w:val="2488042D"/>
    <w:rsid w:val="24896A55"/>
    <w:rsid w:val="248A4000"/>
    <w:rsid w:val="24C36C6D"/>
    <w:rsid w:val="24CD15F1"/>
    <w:rsid w:val="24D50BFC"/>
    <w:rsid w:val="254734B9"/>
    <w:rsid w:val="254E0ABD"/>
    <w:rsid w:val="25641764"/>
    <w:rsid w:val="256F2F84"/>
    <w:rsid w:val="257C268E"/>
    <w:rsid w:val="258A21E5"/>
    <w:rsid w:val="25A10883"/>
    <w:rsid w:val="25D729E7"/>
    <w:rsid w:val="260E417C"/>
    <w:rsid w:val="260F5480"/>
    <w:rsid w:val="26174810"/>
    <w:rsid w:val="26382DB8"/>
    <w:rsid w:val="264017D0"/>
    <w:rsid w:val="265C4D5F"/>
    <w:rsid w:val="26644B8A"/>
    <w:rsid w:val="2683355D"/>
    <w:rsid w:val="268A1547"/>
    <w:rsid w:val="268B3CAF"/>
    <w:rsid w:val="269243D5"/>
    <w:rsid w:val="26A30F19"/>
    <w:rsid w:val="26A73075"/>
    <w:rsid w:val="26B2270B"/>
    <w:rsid w:val="26E718E0"/>
    <w:rsid w:val="26F853FE"/>
    <w:rsid w:val="270030DD"/>
    <w:rsid w:val="270B1F80"/>
    <w:rsid w:val="274B1605"/>
    <w:rsid w:val="27706A48"/>
    <w:rsid w:val="277D7855"/>
    <w:rsid w:val="27816C71"/>
    <w:rsid w:val="278B3C06"/>
    <w:rsid w:val="278F1ADE"/>
    <w:rsid w:val="27990C94"/>
    <w:rsid w:val="27C61EE6"/>
    <w:rsid w:val="27D86C6A"/>
    <w:rsid w:val="27E33F9B"/>
    <w:rsid w:val="27F23097"/>
    <w:rsid w:val="2805016B"/>
    <w:rsid w:val="2816336D"/>
    <w:rsid w:val="281F2C62"/>
    <w:rsid w:val="286036CB"/>
    <w:rsid w:val="286C642C"/>
    <w:rsid w:val="2896161D"/>
    <w:rsid w:val="28A2792A"/>
    <w:rsid w:val="28AA4C8A"/>
    <w:rsid w:val="28DF529E"/>
    <w:rsid w:val="28E30421"/>
    <w:rsid w:val="28F12FBA"/>
    <w:rsid w:val="294A494E"/>
    <w:rsid w:val="29560760"/>
    <w:rsid w:val="2960326E"/>
    <w:rsid w:val="296A7401"/>
    <w:rsid w:val="2975343F"/>
    <w:rsid w:val="297731BB"/>
    <w:rsid w:val="29922597"/>
    <w:rsid w:val="29AE0DEF"/>
    <w:rsid w:val="29B84F82"/>
    <w:rsid w:val="29C71D19"/>
    <w:rsid w:val="29F87F6A"/>
    <w:rsid w:val="29FE3300"/>
    <w:rsid w:val="2A144016"/>
    <w:rsid w:val="2A24682F"/>
    <w:rsid w:val="2A270F8C"/>
    <w:rsid w:val="2A2C74BF"/>
    <w:rsid w:val="2A377A4E"/>
    <w:rsid w:val="2A53737E"/>
    <w:rsid w:val="2A573A81"/>
    <w:rsid w:val="2A704730"/>
    <w:rsid w:val="2A8A52DA"/>
    <w:rsid w:val="2AC70C94"/>
    <w:rsid w:val="2AE354DA"/>
    <w:rsid w:val="2AE83C9F"/>
    <w:rsid w:val="2B1E47FB"/>
    <w:rsid w:val="2B2A3B5F"/>
    <w:rsid w:val="2B6A6B46"/>
    <w:rsid w:val="2B7042D3"/>
    <w:rsid w:val="2B7A5997"/>
    <w:rsid w:val="2B833767"/>
    <w:rsid w:val="2BCE466D"/>
    <w:rsid w:val="2BCF4650"/>
    <w:rsid w:val="2C0547C6"/>
    <w:rsid w:val="2C380499"/>
    <w:rsid w:val="2C401128"/>
    <w:rsid w:val="2C8A2F49"/>
    <w:rsid w:val="2C9F3BCE"/>
    <w:rsid w:val="2CA12446"/>
    <w:rsid w:val="2CA64350"/>
    <w:rsid w:val="2CDB1327"/>
    <w:rsid w:val="2CF9108B"/>
    <w:rsid w:val="2CFB0BBA"/>
    <w:rsid w:val="2D0B6272"/>
    <w:rsid w:val="2D34475F"/>
    <w:rsid w:val="2D4D51B1"/>
    <w:rsid w:val="2D4D79AC"/>
    <w:rsid w:val="2D593F87"/>
    <w:rsid w:val="2D5F79DA"/>
    <w:rsid w:val="2DA873F6"/>
    <w:rsid w:val="2DB7418D"/>
    <w:rsid w:val="2DD00879"/>
    <w:rsid w:val="2DD5373D"/>
    <w:rsid w:val="2DF80479"/>
    <w:rsid w:val="2E0B52AE"/>
    <w:rsid w:val="2E0E041F"/>
    <w:rsid w:val="2E141396"/>
    <w:rsid w:val="2E2A44CC"/>
    <w:rsid w:val="2E4317F2"/>
    <w:rsid w:val="2E747DC3"/>
    <w:rsid w:val="2E8F1C72"/>
    <w:rsid w:val="2E9118F2"/>
    <w:rsid w:val="2E9C0F87"/>
    <w:rsid w:val="2EA61F97"/>
    <w:rsid w:val="2EB7077F"/>
    <w:rsid w:val="2EB8044F"/>
    <w:rsid w:val="2EC16B9C"/>
    <w:rsid w:val="2ED53072"/>
    <w:rsid w:val="2ED8336B"/>
    <w:rsid w:val="2EDF426C"/>
    <w:rsid w:val="2EEC200B"/>
    <w:rsid w:val="2EEC4E92"/>
    <w:rsid w:val="2F1A1856"/>
    <w:rsid w:val="2F1C0982"/>
    <w:rsid w:val="2F357E81"/>
    <w:rsid w:val="2F5B00C1"/>
    <w:rsid w:val="2F63302B"/>
    <w:rsid w:val="2F747966"/>
    <w:rsid w:val="2FA801C0"/>
    <w:rsid w:val="2FCB6344"/>
    <w:rsid w:val="2FE04DD6"/>
    <w:rsid w:val="2FEC0BD0"/>
    <w:rsid w:val="2FEC1523"/>
    <w:rsid w:val="2FF93442"/>
    <w:rsid w:val="300D5786"/>
    <w:rsid w:val="3011145B"/>
    <w:rsid w:val="302467E6"/>
    <w:rsid w:val="30524DF2"/>
    <w:rsid w:val="305E446B"/>
    <w:rsid w:val="306B7868"/>
    <w:rsid w:val="30781792"/>
    <w:rsid w:val="30846887"/>
    <w:rsid w:val="3099089E"/>
    <w:rsid w:val="30B97FFD"/>
    <w:rsid w:val="30E346C5"/>
    <w:rsid w:val="30E766F3"/>
    <w:rsid w:val="31187F2F"/>
    <w:rsid w:val="313C4D53"/>
    <w:rsid w:val="31432160"/>
    <w:rsid w:val="31490DA5"/>
    <w:rsid w:val="31570E00"/>
    <w:rsid w:val="315F5D75"/>
    <w:rsid w:val="31653999"/>
    <w:rsid w:val="31A54783"/>
    <w:rsid w:val="31CA113F"/>
    <w:rsid w:val="31E91E87"/>
    <w:rsid w:val="320E10B5"/>
    <w:rsid w:val="321A7611"/>
    <w:rsid w:val="3243059C"/>
    <w:rsid w:val="32697D44"/>
    <w:rsid w:val="326D0948"/>
    <w:rsid w:val="328A5CFA"/>
    <w:rsid w:val="32C835E0"/>
    <w:rsid w:val="32D23EF0"/>
    <w:rsid w:val="32DF7982"/>
    <w:rsid w:val="331537CD"/>
    <w:rsid w:val="331E4E70"/>
    <w:rsid w:val="33285651"/>
    <w:rsid w:val="332F4289"/>
    <w:rsid w:val="336E17F0"/>
    <w:rsid w:val="33814F8D"/>
    <w:rsid w:val="33C133A6"/>
    <w:rsid w:val="33CC276C"/>
    <w:rsid w:val="33E2230D"/>
    <w:rsid w:val="33FB26D9"/>
    <w:rsid w:val="3424001A"/>
    <w:rsid w:val="34291F23"/>
    <w:rsid w:val="34413D46"/>
    <w:rsid w:val="34432ACD"/>
    <w:rsid w:val="344A45A5"/>
    <w:rsid w:val="345C5BF5"/>
    <w:rsid w:val="34692D0C"/>
    <w:rsid w:val="348103B3"/>
    <w:rsid w:val="34A76F6E"/>
    <w:rsid w:val="34E116D1"/>
    <w:rsid w:val="352765C3"/>
    <w:rsid w:val="356F47B8"/>
    <w:rsid w:val="357C3ACE"/>
    <w:rsid w:val="357D1550"/>
    <w:rsid w:val="35962F2D"/>
    <w:rsid w:val="359F2D89"/>
    <w:rsid w:val="35AB6D2D"/>
    <w:rsid w:val="35B629AE"/>
    <w:rsid w:val="35B71496"/>
    <w:rsid w:val="35B73EBF"/>
    <w:rsid w:val="35B8262E"/>
    <w:rsid w:val="35BA5B31"/>
    <w:rsid w:val="35CC12CF"/>
    <w:rsid w:val="35D319E6"/>
    <w:rsid w:val="35D72EE3"/>
    <w:rsid w:val="35E768F5"/>
    <w:rsid w:val="35F559C7"/>
    <w:rsid w:val="36075C31"/>
    <w:rsid w:val="36110713"/>
    <w:rsid w:val="3622425C"/>
    <w:rsid w:val="362C25ED"/>
    <w:rsid w:val="362D458B"/>
    <w:rsid w:val="36354715"/>
    <w:rsid w:val="36414A73"/>
    <w:rsid w:val="364A0F5C"/>
    <w:rsid w:val="36510879"/>
    <w:rsid w:val="36E16C19"/>
    <w:rsid w:val="37036DCD"/>
    <w:rsid w:val="372F46A7"/>
    <w:rsid w:val="37726C9D"/>
    <w:rsid w:val="379A1E22"/>
    <w:rsid w:val="37BD6848"/>
    <w:rsid w:val="37CC6816"/>
    <w:rsid w:val="37DE6907"/>
    <w:rsid w:val="37E810A7"/>
    <w:rsid w:val="380E1C87"/>
    <w:rsid w:val="38994363"/>
    <w:rsid w:val="38A9437C"/>
    <w:rsid w:val="38C2712E"/>
    <w:rsid w:val="38D16127"/>
    <w:rsid w:val="390B4FA4"/>
    <w:rsid w:val="391017BE"/>
    <w:rsid w:val="391842BA"/>
    <w:rsid w:val="39390072"/>
    <w:rsid w:val="393C0FF6"/>
    <w:rsid w:val="39515718"/>
    <w:rsid w:val="39592B25"/>
    <w:rsid w:val="39706EC7"/>
    <w:rsid w:val="39741150"/>
    <w:rsid w:val="39787B56"/>
    <w:rsid w:val="398E1CFA"/>
    <w:rsid w:val="39923F83"/>
    <w:rsid w:val="399A358E"/>
    <w:rsid w:val="39B62EBE"/>
    <w:rsid w:val="3A106A7B"/>
    <w:rsid w:val="3A1918DE"/>
    <w:rsid w:val="3A2A75FA"/>
    <w:rsid w:val="3A3F5379"/>
    <w:rsid w:val="3A436689"/>
    <w:rsid w:val="3A4614A9"/>
    <w:rsid w:val="3A675260"/>
    <w:rsid w:val="3A8646CD"/>
    <w:rsid w:val="3AAC45FF"/>
    <w:rsid w:val="3AC37B79"/>
    <w:rsid w:val="3AE070A1"/>
    <w:rsid w:val="3AF86D4E"/>
    <w:rsid w:val="3B1E2869"/>
    <w:rsid w:val="3B4413CB"/>
    <w:rsid w:val="3B617677"/>
    <w:rsid w:val="3B757B5E"/>
    <w:rsid w:val="3B883620"/>
    <w:rsid w:val="3B997439"/>
    <w:rsid w:val="3BA65BED"/>
    <w:rsid w:val="3BA96B71"/>
    <w:rsid w:val="3BDB4DC2"/>
    <w:rsid w:val="3BE47C50"/>
    <w:rsid w:val="3C090267"/>
    <w:rsid w:val="3C09240E"/>
    <w:rsid w:val="3C146221"/>
    <w:rsid w:val="3C1D10AF"/>
    <w:rsid w:val="3C277440"/>
    <w:rsid w:val="3C317D4F"/>
    <w:rsid w:val="3C525089"/>
    <w:rsid w:val="3C5C6615"/>
    <w:rsid w:val="3C653409"/>
    <w:rsid w:val="3C7360F1"/>
    <w:rsid w:val="3CC365B8"/>
    <w:rsid w:val="3CD51844"/>
    <w:rsid w:val="3CE93C7A"/>
    <w:rsid w:val="3CE979FE"/>
    <w:rsid w:val="3CF53310"/>
    <w:rsid w:val="3D08452F"/>
    <w:rsid w:val="3D0F1AC5"/>
    <w:rsid w:val="3D2C6D33"/>
    <w:rsid w:val="3D3675FD"/>
    <w:rsid w:val="3D5001A7"/>
    <w:rsid w:val="3D55441E"/>
    <w:rsid w:val="3D6B2F4F"/>
    <w:rsid w:val="3D713555"/>
    <w:rsid w:val="3D741DEE"/>
    <w:rsid w:val="3D85737C"/>
    <w:rsid w:val="3D9C3FFF"/>
    <w:rsid w:val="3DA92F31"/>
    <w:rsid w:val="3DB3244A"/>
    <w:rsid w:val="3DC213DF"/>
    <w:rsid w:val="3DDE328E"/>
    <w:rsid w:val="3E0B0DB0"/>
    <w:rsid w:val="3E0C635B"/>
    <w:rsid w:val="3E0D3FE3"/>
    <w:rsid w:val="3E116F60"/>
    <w:rsid w:val="3E572F58"/>
    <w:rsid w:val="3E636D6A"/>
    <w:rsid w:val="3E872DEF"/>
    <w:rsid w:val="3E962A3C"/>
    <w:rsid w:val="3E9704BE"/>
    <w:rsid w:val="3EE94A45"/>
    <w:rsid w:val="3EF13413"/>
    <w:rsid w:val="3F043070"/>
    <w:rsid w:val="3F1D2CEE"/>
    <w:rsid w:val="3F4D6968"/>
    <w:rsid w:val="3F572AFA"/>
    <w:rsid w:val="3F6116ED"/>
    <w:rsid w:val="3F8B424E"/>
    <w:rsid w:val="3F934EDE"/>
    <w:rsid w:val="3FA97081"/>
    <w:rsid w:val="3FB14FDF"/>
    <w:rsid w:val="3FC0585C"/>
    <w:rsid w:val="3FCE6ABE"/>
    <w:rsid w:val="40130E98"/>
    <w:rsid w:val="401776B5"/>
    <w:rsid w:val="403501D5"/>
    <w:rsid w:val="40516596"/>
    <w:rsid w:val="407E4ADB"/>
    <w:rsid w:val="408966EF"/>
    <w:rsid w:val="408D7F6C"/>
    <w:rsid w:val="40B04E56"/>
    <w:rsid w:val="40C60753"/>
    <w:rsid w:val="40C761D4"/>
    <w:rsid w:val="40D01062"/>
    <w:rsid w:val="40D15800"/>
    <w:rsid w:val="40D24565"/>
    <w:rsid w:val="40D74270"/>
    <w:rsid w:val="40E55784"/>
    <w:rsid w:val="410113A2"/>
    <w:rsid w:val="415D4149"/>
    <w:rsid w:val="416F143B"/>
    <w:rsid w:val="41880811"/>
    <w:rsid w:val="419633AA"/>
    <w:rsid w:val="41B44DE2"/>
    <w:rsid w:val="41C60C56"/>
    <w:rsid w:val="41E9727E"/>
    <w:rsid w:val="41F50509"/>
    <w:rsid w:val="420226D9"/>
    <w:rsid w:val="42375131"/>
    <w:rsid w:val="42610172"/>
    <w:rsid w:val="426339F7"/>
    <w:rsid w:val="42705E47"/>
    <w:rsid w:val="42733C91"/>
    <w:rsid w:val="427C45A1"/>
    <w:rsid w:val="428803B3"/>
    <w:rsid w:val="428C76CE"/>
    <w:rsid w:val="42916AC5"/>
    <w:rsid w:val="42A3645B"/>
    <w:rsid w:val="42C47ED0"/>
    <w:rsid w:val="42CE0B28"/>
    <w:rsid w:val="42D37514"/>
    <w:rsid w:val="43046EDF"/>
    <w:rsid w:val="432106B2"/>
    <w:rsid w:val="43603542"/>
    <w:rsid w:val="436807A8"/>
    <w:rsid w:val="43790FC1"/>
    <w:rsid w:val="43942E55"/>
    <w:rsid w:val="439901E8"/>
    <w:rsid w:val="43A14703"/>
    <w:rsid w:val="43BB74AB"/>
    <w:rsid w:val="43CD51C7"/>
    <w:rsid w:val="43EC12FF"/>
    <w:rsid w:val="43F11B33"/>
    <w:rsid w:val="43F17986"/>
    <w:rsid w:val="43FF4262"/>
    <w:rsid w:val="44062B2A"/>
    <w:rsid w:val="440875AB"/>
    <w:rsid w:val="444678CE"/>
    <w:rsid w:val="444744C8"/>
    <w:rsid w:val="44495B09"/>
    <w:rsid w:val="44565A46"/>
    <w:rsid w:val="445C041A"/>
    <w:rsid w:val="44604594"/>
    <w:rsid w:val="447A1E11"/>
    <w:rsid w:val="447E086E"/>
    <w:rsid w:val="449A491B"/>
    <w:rsid w:val="44A42F93"/>
    <w:rsid w:val="44B454C5"/>
    <w:rsid w:val="44C125DD"/>
    <w:rsid w:val="44CA2EEC"/>
    <w:rsid w:val="44D35D7A"/>
    <w:rsid w:val="44DD6689"/>
    <w:rsid w:val="44E7774D"/>
    <w:rsid w:val="45127C50"/>
    <w:rsid w:val="45177768"/>
    <w:rsid w:val="452B6409"/>
    <w:rsid w:val="454221FD"/>
    <w:rsid w:val="454416D4"/>
    <w:rsid w:val="45595C53"/>
    <w:rsid w:val="455E7EDC"/>
    <w:rsid w:val="45830A1B"/>
    <w:rsid w:val="458A4224"/>
    <w:rsid w:val="458D51A8"/>
    <w:rsid w:val="459B4244"/>
    <w:rsid w:val="45A33E4B"/>
    <w:rsid w:val="45A94422"/>
    <w:rsid w:val="45B253E8"/>
    <w:rsid w:val="45CC5F92"/>
    <w:rsid w:val="46236563"/>
    <w:rsid w:val="462640A2"/>
    <w:rsid w:val="465C2D4B"/>
    <w:rsid w:val="465C457C"/>
    <w:rsid w:val="46641988"/>
    <w:rsid w:val="467609A9"/>
    <w:rsid w:val="469842A4"/>
    <w:rsid w:val="46B86E94"/>
    <w:rsid w:val="46CB2631"/>
    <w:rsid w:val="46E67A01"/>
    <w:rsid w:val="46F87BA3"/>
    <w:rsid w:val="470F78A3"/>
    <w:rsid w:val="47262D4B"/>
    <w:rsid w:val="474779FD"/>
    <w:rsid w:val="474A246F"/>
    <w:rsid w:val="47524F9F"/>
    <w:rsid w:val="47670737"/>
    <w:rsid w:val="47916C31"/>
    <w:rsid w:val="47BE6742"/>
    <w:rsid w:val="47D927EF"/>
    <w:rsid w:val="47F00216"/>
    <w:rsid w:val="47F236FB"/>
    <w:rsid w:val="480F5247"/>
    <w:rsid w:val="4839608B"/>
    <w:rsid w:val="483A3F41"/>
    <w:rsid w:val="485D1370"/>
    <w:rsid w:val="485E2A48"/>
    <w:rsid w:val="48622CF7"/>
    <w:rsid w:val="4869465C"/>
    <w:rsid w:val="488678AB"/>
    <w:rsid w:val="48B06FCF"/>
    <w:rsid w:val="48C37CC6"/>
    <w:rsid w:val="48EA262C"/>
    <w:rsid w:val="48FF25D1"/>
    <w:rsid w:val="49281A93"/>
    <w:rsid w:val="492F313E"/>
    <w:rsid w:val="495010D7"/>
    <w:rsid w:val="4955555E"/>
    <w:rsid w:val="49611371"/>
    <w:rsid w:val="49A21DDA"/>
    <w:rsid w:val="49E453DD"/>
    <w:rsid w:val="49EE4458"/>
    <w:rsid w:val="49FE2C8C"/>
    <w:rsid w:val="4A2137F9"/>
    <w:rsid w:val="4A2E1214"/>
    <w:rsid w:val="4A3C21D9"/>
    <w:rsid w:val="4A521971"/>
    <w:rsid w:val="4A880DD3"/>
    <w:rsid w:val="4A9B7DF4"/>
    <w:rsid w:val="4A9C4E28"/>
    <w:rsid w:val="4AEC68F9"/>
    <w:rsid w:val="4AFF7B18"/>
    <w:rsid w:val="4B254325"/>
    <w:rsid w:val="4B275459"/>
    <w:rsid w:val="4B2941E0"/>
    <w:rsid w:val="4B547222"/>
    <w:rsid w:val="4B7D2F03"/>
    <w:rsid w:val="4BE90D9B"/>
    <w:rsid w:val="4BEF2CA4"/>
    <w:rsid w:val="4BFF2F3E"/>
    <w:rsid w:val="4C261BDE"/>
    <w:rsid w:val="4C334692"/>
    <w:rsid w:val="4C660668"/>
    <w:rsid w:val="4C6F730B"/>
    <w:rsid w:val="4C7166F5"/>
    <w:rsid w:val="4C816990"/>
    <w:rsid w:val="4CB613E8"/>
    <w:rsid w:val="4CCC6E0F"/>
    <w:rsid w:val="4CE51F37"/>
    <w:rsid w:val="4D1B40EF"/>
    <w:rsid w:val="4D2079EB"/>
    <w:rsid w:val="4D2B4C2A"/>
    <w:rsid w:val="4D2F6526"/>
    <w:rsid w:val="4D3A7443"/>
    <w:rsid w:val="4D570F71"/>
    <w:rsid w:val="4D6F7F85"/>
    <w:rsid w:val="4DB12905"/>
    <w:rsid w:val="4DE1452E"/>
    <w:rsid w:val="4DEE01EB"/>
    <w:rsid w:val="4DF036EE"/>
    <w:rsid w:val="4DF30DF0"/>
    <w:rsid w:val="4DF6271E"/>
    <w:rsid w:val="4DF73079"/>
    <w:rsid w:val="4DFC16FF"/>
    <w:rsid w:val="4E03108A"/>
    <w:rsid w:val="4E042C86"/>
    <w:rsid w:val="4E2822B5"/>
    <w:rsid w:val="4E5A1A99"/>
    <w:rsid w:val="4E640249"/>
    <w:rsid w:val="4E723844"/>
    <w:rsid w:val="4E7D0D54"/>
    <w:rsid w:val="4E835C30"/>
    <w:rsid w:val="4E85035F"/>
    <w:rsid w:val="4E9E77F7"/>
    <w:rsid w:val="4EB95335"/>
    <w:rsid w:val="4ED33CE1"/>
    <w:rsid w:val="4F01352B"/>
    <w:rsid w:val="4F13254C"/>
    <w:rsid w:val="4F26376B"/>
    <w:rsid w:val="4F423F95"/>
    <w:rsid w:val="4F4C1158"/>
    <w:rsid w:val="4F6279AB"/>
    <w:rsid w:val="4F9D400F"/>
    <w:rsid w:val="4FA74FBE"/>
    <w:rsid w:val="4FBF6DE2"/>
    <w:rsid w:val="4FDB2D6C"/>
    <w:rsid w:val="501555F2"/>
    <w:rsid w:val="502D7993"/>
    <w:rsid w:val="502E071A"/>
    <w:rsid w:val="504273BB"/>
    <w:rsid w:val="505605DA"/>
    <w:rsid w:val="506A727A"/>
    <w:rsid w:val="50941CF8"/>
    <w:rsid w:val="509636E2"/>
    <w:rsid w:val="50B13272"/>
    <w:rsid w:val="50B6710F"/>
    <w:rsid w:val="50BC2F96"/>
    <w:rsid w:val="50DE7239"/>
    <w:rsid w:val="512F0CC6"/>
    <w:rsid w:val="51435EF0"/>
    <w:rsid w:val="51A227FA"/>
    <w:rsid w:val="51A57002"/>
    <w:rsid w:val="51B95CA3"/>
    <w:rsid w:val="51F65583"/>
    <w:rsid w:val="520A0F25"/>
    <w:rsid w:val="521274CB"/>
    <w:rsid w:val="522265CC"/>
    <w:rsid w:val="523D726B"/>
    <w:rsid w:val="52611333"/>
    <w:rsid w:val="528278EA"/>
    <w:rsid w:val="52B5070D"/>
    <w:rsid w:val="52E03A67"/>
    <w:rsid w:val="52FC46EA"/>
    <w:rsid w:val="534D042C"/>
    <w:rsid w:val="5350703E"/>
    <w:rsid w:val="538B07B0"/>
    <w:rsid w:val="538C361F"/>
    <w:rsid w:val="538D10A1"/>
    <w:rsid w:val="53A46AC8"/>
    <w:rsid w:val="53A54549"/>
    <w:rsid w:val="53A56748"/>
    <w:rsid w:val="53C25E9B"/>
    <w:rsid w:val="53DC6880"/>
    <w:rsid w:val="53F47B4C"/>
    <w:rsid w:val="5403314B"/>
    <w:rsid w:val="54213B13"/>
    <w:rsid w:val="542A2224"/>
    <w:rsid w:val="544A4CD7"/>
    <w:rsid w:val="545309AA"/>
    <w:rsid w:val="54782323"/>
    <w:rsid w:val="54BF0519"/>
    <w:rsid w:val="54E603D9"/>
    <w:rsid w:val="552827AD"/>
    <w:rsid w:val="552B1450"/>
    <w:rsid w:val="552D6BF5"/>
    <w:rsid w:val="55584783"/>
    <w:rsid w:val="55835CD9"/>
    <w:rsid w:val="558E2FA7"/>
    <w:rsid w:val="55922A70"/>
    <w:rsid w:val="559B1181"/>
    <w:rsid w:val="55B464A8"/>
    <w:rsid w:val="55B577AC"/>
    <w:rsid w:val="55B7742C"/>
    <w:rsid w:val="55BD2802"/>
    <w:rsid w:val="55CF7BF3"/>
    <w:rsid w:val="55F969E7"/>
    <w:rsid w:val="56024028"/>
    <w:rsid w:val="5616190A"/>
    <w:rsid w:val="563F7711"/>
    <w:rsid w:val="56856B80"/>
    <w:rsid w:val="56941399"/>
    <w:rsid w:val="56962361"/>
    <w:rsid w:val="5696582D"/>
    <w:rsid w:val="569F71AC"/>
    <w:rsid w:val="56BA15D9"/>
    <w:rsid w:val="56E65920"/>
    <w:rsid w:val="56EF3AF5"/>
    <w:rsid w:val="56F23931"/>
    <w:rsid w:val="56F34C36"/>
    <w:rsid w:val="56F83407"/>
    <w:rsid w:val="571A4227"/>
    <w:rsid w:val="571E54DC"/>
    <w:rsid w:val="572210F5"/>
    <w:rsid w:val="572A730E"/>
    <w:rsid w:val="57435A05"/>
    <w:rsid w:val="574B7843"/>
    <w:rsid w:val="576146B9"/>
    <w:rsid w:val="57677173"/>
    <w:rsid w:val="577865C9"/>
    <w:rsid w:val="578F7CCE"/>
    <w:rsid w:val="579C1BCB"/>
    <w:rsid w:val="579D1528"/>
    <w:rsid w:val="57B74973"/>
    <w:rsid w:val="57D05465"/>
    <w:rsid w:val="57D57589"/>
    <w:rsid w:val="57E1103B"/>
    <w:rsid w:val="57E23AB5"/>
    <w:rsid w:val="57F020A7"/>
    <w:rsid w:val="580637F9"/>
    <w:rsid w:val="58144D0D"/>
    <w:rsid w:val="58244FA7"/>
    <w:rsid w:val="58420BB7"/>
    <w:rsid w:val="58467715"/>
    <w:rsid w:val="584C3F6D"/>
    <w:rsid w:val="587B1239"/>
    <w:rsid w:val="58886F75"/>
    <w:rsid w:val="58B65B9B"/>
    <w:rsid w:val="593309E8"/>
    <w:rsid w:val="598227C6"/>
    <w:rsid w:val="59907A7D"/>
    <w:rsid w:val="5999618E"/>
    <w:rsid w:val="59AD4E2E"/>
    <w:rsid w:val="59B07FB1"/>
    <w:rsid w:val="59EB5450"/>
    <w:rsid w:val="59FB712C"/>
    <w:rsid w:val="59FD262F"/>
    <w:rsid w:val="5A050D40"/>
    <w:rsid w:val="5A09064B"/>
    <w:rsid w:val="5A364636"/>
    <w:rsid w:val="5A5468C1"/>
    <w:rsid w:val="5A5A624C"/>
    <w:rsid w:val="5A770B6E"/>
    <w:rsid w:val="5A7B6781"/>
    <w:rsid w:val="5A8A0BF0"/>
    <w:rsid w:val="5AB246DC"/>
    <w:rsid w:val="5AB3215E"/>
    <w:rsid w:val="5AB61CF5"/>
    <w:rsid w:val="5AD05E8B"/>
    <w:rsid w:val="5AD42692"/>
    <w:rsid w:val="5AE250B9"/>
    <w:rsid w:val="5AE65E30"/>
    <w:rsid w:val="5B122177"/>
    <w:rsid w:val="5B2F7529"/>
    <w:rsid w:val="5B3204AE"/>
    <w:rsid w:val="5B81246B"/>
    <w:rsid w:val="5B814DBA"/>
    <w:rsid w:val="5B8931D8"/>
    <w:rsid w:val="5BBA168B"/>
    <w:rsid w:val="5BBD01B3"/>
    <w:rsid w:val="5BCC5178"/>
    <w:rsid w:val="5C13779B"/>
    <w:rsid w:val="5C297741"/>
    <w:rsid w:val="5C443BB1"/>
    <w:rsid w:val="5CB660AB"/>
    <w:rsid w:val="5CC611FF"/>
    <w:rsid w:val="5CCF11D3"/>
    <w:rsid w:val="5D4A309B"/>
    <w:rsid w:val="5D6A315C"/>
    <w:rsid w:val="5D7F7CF2"/>
    <w:rsid w:val="5D851C35"/>
    <w:rsid w:val="5DAA43BA"/>
    <w:rsid w:val="5DBB1104"/>
    <w:rsid w:val="5DBC7B57"/>
    <w:rsid w:val="5DDE7708"/>
    <w:rsid w:val="5DF04B2E"/>
    <w:rsid w:val="5E0C0BDB"/>
    <w:rsid w:val="5E203FF8"/>
    <w:rsid w:val="5E6160E7"/>
    <w:rsid w:val="5E6F53FC"/>
    <w:rsid w:val="5E77028A"/>
    <w:rsid w:val="5F075C6B"/>
    <w:rsid w:val="5F187E14"/>
    <w:rsid w:val="5F255EFF"/>
    <w:rsid w:val="5F3C12CD"/>
    <w:rsid w:val="5F3D0F4D"/>
    <w:rsid w:val="5F5159EF"/>
    <w:rsid w:val="5FBE2597"/>
    <w:rsid w:val="5FC559AE"/>
    <w:rsid w:val="5FDA5B33"/>
    <w:rsid w:val="5FDC7E75"/>
    <w:rsid w:val="5FF120B4"/>
    <w:rsid w:val="60083E99"/>
    <w:rsid w:val="602874D1"/>
    <w:rsid w:val="603A596D"/>
    <w:rsid w:val="607B393B"/>
    <w:rsid w:val="607C7F53"/>
    <w:rsid w:val="609B470C"/>
    <w:rsid w:val="60AC4695"/>
    <w:rsid w:val="60BA2331"/>
    <w:rsid w:val="60D45B6B"/>
    <w:rsid w:val="60D6106E"/>
    <w:rsid w:val="60EB32AF"/>
    <w:rsid w:val="61051BBD"/>
    <w:rsid w:val="61171AD8"/>
    <w:rsid w:val="61187559"/>
    <w:rsid w:val="612620F2"/>
    <w:rsid w:val="612B657A"/>
    <w:rsid w:val="6142291C"/>
    <w:rsid w:val="614E316C"/>
    <w:rsid w:val="61B606DC"/>
    <w:rsid w:val="61B73BDF"/>
    <w:rsid w:val="61EE1B3B"/>
    <w:rsid w:val="61FE0917"/>
    <w:rsid w:val="620152D8"/>
    <w:rsid w:val="623E513D"/>
    <w:rsid w:val="62563CE5"/>
    <w:rsid w:val="62E47AC9"/>
    <w:rsid w:val="63097D09"/>
    <w:rsid w:val="63192522"/>
    <w:rsid w:val="63236202"/>
    <w:rsid w:val="6350047D"/>
    <w:rsid w:val="63723EB5"/>
    <w:rsid w:val="63BB0C13"/>
    <w:rsid w:val="6412053C"/>
    <w:rsid w:val="64430D0B"/>
    <w:rsid w:val="646621C4"/>
    <w:rsid w:val="648065F1"/>
    <w:rsid w:val="64971BDD"/>
    <w:rsid w:val="64B607D2"/>
    <w:rsid w:val="64BA3B41"/>
    <w:rsid w:val="64D4607B"/>
    <w:rsid w:val="64F81E92"/>
    <w:rsid w:val="65015C46"/>
    <w:rsid w:val="65046BCA"/>
    <w:rsid w:val="650A2CD2"/>
    <w:rsid w:val="650B0753"/>
    <w:rsid w:val="650D32FF"/>
    <w:rsid w:val="651435E1"/>
    <w:rsid w:val="651B09EE"/>
    <w:rsid w:val="654153AA"/>
    <w:rsid w:val="654D4A40"/>
    <w:rsid w:val="6566621E"/>
    <w:rsid w:val="65821697"/>
    <w:rsid w:val="65A279CD"/>
    <w:rsid w:val="65CE6293"/>
    <w:rsid w:val="65D95929"/>
    <w:rsid w:val="65F740ED"/>
    <w:rsid w:val="66077C6A"/>
    <w:rsid w:val="660A60F8"/>
    <w:rsid w:val="661E7317"/>
    <w:rsid w:val="66402935"/>
    <w:rsid w:val="66495BDD"/>
    <w:rsid w:val="666D4B17"/>
    <w:rsid w:val="669E696B"/>
    <w:rsid w:val="66B94F97"/>
    <w:rsid w:val="66BA4C17"/>
    <w:rsid w:val="66C60005"/>
    <w:rsid w:val="66D435C2"/>
    <w:rsid w:val="66ED66EB"/>
    <w:rsid w:val="670A2898"/>
    <w:rsid w:val="671E273D"/>
    <w:rsid w:val="67763396"/>
    <w:rsid w:val="6779274B"/>
    <w:rsid w:val="6784366C"/>
    <w:rsid w:val="678A1A6C"/>
    <w:rsid w:val="67926E78"/>
    <w:rsid w:val="679F070D"/>
    <w:rsid w:val="67A9335C"/>
    <w:rsid w:val="67D44D17"/>
    <w:rsid w:val="68014F2E"/>
    <w:rsid w:val="6802310C"/>
    <w:rsid w:val="680B32BF"/>
    <w:rsid w:val="680C4CB4"/>
    <w:rsid w:val="680E2045"/>
    <w:rsid w:val="68123743"/>
    <w:rsid w:val="68334803"/>
    <w:rsid w:val="68374408"/>
    <w:rsid w:val="68400296"/>
    <w:rsid w:val="68976726"/>
    <w:rsid w:val="69156EBB"/>
    <w:rsid w:val="691C697F"/>
    <w:rsid w:val="69516645"/>
    <w:rsid w:val="69760313"/>
    <w:rsid w:val="698A6FB3"/>
    <w:rsid w:val="69DD483F"/>
    <w:rsid w:val="69F47683"/>
    <w:rsid w:val="69F942E4"/>
    <w:rsid w:val="6A010AFD"/>
    <w:rsid w:val="6A0568FD"/>
    <w:rsid w:val="6A2B6B3C"/>
    <w:rsid w:val="6A2F5543"/>
    <w:rsid w:val="6A5F0290"/>
    <w:rsid w:val="6A865F51"/>
    <w:rsid w:val="6A92342E"/>
    <w:rsid w:val="6AA40D85"/>
    <w:rsid w:val="6ABB09AA"/>
    <w:rsid w:val="6AD74A57"/>
    <w:rsid w:val="6B266753"/>
    <w:rsid w:val="6B4F341C"/>
    <w:rsid w:val="6B7845E0"/>
    <w:rsid w:val="6B7A7AE3"/>
    <w:rsid w:val="6B9F60AC"/>
    <w:rsid w:val="6BA350A4"/>
    <w:rsid w:val="6BC52A2B"/>
    <w:rsid w:val="6BFA38B5"/>
    <w:rsid w:val="6C0A3B4F"/>
    <w:rsid w:val="6C254067"/>
    <w:rsid w:val="6C3426E1"/>
    <w:rsid w:val="6C5703CB"/>
    <w:rsid w:val="6C68196A"/>
    <w:rsid w:val="6C774F51"/>
    <w:rsid w:val="6C7A1884"/>
    <w:rsid w:val="6CD62F24"/>
    <w:rsid w:val="6D0A6F75"/>
    <w:rsid w:val="6D2E4BAB"/>
    <w:rsid w:val="6D4A44DB"/>
    <w:rsid w:val="6D63623C"/>
    <w:rsid w:val="6D812437"/>
    <w:rsid w:val="6D853006"/>
    <w:rsid w:val="6DE82CCD"/>
    <w:rsid w:val="6DEB7F47"/>
    <w:rsid w:val="6E087CA3"/>
    <w:rsid w:val="6E123F24"/>
    <w:rsid w:val="6E353454"/>
    <w:rsid w:val="6E3B72E7"/>
    <w:rsid w:val="6E567A37"/>
    <w:rsid w:val="6E5C02CB"/>
    <w:rsid w:val="6E680DA5"/>
    <w:rsid w:val="6E804558"/>
    <w:rsid w:val="6EA0288E"/>
    <w:rsid w:val="6EE509F4"/>
    <w:rsid w:val="6EF0198C"/>
    <w:rsid w:val="6EFC51A7"/>
    <w:rsid w:val="6F023405"/>
    <w:rsid w:val="6F0834BA"/>
    <w:rsid w:val="6F0B13DB"/>
    <w:rsid w:val="6F25039A"/>
    <w:rsid w:val="6F376285"/>
    <w:rsid w:val="6F457799"/>
    <w:rsid w:val="6F607449"/>
    <w:rsid w:val="6F8D3411"/>
    <w:rsid w:val="6FA8783E"/>
    <w:rsid w:val="6FBC2EB1"/>
    <w:rsid w:val="6FDB6D93"/>
    <w:rsid w:val="700346D4"/>
    <w:rsid w:val="7046232B"/>
    <w:rsid w:val="70623166"/>
    <w:rsid w:val="70714D08"/>
    <w:rsid w:val="7073020B"/>
    <w:rsid w:val="709C35CE"/>
    <w:rsid w:val="70D127A3"/>
    <w:rsid w:val="70F86AD9"/>
    <w:rsid w:val="71032079"/>
    <w:rsid w:val="71327344"/>
    <w:rsid w:val="718B39D1"/>
    <w:rsid w:val="71936767"/>
    <w:rsid w:val="71A26F09"/>
    <w:rsid w:val="71C032CE"/>
    <w:rsid w:val="720F35F2"/>
    <w:rsid w:val="72100F31"/>
    <w:rsid w:val="7220374A"/>
    <w:rsid w:val="72287D95"/>
    <w:rsid w:val="72304FDF"/>
    <w:rsid w:val="723356D2"/>
    <w:rsid w:val="72434C03"/>
    <w:rsid w:val="7247717D"/>
    <w:rsid w:val="729926C8"/>
    <w:rsid w:val="72C651DC"/>
    <w:rsid w:val="72DB607B"/>
    <w:rsid w:val="73096F4B"/>
    <w:rsid w:val="73131A58"/>
    <w:rsid w:val="73142D5D"/>
    <w:rsid w:val="7317045F"/>
    <w:rsid w:val="732D5E85"/>
    <w:rsid w:val="733D42E3"/>
    <w:rsid w:val="734E1AC2"/>
    <w:rsid w:val="737230F7"/>
    <w:rsid w:val="73854316"/>
    <w:rsid w:val="73950D2D"/>
    <w:rsid w:val="73A57DF9"/>
    <w:rsid w:val="73A744CA"/>
    <w:rsid w:val="73AC617D"/>
    <w:rsid w:val="73CC19D5"/>
    <w:rsid w:val="74126445"/>
    <w:rsid w:val="741A7D2C"/>
    <w:rsid w:val="74486D25"/>
    <w:rsid w:val="744E5F5D"/>
    <w:rsid w:val="746016FA"/>
    <w:rsid w:val="74694588"/>
    <w:rsid w:val="746C550D"/>
    <w:rsid w:val="74AF2AFE"/>
    <w:rsid w:val="74B54A08"/>
    <w:rsid w:val="74CB0DAA"/>
    <w:rsid w:val="74E146D2"/>
    <w:rsid w:val="74F86B15"/>
    <w:rsid w:val="750F0599"/>
    <w:rsid w:val="754D5E80"/>
    <w:rsid w:val="756A3232"/>
    <w:rsid w:val="75745DF5"/>
    <w:rsid w:val="75876F5E"/>
    <w:rsid w:val="75895CE5"/>
    <w:rsid w:val="759901A2"/>
    <w:rsid w:val="759F2407"/>
    <w:rsid w:val="75D02BD6"/>
    <w:rsid w:val="75E15270"/>
    <w:rsid w:val="76116EC2"/>
    <w:rsid w:val="76325B80"/>
    <w:rsid w:val="768A3309"/>
    <w:rsid w:val="768E1D0F"/>
    <w:rsid w:val="76B72ED4"/>
    <w:rsid w:val="76C07F60"/>
    <w:rsid w:val="76E3721B"/>
    <w:rsid w:val="76F00D88"/>
    <w:rsid w:val="771928DB"/>
    <w:rsid w:val="771C067A"/>
    <w:rsid w:val="772032D2"/>
    <w:rsid w:val="772A6AEC"/>
    <w:rsid w:val="77693C0F"/>
    <w:rsid w:val="77695CCA"/>
    <w:rsid w:val="776C5E7A"/>
    <w:rsid w:val="77785510"/>
    <w:rsid w:val="778F5135"/>
    <w:rsid w:val="779415BD"/>
    <w:rsid w:val="779C0BC8"/>
    <w:rsid w:val="779C4C9B"/>
    <w:rsid w:val="77B25750"/>
    <w:rsid w:val="77C2468B"/>
    <w:rsid w:val="780A11FC"/>
    <w:rsid w:val="780B5507"/>
    <w:rsid w:val="7855167B"/>
    <w:rsid w:val="7861548E"/>
    <w:rsid w:val="788F4999"/>
    <w:rsid w:val="78A53586"/>
    <w:rsid w:val="78A92755"/>
    <w:rsid w:val="78B8009B"/>
    <w:rsid w:val="78B9366E"/>
    <w:rsid w:val="78BC17CD"/>
    <w:rsid w:val="78C5192F"/>
    <w:rsid w:val="78D366C6"/>
    <w:rsid w:val="78FC6C88"/>
    <w:rsid w:val="790B20A3"/>
    <w:rsid w:val="79171739"/>
    <w:rsid w:val="79226737"/>
    <w:rsid w:val="796C47DC"/>
    <w:rsid w:val="799B610F"/>
    <w:rsid w:val="79D85F74"/>
    <w:rsid w:val="79DF2C7C"/>
    <w:rsid w:val="79E47779"/>
    <w:rsid w:val="79F57AA2"/>
    <w:rsid w:val="7A091FC6"/>
    <w:rsid w:val="7A194129"/>
    <w:rsid w:val="7A1F66E8"/>
    <w:rsid w:val="7A361B91"/>
    <w:rsid w:val="7A4A0831"/>
    <w:rsid w:val="7A4C3D34"/>
    <w:rsid w:val="7A7C0DAF"/>
    <w:rsid w:val="7A7D4CC5"/>
    <w:rsid w:val="7A9479AC"/>
    <w:rsid w:val="7AC04CBB"/>
    <w:rsid w:val="7AD57A5A"/>
    <w:rsid w:val="7AD9139A"/>
    <w:rsid w:val="7AE67D87"/>
    <w:rsid w:val="7B484ED1"/>
    <w:rsid w:val="7B6E2211"/>
    <w:rsid w:val="7B8472B4"/>
    <w:rsid w:val="7BBE5711"/>
    <w:rsid w:val="7BC80470"/>
    <w:rsid w:val="7BE0484E"/>
    <w:rsid w:val="7C081A8C"/>
    <w:rsid w:val="7C0A4F8F"/>
    <w:rsid w:val="7C0F40E4"/>
    <w:rsid w:val="7C153320"/>
    <w:rsid w:val="7C207132"/>
    <w:rsid w:val="7C345209"/>
    <w:rsid w:val="7C362168"/>
    <w:rsid w:val="7C482875"/>
    <w:rsid w:val="7C513185"/>
    <w:rsid w:val="7C5D3714"/>
    <w:rsid w:val="7C823224"/>
    <w:rsid w:val="7C92278E"/>
    <w:rsid w:val="7C970076"/>
    <w:rsid w:val="7CD32459"/>
    <w:rsid w:val="7CDE07EA"/>
    <w:rsid w:val="7CE271F0"/>
    <w:rsid w:val="7CEF1D89"/>
    <w:rsid w:val="7CEF6506"/>
    <w:rsid w:val="7CF22D0E"/>
    <w:rsid w:val="7D0C0035"/>
    <w:rsid w:val="7D407A70"/>
    <w:rsid w:val="7D42434A"/>
    <w:rsid w:val="7D4D3494"/>
    <w:rsid w:val="7D9E7791"/>
    <w:rsid w:val="7DA22244"/>
    <w:rsid w:val="7DBC28DE"/>
    <w:rsid w:val="7DC50AE8"/>
    <w:rsid w:val="7DCE3976"/>
    <w:rsid w:val="7DD03016"/>
    <w:rsid w:val="7DFB0564"/>
    <w:rsid w:val="7E0B59D9"/>
    <w:rsid w:val="7E1178E2"/>
    <w:rsid w:val="7E4C3A0F"/>
    <w:rsid w:val="7E4C3A98"/>
    <w:rsid w:val="7E4C4244"/>
    <w:rsid w:val="7E4F51C9"/>
    <w:rsid w:val="7E9E07CB"/>
    <w:rsid w:val="7EDD5D31"/>
    <w:rsid w:val="7F1A61C1"/>
    <w:rsid w:val="7F23352A"/>
    <w:rsid w:val="7F6C689A"/>
    <w:rsid w:val="7F7D33DC"/>
    <w:rsid w:val="7F8242C1"/>
    <w:rsid w:val="7FA06BEF"/>
    <w:rsid w:val="7FAA1790"/>
    <w:rsid w:val="7FAB1C02"/>
    <w:rsid w:val="7FBD539F"/>
    <w:rsid w:val="7FC13DA6"/>
    <w:rsid w:val="7FD3213E"/>
    <w:rsid w:val="7FD8724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line="240" w:lineRule="auto"/>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Header Char"/>
    <w:basedOn w:val="18"/>
    <w:link w:val="13"/>
    <w:qFormat/>
    <w:uiPriority w:val="99"/>
    <w:rPr>
      <w:sz w:val="18"/>
      <w:szCs w:val="18"/>
    </w:rPr>
  </w:style>
  <w:style w:type="character" w:customStyle="1" w:styleId="22">
    <w:name w:val="Footer Char"/>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Balloon Text Char"/>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Comment Text Char"/>
    <w:basedOn w:val="18"/>
    <w:link w:val="8"/>
    <w:qFormat/>
    <w:uiPriority w:val="0"/>
    <w:rPr>
      <w:rFonts w:ascii="CG Times (WN)" w:hAnsi="CG Times (WN)" w:eastAsia="宋体" w:cs="Times New Roman"/>
    </w:rPr>
  </w:style>
  <w:style w:type="character" w:customStyle="1" w:styleId="38">
    <w:name w:val="Comment Subject Char"/>
    <w:basedOn w:val="37"/>
    <w:link w:val="15"/>
    <w:semiHidden/>
    <w:qFormat/>
    <w:uiPriority w:val="99"/>
    <w:rPr>
      <w:rFonts w:ascii="CG Times (WN)" w:hAnsi="CG Times (WN)" w:eastAsia="宋体" w:cs="Times New Roman"/>
      <w:b/>
      <w:bCs/>
    </w:rPr>
  </w:style>
  <w:style w:type="character" w:customStyle="1" w:styleId="39">
    <w:name w:val="Document Map Char"/>
    <w:basedOn w:val="18"/>
    <w:link w:val="7"/>
    <w:semiHidden/>
    <w:qFormat/>
    <w:uiPriority w:val="99"/>
    <w:rPr>
      <w:rFonts w:ascii="宋体" w:hAnsi="CG Times (WN)" w:eastAsia="宋体" w:cs="Times New Roman"/>
      <w:sz w:val="18"/>
      <w:szCs w:val="18"/>
    </w:rPr>
  </w:style>
  <w:style w:type="character" w:customStyle="1" w:styleId="40">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1">
    <w:name w:val="List Paragraph Char"/>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Heading 2 Char"/>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Heading 3 Char"/>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Heading 5 Char"/>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before="0"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0</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2024-05-13T11:11:13Z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