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49DCF3BD"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107</w:t>
      </w:r>
      <w:r>
        <w:rPr>
          <w:rFonts w:cs="Arial"/>
          <w:i/>
          <w:sz w:val="24"/>
        </w:rPr>
        <w:tab/>
      </w:r>
      <w:r w:rsidRPr="007109E4">
        <w:rPr>
          <w:rFonts w:cs="Arial"/>
          <w:iCs/>
          <w:sz w:val="24"/>
        </w:rPr>
        <w:t>R4-</w:t>
      </w:r>
      <w:r w:rsidR="007109E4" w:rsidRPr="00EF100D">
        <w:rPr>
          <w:rFonts w:cs="Arial"/>
          <w:iCs/>
          <w:sz w:val="24"/>
        </w:rPr>
        <w:t>2307703</w:t>
      </w:r>
    </w:p>
    <w:p w14:paraId="225BCA78" w14:textId="45812A72" w:rsidR="00070795" w:rsidRDefault="006C791A" w:rsidP="00070795">
      <w:pPr>
        <w:pStyle w:val="Header"/>
        <w:tabs>
          <w:tab w:val="right" w:pos="10206"/>
        </w:tabs>
        <w:spacing w:after="120"/>
        <w:rPr>
          <w:rFonts w:cs="Arial"/>
          <w:sz w:val="24"/>
        </w:rPr>
      </w:pPr>
      <w:r>
        <w:rPr>
          <w:rFonts w:cs="Arial"/>
          <w:sz w:val="24"/>
        </w:rPr>
        <w:t>Incheon, Korea</w:t>
      </w:r>
      <w:r w:rsidR="00070795">
        <w:rPr>
          <w:rFonts w:cs="Arial"/>
          <w:sz w:val="24"/>
        </w:rPr>
        <w:t>,</w:t>
      </w:r>
      <w:r w:rsidR="00E01242">
        <w:rPr>
          <w:rFonts w:cs="Arial"/>
          <w:sz w:val="24"/>
        </w:rPr>
        <w:t xml:space="preserve"> </w:t>
      </w:r>
      <w:r>
        <w:rPr>
          <w:rFonts w:cs="Arial"/>
          <w:sz w:val="24"/>
        </w:rPr>
        <w:t>22</w:t>
      </w:r>
      <w:r w:rsidRPr="00CE4DE3">
        <w:rPr>
          <w:rFonts w:cs="Arial"/>
          <w:sz w:val="24"/>
          <w:vertAlign w:val="superscript"/>
        </w:rPr>
        <w:t>nd</w:t>
      </w:r>
      <w:r>
        <w:rPr>
          <w:rFonts w:cs="Arial"/>
          <w:sz w:val="24"/>
        </w:rPr>
        <w:t xml:space="preserve"> to 26</w:t>
      </w:r>
      <w:r w:rsidRPr="00CE4DE3">
        <w:rPr>
          <w:rFonts w:cs="Arial"/>
          <w:sz w:val="24"/>
          <w:vertAlign w:val="superscript"/>
        </w:rPr>
        <w:t>th</w:t>
      </w:r>
      <w:r>
        <w:rPr>
          <w:rFonts w:cs="Arial"/>
          <w:sz w:val="24"/>
        </w:rPr>
        <w:t xml:space="preserve"> May</w:t>
      </w:r>
      <w:r w:rsidR="000D59CF">
        <w:rPr>
          <w:rFonts w:cs="Arial"/>
          <w:sz w:val="24"/>
        </w:rPr>
        <w:t xml:space="preserve"> 2023</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0D60C2E8"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5D14A6">
        <w:rPr>
          <w:rFonts w:ascii="Arial" w:hAnsi="Arial" w:cs="Arial"/>
        </w:rPr>
        <w:t xml:space="preserve">Further considerations </w:t>
      </w:r>
      <w:r w:rsidR="0077511F">
        <w:rPr>
          <w:rFonts w:ascii="Arial" w:hAnsi="Arial" w:cs="Arial"/>
        </w:rPr>
        <w:t>related to coexistence simulation assumptions</w:t>
      </w:r>
    </w:p>
    <w:p w14:paraId="72798C4E" w14:textId="67EA7C1B"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FF4F5F">
        <w:rPr>
          <w:rFonts w:ascii="Arial" w:hAnsi="Arial" w:cs="Arial"/>
          <w:bCs/>
          <w:lang w:val="en-US"/>
        </w:rPr>
        <w:t>8</w:t>
      </w:r>
      <w:r w:rsidR="005D14A6">
        <w:rPr>
          <w:rFonts w:ascii="Arial" w:hAnsi="Arial" w:cs="Arial"/>
          <w:bCs/>
          <w:lang w:val="en-US"/>
        </w:rPr>
        <w:t>.20.2.1</w:t>
      </w:r>
    </w:p>
    <w:p w14:paraId="3C088A4A" w14:textId="38AE49D6"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39EEFCAA" w14:textId="63CA7592" w:rsidR="00871178" w:rsidRDefault="0062745C" w:rsidP="00155B44">
      <w:pPr>
        <w:pStyle w:val="BodyText"/>
      </w:pPr>
      <w:r>
        <w:t>At the last RAN4 meeting (RAN4#</w:t>
      </w:r>
      <w:r w:rsidR="00422BAB">
        <w:t>1</w:t>
      </w:r>
      <w:r w:rsidR="00EF2E03">
        <w:t>06-bis-E</w:t>
      </w:r>
      <w:r>
        <w:t>)</w:t>
      </w:r>
      <w:r w:rsidR="00155B44">
        <w:t xml:space="preserve"> </w:t>
      </w:r>
      <w:r w:rsidR="00EF2E03">
        <w:t>simulation assumptions for</w:t>
      </w:r>
      <w:r w:rsidR="0088212F">
        <w:t xml:space="preserve"> SBFD adjacent channel </w:t>
      </w:r>
      <w:r w:rsidR="00556BE7">
        <w:t>coexistence</w:t>
      </w:r>
      <w:r w:rsidR="0088212F">
        <w:t xml:space="preserve"> </w:t>
      </w:r>
      <w:r w:rsidR="00556BE7">
        <w:t>evaluation</w:t>
      </w:r>
      <w:r w:rsidR="0088212F">
        <w:t xml:space="preserve"> </w:t>
      </w:r>
      <w:r w:rsidR="00556BE7">
        <w:t>were</w:t>
      </w:r>
      <w:r w:rsidR="0088212F">
        <w:t xml:space="preserve"> exte</w:t>
      </w:r>
      <w:r w:rsidR="00556BE7">
        <w:t>nsively</w:t>
      </w:r>
      <w:r w:rsidR="0088212F">
        <w:t xml:space="preserve"> discussed. The outcome was captured in a way-</w:t>
      </w:r>
      <w:r w:rsidR="00556BE7">
        <w:t>forward</w:t>
      </w:r>
      <w:r w:rsidR="0088212F">
        <w:t xml:space="preserve"> contribution </w:t>
      </w:r>
      <w:r w:rsidR="005D50FB">
        <w:t xml:space="preserve">[1] and an </w:t>
      </w:r>
      <w:r w:rsidR="00556BE7">
        <w:t>overview</w:t>
      </w:r>
      <w:r w:rsidR="005D50FB">
        <w:t xml:space="preserve"> of all assumptions was collected in </w:t>
      </w:r>
      <w:r w:rsidR="00871178">
        <w:t xml:space="preserve">[2]. </w:t>
      </w:r>
    </w:p>
    <w:p w14:paraId="52EC68F0" w14:textId="1D5F50A2" w:rsidR="00843454" w:rsidRPr="007D610C" w:rsidRDefault="001E24BC" w:rsidP="00DA2863">
      <w:pPr>
        <w:pStyle w:val="BodyText"/>
      </w:pPr>
      <w:r>
        <w:t>Simulation assumptions such as m</w:t>
      </w:r>
      <w:r w:rsidR="00871178">
        <w:t xml:space="preserve">odels and </w:t>
      </w:r>
      <w:r>
        <w:t xml:space="preserve">corresponding parameters </w:t>
      </w:r>
      <w:r w:rsidR="0026363B">
        <w:t xml:space="preserve">are essential for the </w:t>
      </w:r>
      <w:r w:rsidR="00556BE7">
        <w:t>coexistence</w:t>
      </w:r>
      <w:r w:rsidR="0026363B">
        <w:t xml:space="preserve"> </w:t>
      </w:r>
      <w:r w:rsidR="00556BE7">
        <w:t>evaluation</w:t>
      </w:r>
      <w:r w:rsidR="0026363B">
        <w:t>. They will have direct impact on the result</w:t>
      </w:r>
      <w:r w:rsidR="00556BE7">
        <w:t xml:space="preserve"> used to draw conclusions on </w:t>
      </w:r>
      <w:r w:rsidR="002D6846">
        <w:t>coexistence impact when SBFD is introduced</w:t>
      </w:r>
      <w:r w:rsidR="00556BE7">
        <w:t>.</w:t>
      </w:r>
      <w:r w:rsidR="002D077E">
        <w:t xml:space="preserve"> As part of technical background </w:t>
      </w:r>
      <w:r w:rsidR="00ED7F82">
        <w:t>relevant for this study an Annex have been created in TR 38.858. The intention is to gather relevant information</w:t>
      </w:r>
      <w:r w:rsidR="003924CE">
        <w:t xml:space="preserve"> with respect to coexistence simulation assumptions. </w:t>
      </w:r>
      <w:r w:rsidR="00D571C4">
        <w:t xml:space="preserve">To facilitate the inclusion of the information in TR 38.858 a text proposal </w:t>
      </w:r>
      <w:r w:rsidR="00DA2863">
        <w:t>has</w:t>
      </w:r>
      <w:r w:rsidR="00D571C4">
        <w:t xml:space="preserve"> been created in </w:t>
      </w:r>
      <w:r w:rsidR="00AC1675">
        <w:t xml:space="preserve">a companion contribution [3]. During the construction of this text proposal several </w:t>
      </w:r>
      <w:r w:rsidR="003D2ADC">
        <w:t xml:space="preserve">technical issues and in few </w:t>
      </w:r>
      <w:r w:rsidR="00DA2863">
        <w:t>cases,</w:t>
      </w:r>
      <w:r w:rsidR="003D2ADC">
        <w:t xml:space="preserve"> errors have been identified. In this contribution we </w:t>
      </w:r>
      <w:r w:rsidR="00DA2863">
        <w:t xml:space="preserve">highlight the issues and propose solutions to fix them.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36435225" w14:textId="776205A8" w:rsidR="00A6426E" w:rsidRDefault="00A22ED9" w:rsidP="0062745C">
      <w:pPr>
        <w:pStyle w:val="BodyText"/>
      </w:pPr>
      <w:r>
        <w:t>In the following sections</w:t>
      </w:r>
      <w:r w:rsidR="00772F9B">
        <w:t xml:space="preserve"> technical </w:t>
      </w:r>
      <w:r w:rsidR="00AD4727">
        <w:t xml:space="preserve">issues </w:t>
      </w:r>
      <w:r w:rsidR="00A84961">
        <w:t xml:space="preserve">related to the </w:t>
      </w:r>
      <w:r w:rsidR="00AD4727">
        <w:t xml:space="preserve">adjacent channel coexistence evaluation have been identified. </w:t>
      </w:r>
      <w:r w:rsidR="00AC70FC">
        <w:br/>
      </w:r>
    </w:p>
    <w:p w14:paraId="3B3DAF4D" w14:textId="1C563ED1" w:rsidR="00A6426E" w:rsidRPr="008240C2" w:rsidRDefault="00A6426E" w:rsidP="008240C2">
      <w:pPr>
        <w:pStyle w:val="BodyText"/>
        <w:numPr>
          <w:ilvl w:val="1"/>
          <w:numId w:val="5"/>
        </w:numPr>
        <w:ind w:hanging="720"/>
        <w:rPr>
          <w:rFonts w:ascii="Arial" w:hAnsi="Arial" w:cs="Arial"/>
        </w:rPr>
      </w:pPr>
      <w:r w:rsidRPr="008240C2">
        <w:rPr>
          <w:rFonts w:ascii="Arial" w:hAnsi="Arial" w:cs="Arial"/>
        </w:rPr>
        <w:t>ACLR/ACS power scaling</w:t>
      </w:r>
    </w:p>
    <w:p w14:paraId="7D9CBD9E" w14:textId="7FF4CD60" w:rsidR="008B7DF4" w:rsidRDefault="00640D50" w:rsidP="0062745C">
      <w:pPr>
        <w:pStyle w:val="BodyText"/>
      </w:pPr>
      <w:r>
        <w:t xml:space="preserve">In RAN4, ACLR and ACS </w:t>
      </w:r>
      <w:r w:rsidR="00730F83">
        <w:t>are</w:t>
      </w:r>
      <w:r>
        <w:t xml:space="preserve"> defined </w:t>
      </w:r>
      <w:r w:rsidR="00535BE2">
        <w:t xml:space="preserve">assuming </w:t>
      </w:r>
      <w:r w:rsidR="005E2644">
        <w:t xml:space="preserve">the wanted carrier bandwidth and adjacent </w:t>
      </w:r>
      <w:r w:rsidR="00A835AC">
        <w:t xml:space="preserve">channel bandwidth </w:t>
      </w:r>
      <w:r w:rsidR="00535BE2">
        <w:t>to be equal. This means that the power in the ad</w:t>
      </w:r>
      <w:r w:rsidR="002A07EB">
        <w:t xml:space="preserve">jacent channel can be easily </w:t>
      </w:r>
      <w:r w:rsidR="00B36957">
        <w:t>associated</w:t>
      </w:r>
      <w:r w:rsidR="002A07EB">
        <w:t xml:space="preserve"> to the wanted </w:t>
      </w:r>
      <w:r w:rsidR="00B36957">
        <w:t>carrier</w:t>
      </w:r>
      <w:r w:rsidR="002A07EB">
        <w:t xml:space="preserve"> power using ACLR and </w:t>
      </w:r>
      <w:r w:rsidR="00B36957">
        <w:t>similar for ACS when receiver performance is evaluated.</w:t>
      </w:r>
      <w:r w:rsidR="008B7DF4">
        <w:t xml:space="preserve"> Fundamentally, the ACLR and ACS definition in RAN4 assumes that wanted signal bandwidth is equal to adjacent channel bandwidth.</w:t>
      </w:r>
    </w:p>
    <w:p w14:paraId="1A49D052" w14:textId="6D77E19F" w:rsidR="00CA2A66" w:rsidRDefault="00CA2A66" w:rsidP="0062745C">
      <w:pPr>
        <w:pStyle w:val="BodyText"/>
      </w:pPr>
      <w:r>
        <w:t xml:space="preserve">However, for the case of a SBFD carrier where </w:t>
      </w:r>
      <w:r w:rsidR="00AC2DDA">
        <w:t xml:space="preserve">the </w:t>
      </w:r>
      <w:r w:rsidR="008240C2">
        <w:t>bandwidth</w:t>
      </w:r>
      <w:r w:rsidR="00AC2DDA">
        <w:t xml:space="preserve"> of the transmission slot </w:t>
      </w:r>
      <w:r w:rsidR="002F6C44">
        <w:t xml:space="preserve">(DL) </w:t>
      </w:r>
      <w:r w:rsidR="00AC2DDA">
        <w:t xml:space="preserve">may </w:t>
      </w:r>
      <w:r w:rsidR="008240C2">
        <w:t>h</w:t>
      </w:r>
      <w:r w:rsidR="00AC2DDA">
        <w:t>ave different bandwidth than the reception slot</w:t>
      </w:r>
      <w:r w:rsidR="002F6C44">
        <w:t xml:space="preserve"> (UL)</w:t>
      </w:r>
      <w:r w:rsidR="00FE25DD">
        <w:t xml:space="preserve"> a concept of extracting the interfering power level </w:t>
      </w:r>
      <w:r w:rsidR="00766BBE">
        <w:t xml:space="preserve">from the </w:t>
      </w:r>
      <w:r w:rsidR="008240C2">
        <w:t xml:space="preserve">transmitter falling </w:t>
      </w:r>
      <w:r w:rsidR="00FE25DD">
        <w:t xml:space="preserve">within the </w:t>
      </w:r>
      <w:r w:rsidR="00766BBE">
        <w:t xml:space="preserve">reception slot </w:t>
      </w:r>
      <w:r w:rsidR="00386614">
        <w:t xml:space="preserve">has </w:t>
      </w:r>
      <w:r w:rsidR="008B7DF4">
        <w:t>been</w:t>
      </w:r>
      <w:r w:rsidR="00766BBE">
        <w:t xml:space="preserve"> established.</w:t>
      </w:r>
      <w:r w:rsidR="003E17B5">
        <w:t xml:space="preserve"> For simplicity, it would be easy to assume </w:t>
      </w:r>
      <w:r w:rsidR="0025297D">
        <w:t xml:space="preserve">that emission PSD have a </w:t>
      </w:r>
      <w:r w:rsidR="00B85102">
        <w:t>flat characteristic</w:t>
      </w:r>
      <w:r w:rsidR="0025297D">
        <w:t xml:space="preserve"> over frequency. However, that’s not how </w:t>
      </w:r>
      <w:r w:rsidR="00CF491C">
        <w:t xml:space="preserve">adjacent channel emission typically behave. The emission in adjacent channel is dominated by emissions due to </w:t>
      </w:r>
      <w:r w:rsidR="00D43E7C">
        <w:t xml:space="preserve">intermodulation products. Intermodulation products typically </w:t>
      </w:r>
      <w:r w:rsidR="00B85102">
        <w:t xml:space="preserve">have a non-flat characteristic over frequency several carrier bandwidths from the wanted carrier. </w:t>
      </w:r>
    </w:p>
    <w:p w14:paraId="62BF3525" w14:textId="3DB4986F" w:rsidR="001A028B" w:rsidRDefault="001A028B" w:rsidP="0062745C">
      <w:pPr>
        <w:pStyle w:val="BodyText"/>
      </w:pPr>
      <w:r>
        <w:t xml:space="preserve">For the case </w:t>
      </w:r>
      <w:r w:rsidR="001B12B6">
        <w:t>of simplicity, an approach of assuming flat emission ha</w:t>
      </w:r>
      <w:r w:rsidR="004B2BFA">
        <w:t>s</w:t>
      </w:r>
      <w:r w:rsidR="001B12B6">
        <w:t xml:space="preserve"> been adopted for SBFD coexistence simulations. </w:t>
      </w:r>
      <w:r w:rsidR="00B04E67">
        <w:t>For future work</w:t>
      </w:r>
      <w:r w:rsidR="00687033">
        <w:t xml:space="preserve"> in RAN4 where </w:t>
      </w:r>
      <w:r w:rsidR="004D0DDB">
        <w:t>a</w:t>
      </w:r>
      <w:r w:rsidR="00550E6E">
        <w:t>symmetric</w:t>
      </w:r>
      <w:r w:rsidR="00687033">
        <w:t xml:space="preserve"> interference cases emerge</w:t>
      </w:r>
      <w:r w:rsidR="004D0DDB">
        <w:t>,</w:t>
      </w:r>
      <w:r w:rsidR="00687033">
        <w:t xml:space="preserve"> RAN4 needs to develop more accurate models</w:t>
      </w:r>
      <w:r w:rsidR="00550E6E">
        <w:t>.</w:t>
      </w:r>
    </w:p>
    <w:p w14:paraId="2ED08833" w14:textId="5B83E67E" w:rsidR="00B63CD3" w:rsidRDefault="00B63CD3" w:rsidP="0062745C">
      <w:pPr>
        <w:pStyle w:val="BodyText"/>
      </w:pPr>
      <w:r>
        <w:t xml:space="preserve">For a case where the </w:t>
      </w:r>
      <w:r w:rsidR="002B5777">
        <w:t xml:space="preserve">emission and selectivity </w:t>
      </w:r>
      <w:r w:rsidR="00821329">
        <w:t>are</w:t>
      </w:r>
      <w:r w:rsidR="002B5777">
        <w:t xml:space="preserve"> assumed to have a </w:t>
      </w:r>
      <w:r w:rsidR="00435209">
        <w:t>flat characteristic</w:t>
      </w:r>
      <w:r w:rsidR="002B5777">
        <w:t xml:space="preserve"> </w:t>
      </w:r>
      <w:r w:rsidR="00BE45A7">
        <w:t>the interference power level can be calculated by applying a bandwidth scaling</w:t>
      </w:r>
      <w:r w:rsidR="002F2B12">
        <w:t xml:space="preserve">. </w:t>
      </w:r>
    </w:p>
    <w:p w14:paraId="58B811DA" w14:textId="5448A0C2" w:rsidR="00FB2C15" w:rsidRDefault="00FB2C15" w:rsidP="0062745C">
      <w:pPr>
        <w:pStyle w:val="BodyText"/>
      </w:pPr>
      <w:r>
        <w:t xml:space="preserve">Analysing the power scaling effects with relation to ACLR assuming flat spectral power density for wanted signal and adjacent channel emission we can look at the general definition of ACLR. In general terms ACLR </w:t>
      </w:r>
      <w:r w:rsidR="001A6894">
        <w:t xml:space="preserve">can </w:t>
      </w:r>
      <w:r>
        <w:t xml:space="preserve">be defined as a ratio between wanted signal power spectral density </w:t>
      </w:r>
      <w:r w:rsidR="000A7D81">
        <w:t>(</w:t>
      </w:r>
      <w:proofErr w:type="spellStart"/>
      <w:proofErr w:type="gramStart"/>
      <w:r w:rsidR="000A7D81" w:rsidRPr="00654DA7">
        <w:rPr>
          <w:rFonts w:ascii="Cambria Math" w:hAnsi="Cambria Math"/>
          <w:i/>
          <w:iCs/>
        </w:rPr>
        <w:t>P</w:t>
      </w:r>
      <w:r w:rsidR="000A7D81" w:rsidRPr="00654DA7">
        <w:rPr>
          <w:rFonts w:ascii="Cambria Math" w:hAnsi="Cambria Math"/>
          <w:i/>
          <w:iCs/>
          <w:vertAlign w:val="subscript"/>
        </w:rPr>
        <w:t>D,tx</w:t>
      </w:r>
      <w:proofErr w:type="spellEnd"/>
      <w:proofErr w:type="gramEnd"/>
      <w:r w:rsidR="000A7D81">
        <w:t xml:space="preserve">) </w:t>
      </w:r>
      <w:r>
        <w:t xml:space="preserve">and adjacent channel power spectral density </w:t>
      </w:r>
      <w:r w:rsidR="000A7D81">
        <w:t>(</w:t>
      </w:r>
      <w:proofErr w:type="spellStart"/>
      <w:r w:rsidR="000A7D81" w:rsidRPr="0010608E">
        <w:rPr>
          <w:rFonts w:ascii="Cambria Math" w:hAnsi="Cambria Math"/>
          <w:i/>
          <w:iCs/>
        </w:rPr>
        <w:t>P</w:t>
      </w:r>
      <w:r w:rsidR="000A7D81" w:rsidRPr="0010608E">
        <w:rPr>
          <w:rFonts w:ascii="Cambria Math" w:hAnsi="Cambria Math"/>
          <w:i/>
          <w:iCs/>
          <w:vertAlign w:val="subscript"/>
        </w:rPr>
        <w:t>D,rx</w:t>
      </w:r>
      <w:proofErr w:type="spellEnd"/>
      <w:r w:rsidR="000A7D81">
        <w:t xml:space="preserve">) in linear scale </w:t>
      </w:r>
      <w:r>
        <w:t>as:</w:t>
      </w:r>
    </w:p>
    <w:p w14:paraId="1EEC7B7D" w14:textId="67FB182F" w:rsidR="00FB2C15" w:rsidRDefault="00FB2C15" w:rsidP="0062745C">
      <w:pPr>
        <w:pStyle w:val="BodyText"/>
      </w:pPr>
      <m:oMathPara>
        <m:oMath>
          <m:r>
            <w:rPr>
              <w:rFonts w:ascii="Cambria Math" w:hAnsi="Cambria Math"/>
            </w:rPr>
            <m:t>ACLR=</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D,tx</m:t>
                  </m:r>
                </m:sub>
              </m:sSub>
            </m:num>
            <m:den>
              <m:sSub>
                <m:sSubPr>
                  <m:ctrlPr>
                    <w:rPr>
                      <w:rFonts w:ascii="Cambria Math" w:hAnsi="Cambria Math"/>
                      <w:i/>
                    </w:rPr>
                  </m:ctrlPr>
                </m:sSubPr>
                <m:e>
                  <m:r>
                    <w:rPr>
                      <w:rFonts w:ascii="Cambria Math" w:hAnsi="Cambria Math"/>
                    </w:rPr>
                    <m:t>P</m:t>
                  </m:r>
                </m:e>
                <m:sub>
                  <m:r>
                    <w:rPr>
                      <w:rFonts w:ascii="Cambria Math" w:hAnsi="Cambria Math"/>
                    </w:rPr>
                    <m:t>D,rx</m:t>
                  </m:r>
                </m:sub>
              </m:sSub>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tx</m:t>
                  </m:r>
                </m:sub>
              </m:sSub>
            </m:num>
            <m:den>
              <m:sSub>
                <m:sSubPr>
                  <m:ctrlPr>
                    <w:rPr>
                      <w:rFonts w:ascii="Cambria Math" w:hAnsi="Cambria Math"/>
                      <w:i/>
                    </w:rPr>
                  </m:ctrlPr>
                </m:sSubPr>
                <m:e>
                  <m:r>
                    <w:rPr>
                      <w:rFonts w:ascii="Cambria Math" w:hAnsi="Cambria Math"/>
                    </w:rPr>
                    <m:t>P</m:t>
                  </m:r>
                </m:e>
                <m:sub>
                  <m:r>
                    <w:rPr>
                      <w:rFonts w:ascii="Cambria Math" w:hAnsi="Cambria Math"/>
                    </w:rPr>
                    <m:t>rx</m:t>
                  </m:r>
                </m:sub>
              </m:sSub>
            </m:den>
          </m:f>
          <m:f>
            <m:fPr>
              <m:ctrlPr>
                <w:rPr>
                  <w:rFonts w:ascii="Cambria Math" w:hAnsi="Cambria Math"/>
                  <w:i/>
                </w:rPr>
              </m:ctrlPr>
            </m:fPr>
            <m:num>
              <m:sSub>
                <m:sSubPr>
                  <m:ctrlPr>
                    <w:rPr>
                      <w:rFonts w:ascii="Cambria Math" w:hAnsi="Cambria Math"/>
                      <w:i/>
                    </w:rPr>
                  </m:ctrlPr>
                </m:sSubPr>
                <m:e>
                  <m:r>
                    <w:rPr>
                      <w:rFonts w:ascii="Cambria Math" w:hAnsi="Cambria Math"/>
                    </w:rPr>
                    <m:t>B</m:t>
                  </m:r>
                </m:e>
                <m:sub>
                  <m:r>
                    <w:rPr>
                      <w:rFonts w:ascii="Cambria Math" w:hAnsi="Cambria Math"/>
                    </w:rPr>
                    <m:t>rx</m:t>
                  </m:r>
                </m:sub>
              </m:sSub>
            </m:num>
            <m:den>
              <m:sSub>
                <m:sSubPr>
                  <m:ctrlPr>
                    <w:rPr>
                      <w:rFonts w:ascii="Cambria Math" w:hAnsi="Cambria Math"/>
                      <w:i/>
                    </w:rPr>
                  </m:ctrlPr>
                </m:sSubPr>
                <m:e>
                  <m:r>
                    <w:rPr>
                      <w:rFonts w:ascii="Cambria Math" w:hAnsi="Cambria Math"/>
                    </w:rPr>
                    <m:t>B</m:t>
                  </m:r>
                </m:e>
                <m:sub>
                  <m:r>
                    <w:rPr>
                      <w:rFonts w:ascii="Cambria Math" w:hAnsi="Cambria Math"/>
                    </w:rPr>
                    <m:t>tx</m:t>
                  </m:r>
                </m:sub>
              </m:sSub>
            </m:den>
          </m:f>
        </m:oMath>
      </m:oMathPara>
    </w:p>
    <w:p w14:paraId="21238E1D" w14:textId="70E4443A" w:rsidR="00FB2C15" w:rsidRDefault="00FB2C15" w:rsidP="0062745C">
      <w:pPr>
        <w:pStyle w:val="BodyText"/>
      </w:pPr>
      <w:r>
        <w:t xml:space="preserve">, </w:t>
      </w:r>
      <w:r w:rsidR="000A7D81">
        <w:t xml:space="preserve">where </w:t>
      </w:r>
      <w:proofErr w:type="spellStart"/>
      <w:r w:rsidR="000A7D81" w:rsidRPr="00654DA7">
        <w:rPr>
          <w:rFonts w:ascii="Cambria Math" w:hAnsi="Cambria Math"/>
          <w:i/>
          <w:iCs/>
        </w:rPr>
        <w:t>P</w:t>
      </w:r>
      <w:r w:rsidR="000A7D81" w:rsidRPr="00654DA7">
        <w:rPr>
          <w:rFonts w:ascii="Cambria Math" w:hAnsi="Cambria Math"/>
          <w:i/>
          <w:iCs/>
          <w:vertAlign w:val="subscript"/>
        </w:rPr>
        <w:t>tx</w:t>
      </w:r>
      <w:proofErr w:type="spellEnd"/>
      <w:r w:rsidR="000A7D81">
        <w:t xml:space="preserve"> is the wanted signal power in W, </w:t>
      </w:r>
      <w:proofErr w:type="spellStart"/>
      <w:r w:rsidR="000A7D81" w:rsidRPr="00654DA7">
        <w:rPr>
          <w:rFonts w:ascii="Cambria Math" w:hAnsi="Cambria Math"/>
          <w:i/>
          <w:iCs/>
        </w:rPr>
        <w:t>B</w:t>
      </w:r>
      <w:r w:rsidR="000A7D81" w:rsidRPr="00654DA7">
        <w:rPr>
          <w:rFonts w:ascii="Cambria Math" w:hAnsi="Cambria Math"/>
          <w:i/>
          <w:iCs/>
          <w:vertAlign w:val="subscript"/>
        </w:rPr>
        <w:t>tx</w:t>
      </w:r>
      <w:proofErr w:type="spellEnd"/>
      <w:r w:rsidR="000A7D81">
        <w:t xml:space="preserve"> in the wanted signal bandwidth in Hz, </w:t>
      </w:r>
      <w:proofErr w:type="spellStart"/>
      <w:r w:rsidR="000A7D81" w:rsidRPr="00654DA7">
        <w:rPr>
          <w:rFonts w:ascii="Cambria Math" w:hAnsi="Cambria Math"/>
          <w:i/>
          <w:iCs/>
        </w:rPr>
        <w:t>P</w:t>
      </w:r>
      <w:r w:rsidR="000A7D81" w:rsidRPr="00654DA7">
        <w:rPr>
          <w:rFonts w:ascii="Cambria Math" w:hAnsi="Cambria Math"/>
          <w:i/>
          <w:iCs/>
          <w:vertAlign w:val="subscript"/>
        </w:rPr>
        <w:t>rx</w:t>
      </w:r>
      <w:proofErr w:type="spellEnd"/>
      <w:r w:rsidR="000A7D81">
        <w:t xml:space="preserve"> is the emission power level in W and </w:t>
      </w:r>
      <w:proofErr w:type="spellStart"/>
      <w:r w:rsidR="000A7D81" w:rsidRPr="00654DA7">
        <w:rPr>
          <w:rFonts w:ascii="Cambria Math" w:hAnsi="Cambria Math"/>
          <w:i/>
          <w:iCs/>
        </w:rPr>
        <w:t>B</w:t>
      </w:r>
      <w:r w:rsidR="000A7D81" w:rsidRPr="00654DA7">
        <w:rPr>
          <w:rFonts w:ascii="Cambria Math" w:hAnsi="Cambria Math"/>
          <w:i/>
          <w:iCs/>
          <w:vertAlign w:val="subscript"/>
        </w:rPr>
        <w:t>rx</w:t>
      </w:r>
      <w:proofErr w:type="spellEnd"/>
      <w:r w:rsidR="000A7D81">
        <w:t xml:space="preserve"> is the victim bandwidth in Hz. It</w:t>
      </w:r>
      <w:r>
        <w:t xml:space="preserve"> can notice that for the </w:t>
      </w:r>
      <w:r w:rsidR="000A7D81">
        <w:t xml:space="preserve">special </w:t>
      </w:r>
      <w:r>
        <w:t>case</w:t>
      </w:r>
      <w:r w:rsidR="000A7D81">
        <w:t xml:space="preserve"> when</w:t>
      </w:r>
      <w:r>
        <w:t xml:space="preserve"> </w:t>
      </w:r>
      <w:proofErr w:type="spellStart"/>
      <w:r w:rsidRPr="00654DA7">
        <w:rPr>
          <w:rFonts w:ascii="Cambria Math" w:hAnsi="Cambria Math"/>
          <w:i/>
          <w:iCs/>
        </w:rPr>
        <w:t>B</w:t>
      </w:r>
      <w:r w:rsidRPr="00654DA7">
        <w:rPr>
          <w:rFonts w:ascii="Cambria Math" w:hAnsi="Cambria Math"/>
          <w:i/>
          <w:iCs/>
          <w:vertAlign w:val="subscript"/>
        </w:rPr>
        <w:t>tx</w:t>
      </w:r>
      <w:proofErr w:type="spellEnd"/>
      <w:r w:rsidRPr="00654DA7">
        <w:rPr>
          <w:rFonts w:ascii="Cambria Math" w:hAnsi="Cambria Math"/>
          <w:i/>
          <w:iCs/>
        </w:rPr>
        <w:t>=</w:t>
      </w:r>
      <w:proofErr w:type="spellStart"/>
      <w:r w:rsidRPr="00654DA7">
        <w:rPr>
          <w:rFonts w:ascii="Cambria Math" w:hAnsi="Cambria Math"/>
          <w:i/>
          <w:iCs/>
        </w:rPr>
        <w:t>B</w:t>
      </w:r>
      <w:r w:rsidRPr="00654DA7">
        <w:rPr>
          <w:rFonts w:ascii="Cambria Math" w:hAnsi="Cambria Math"/>
          <w:i/>
          <w:iCs/>
          <w:vertAlign w:val="subscript"/>
        </w:rPr>
        <w:t>rx</w:t>
      </w:r>
      <w:proofErr w:type="spellEnd"/>
      <w:r>
        <w:t xml:space="preserve">, </w:t>
      </w:r>
      <w:r w:rsidR="000A7D81">
        <w:t>the ACLR definition reduce to a ratio between two power levels. This definition is</w:t>
      </w:r>
      <w:r>
        <w:t xml:space="preserve"> common</w:t>
      </w:r>
      <w:r w:rsidR="000A7D81">
        <w:t>ly</w:t>
      </w:r>
      <w:r>
        <w:t xml:space="preserve"> used in RAN4</w:t>
      </w:r>
      <w:r w:rsidR="000A7D81">
        <w:t xml:space="preserve"> coexistence evaluations</w:t>
      </w:r>
      <w:r>
        <w:t>.</w:t>
      </w:r>
      <w:r w:rsidR="000A7D81">
        <w:t xml:space="preserve"> </w:t>
      </w:r>
      <w:r w:rsidR="000A7D81">
        <w:lastRenderedPageBreak/>
        <w:t xml:space="preserve">However, for SBFD coexistence </w:t>
      </w:r>
      <w:r w:rsidR="00695EFA">
        <w:t>evaluation</w:t>
      </w:r>
      <w:r w:rsidR="000A7D81">
        <w:t xml:space="preserve"> it is essential to also capture situations where the aggressor bandwidth is </w:t>
      </w:r>
      <w:r w:rsidR="00695EFA">
        <w:t>different</w:t>
      </w:r>
      <w:r w:rsidR="000A7D81">
        <w:t xml:space="preserve"> to the victim bandwidth.</w:t>
      </w:r>
    </w:p>
    <w:p w14:paraId="528DABEE" w14:textId="3F2DBBA8" w:rsidR="00FB2C15" w:rsidRDefault="00FB2C15" w:rsidP="0062745C">
      <w:pPr>
        <w:pStyle w:val="BodyText"/>
      </w:pPr>
      <w:r>
        <w:t xml:space="preserve">The power level at the victim </w:t>
      </w:r>
      <w:proofErr w:type="spellStart"/>
      <w:r w:rsidRPr="00654DA7">
        <w:rPr>
          <w:rFonts w:ascii="Cambria Math" w:hAnsi="Cambria Math"/>
          <w:i/>
          <w:iCs/>
        </w:rPr>
        <w:t>P</w:t>
      </w:r>
      <w:r w:rsidRPr="00654DA7">
        <w:rPr>
          <w:rFonts w:ascii="Cambria Math" w:hAnsi="Cambria Math"/>
          <w:i/>
          <w:iCs/>
          <w:vertAlign w:val="subscript"/>
        </w:rPr>
        <w:t>rx</w:t>
      </w:r>
      <w:proofErr w:type="spellEnd"/>
      <w:r>
        <w:t xml:space="preserve"> can be calculated </w:t>
      </w:r>
      <w:r w:rsidR="000A7D81">
        <w:t xml:space="preserve">in logarithmical scale in dBm </w:t>
      </w:r>
      <w:r>
        <w:t>as:</w:t>
      </w:r>
    </w:p>
    <w:p w14:paraId="2F3E7A81" w14:textId="6A56E823" w:rsidR="00FB2C15" w:rsidRDefault="00B34461" w:rsidP="0062745C">
      <w:pPr>
        <w:pStyle w:val="BodyText"/>
      </w:pPr>
      <m:oMathPara>
        <m:oMath>
          <m:sSub>
            <m:sSubPr>
              <m:ctrlPr>
                <w:rPr>
                  <w:rFonts w:ascii="Cambria Math" w:hAnsi="Cambria Math"/>
                  <w:i/>
                </w:rPr>
              </m:ctrlPr>
            </m:sSubPr>
            <m:e>
              <m:r>
                <w:rPr>
                  <w:rFonts w:ascii="Cambria Math" w:hAnsi="Cambria Math"/>
                </w:rPr>
                <m:t>P</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-ACLR-10log</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B</m:t>
                      </m:r>
                    </m:e>
                    <m:sub>
                      <m:r>
                        <w:rPr>
                          <w:rFonts w:ascii="Cambria Math" w:hAnsi="Cambria Math"/>
                        </w:rPr>
                        <m:t>tx</m:t>
                      </m:r>
                    </m:sub>
                  </m:sSub>
                </m:num>
                <m:den>
                  <m:sSub>
                    <m:sSubPr>
                      <m:ctrlPr>
                        <w:rPr>
                          <w:rFonts w:ascii="Cambria Math" w:hAnsi="Cambria Math"/>
                          <w:i/>
                        </w:rPr>
                      </m:ctrlPr>
                    </m:sSubPr>
                    <m:e>
                      <m:r>
                        <w:rPr>
                          <w:rFonts w:ascii="Cambria Math" w:hAnsi="Cambria Math"/>
                        </w:rPr>
                        <m:t>B</m:t>
                      </m:r>
                    </m:e>
                    <m:sub>
                      <m:r>
                        <w:rPr>
                          <w:rFonts w:ascii="Cambria Math" w:hAnsi="Cambria Math"/>
                        </w:rPr>
                        <m:t>rx</m:t>
                      </m:r>
                    </m:sub>
                  </m:sSub>
                </m:den>
              </m:f>
            </m:e>
          </m:d>
        </m:oMath>
      </m:oMathPara>
    </w:p>
    <w:p w14:paraId="68265633" w14:textId="67DD4E92" w:rsidR="00E13370" w:rsidRDefault="00695EFA" w:rsidP="0062745C">
      <w:pPr>
        <w:pStyle w:val="BodyText"/>
      </w:pPr>
      <w:r>
        <w:t>At previous RAN4 it was agreed in [1] to adopt the following methodology for calculating the interference power level for two different scenarios.</w:t>
      </w:r>
      <w:r w:rsidR="00654DA7">
        <w:t xml:space="preserve"> </w:t>
      </w:r>
      <w:r w:rsidR="00494017">
        <w:t xml:space="preserve">For </w:t>
      </w:r>
      <w:r w:rsidR="00E757A3">
        <w:t>a given aggressor power level (</w:t>
      </w:r>
      <w:r w:rsidR="00E757A3" w:rsidRPr="00654DA7">
        <w:rPr>
          <w:rFonts w:ascii="Cambria Math" w:hAnsi="Cambria Math"/>
          <w:i/>
          <w:iCs/>
        </w:rPr>
        <w:t>P</w:t>
      </w:r>
      <w:r w:rsidR="00E757A3" w:rsidRPr="00654DA7">
        <w:rPr>
          <w:rFonts w:ascii="Cambria Math" w:hAnsi="Cambria Math"/>
          <w:i/>
          <w:iCs/>
          <w:vertAlign w:val="subscript"/>
        </w:rPr>
        <w:t>a</w:t>
      </w:r>
      <w:r w:rsidR="00E757A3">
        <w:t xml:space="preserve">) and </w:t>
      </w:r>
      <w:r w:rsidR="00494017">
        <w:t xml:space="preserve">ACLR </w:t>
      </w:r>
      <w:r w:rsidR="00857B78">
        <w:t>value</w:t>
      </w:r>
      <w:r w:rsidR="000D5483">
        <w:t>,</w:t>
      </w:r>
      <w:r w:rsidR="00857B78">
        <w:t xml:space="preserve"> </w:t>
      </w:r>
      <w:r w:rsidR="00494017">
        <w:t xml:space="preserve">the interference power level can be </w:t>
      </w:r>
      <w:r w:rsidR="00302958">
        <w:t>calculated as:</w:t>
      </w:r>
      <w:r w:rsidR="00640D50">
        <w:t xml:space="preserve"> </w:t>
      </w:r>
    </w:p>
    <w:p w14:paraId="77871AA3" w14:textId="3F3A4120" w:rsidR="00695EFA" w:rsidRDefault="00695EFA" w:rsidP="00695EFA">
      <w:pPr>
        <w:pStyle w:val="BodyText"/>
        <w:numPr>
          <w:ilvl w:val="0"/>
          <w:numId w:val="15"/>
        </w:numPr>
      </w:pPr>
      <w:r>
        <w:t xml:space="preserve">For the case when </w:t>
      </w:r>
      <w:r w:rsidRPr="00654DA7">
        <w:rPr>
          <w:rFonts w:ascii="Cambria Math" w:hAnsi="Cambria Math"/>
          <w:i/>
          <w:iCs/>
        </w:rPr>
        <w:t>B</w:t>
      </w:r>
      <w:r w:rsidRPr="00654DA7">
        <w:rPr>
          <w:rFonts w:ascii="Cambria Math" w:hAnsi="Cambria Math"/>
          <w:i/>
          <w:iCs/>
          <w:vertAlign w:val="subscript"/>
        </w:rPr>
        <w:t>a</w:t>
      </w:r>
      <w:r w:rsidRPr="00654DA7">
        <w:rPr>
          <w:rFonts w:ascii="Cambria Math" w:hAnsi="Cambria Math"/>
          <w:i/>
          <w:iCs/>
        </w:rPr>
        <w:t>&lt;</w:t>
      </w:r>
      <w:proofErr w:type="spellStart"/>
      <w:r w:rsidRPr="00654DA7">
        <w:rPr>
          <w:rFonts w:ascii="Cambria Math" w:hAnsi="Cambria Math"/>
          <w:i/>
          <w:iCs/>
        </w:rPr>
        <w:t>B</w:t>
      </w:r>
      <w:r w:rsidRPr="00654DA7">
        <w:rPr>
          <w:rFonts w:ascii="Cambria Math" w:hAnsi="Cambria Math"/>
          <w:i/>
          <w:iCs/>
          <w:vertAlign w:val="subscript"/>
        </w:rPr>
        <w:t>v</w:t>
      </w:r>
      <w:proofErr w:type="spellEnd"/>
      <w:r w:rsidR="00A35B62">
        <w:t xml:space="preserve">, </w:t>
      </w:r>
      <w:r w:rsidR="00E757A3">
        <w:t xml:space="preserve">e.g., the case for </w:t>
      </w:r>
      <w:r w:rsidR="00A35B62">
        <w:t>SBFD</w:t>
      </w:r>
      <w:r>
        <w:t xml:space="preserve"> </w:t>
      </w:r>
      <w:r w:rsidR="00E757A3">
        <w:t>interfering with TDD, the power at the victim is calculate</w:t>
      </w:r>
      <w:r w:rsidR="000351C8">
        <w:t>d</w:t>
      </w:r>
      <w:r w:rsidR="00E757A3">
        <w:t xml:space="preserve"> as</w:t>
      </w:r>
      <w: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v</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a</m:t>
            </m:r>
          </m:sub>
        </m:sSub>
        <m:r>
          <w:rPr>
            <w:rFonts w:ascii="Cambria Math" w:eastAsiaTheme="minorEastAsia" w:hAnsi="Cambria Math"/>
            <w:lang w:eastAsia="zh-CN"/>
          </w:rPr>
          <m:t>-ACLR</m:t>
        </m:r>
      </m:oMath>
    </w:p>
    <w:p w14:paraId="261905E9" w14:textId="068B6858" w:rsidR="00C40594" w:rsidRPr="00E757A3" w:rsidRDefault="00695EFA" w:rsidP="00654DA7">
      <w:pPr>
        <w:pStyle w:val="BodyText"/>
        <w:numPr>
          <w:ilvl w:val="0"/>
          <w:numId w:val="15"/>
        </w:numPr>
      </w:pPr>
      <w:r>
        <w:t xml:space="preserve">For the case when </w:t>
      </w:r>
      <w:r w:rsidRPr="00654DA7">
        <w:rPr>
          <w:rFonts w:ascii="Cambria Math" w:hAnsi="Cambria Math"/>
          <w:i/>
          <w:iCs/>
        </w:rPr>
        <w:t>B</w:t>
      </w:r>
      <w:r w:rsidRPr="00654DA7">
        <w:rPr>
          <w:rFonts w:ascii="Cambria Math" w:hAnsi="Cambria Math"/>
          <w:i/>
          <w:iCs/>
          <w:vertAlign w:val="subscript"/>
        </w:rPr>
        <w:t>a</w:t>
      </w:r>
      <w:r w:rsidRPr="00654DA7">
        <w:rPr>
          <w:rFonts w:ascii="Cambria Math" w:hAnsi="Cambria Math"/>
          <w:i/>
          <w:iCs/>
        </w:rPr>
        <w:t>&gt;</w:t>
      </w:r>
      <w:proofErr w:type="spellStart"/>
      <w:r w:rsidRPr="00654DA7">
        <w:rPr>
          <w:rFonts w:ascii="Cambria Math" w:hAnsi="Cambria Math"/>
          <w:i/>
          <w:iCs/>
        </w:rPr>
        <w:t>B</w:t>
      </w:r>
      <w:r w:rsidRPr="00654DA7">
        <w:rPr>
          <w:rFonts w:ascii="Cambria Math" w:hAnsi="Cambria Math"/>
          <w:i/>
          <w:iCs/>
          <w:vertAlign w:val="subscript"/>
        </w:rPr>
        <w:t>v</w:t>
      </w:r>
      <w:proofErr w:type="spellEnd"/>
      <w:r w:rsidR="007A10ED">
        <w:t xml:space="preserve">, </w:t>
      </w:r>
      <w:r w:rsidR="004B2115">
        <w:t>e.g.,</w:t>
      </w:r>
      <w:r w:rsidR="007A10ED">
        <w:t xml:space="preserve"> the case for legacy TDD to SBFD interference</w:t>
      </w:r>
      <w:r w:rsidR="001E1D55">
        <w:t>, the power a</w:t>
      </w:r>
      <w:r w:rsidR="00C40594">
        <w:t>t the victim is calculated as:</w:t>
      </w:r>
      <w:r>
        <w:rPr>
          <w:rFonts w:ascii="Cambria Math" w:eastAsiaTheme="minorEastAsia" w:hAnsi="Cambria Math"/>
          <w:i/>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v</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a</m:t>
            </m:r>
          </m:sub>
        </m:sSub>
        <m:r>
          <w:rPr>
            <w:rFonts w:ascii="Cambria Math" w:eastAsiaTheme="minorEastAsia" w:hAnsi="Cambria Math"/>
            <w:lang w:eastAsia="zh-CN"/>
          </w:rPr>
          <m:t>-ACLR-10log</m:t>
        </m:r>
        <m:d>
          <m:dPr>
            <m:ctrlPr>
              <w:rPr>
                <w:rFonts w:ascii="Cambria Math" w:eastAsiaTheme="minorEastAsia" w:hAnsi="Cambria Math"/>
                <w:i/>
                <w:lang w:eastAsia="zh-CN"/>
              </w:rPr>
            </m:ctrlPr>
          </m:dPr>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a</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v</m:t>
                    </m:r>
                  </m:sub>
                </m:sSub>
              </m:den>
            </m:f>
          </m:e>
        </m:d>
      </m:oMath>
    </w:p>
    <w:p w14:paraId="32BEE1B3" w14:textId="59D7317F" w:rsidR="00654DA7" w:rsidRDefault="00695EFA" w:rsidP="003E588F">
      <w:pPr>
        <w:pStyle w:val="BodyText"/>
      </w:pPr>
      <w:r>
        <w:t>In our view we think that power scaling should be applied for both cases to extract correct power level assuming flat emission</w:t>
      </w:r>
      <w:r w:rsidR="00654DA7">
        <w:t xml:space="preserve"> if bandwidths are non-equal</w:t>
      </w:r>
      <w:r>
        <w:t>.</w:t>
      </w:r>
      <w:r w:rsidR="00654DA7">
        <w:t xml:space="preserve"> With the suggested approach for calculation of interference power for case 1, the calculated power level will be too low.</w:t>
      </w:r>
      <w:r w:rsidR="0010608E">
        <w:t xml:space="preserve"> </w:t>
      </w:r>
      <w:r w:rsidR="00E517D9">
        <w:t xml:space="preserve">Also, we know that emission will roll-off, it will not </w:t>
      </w:r>
      <w:r w:rsidR="00CE3431">
        <w:t xml:space="preserve">just be zero. </w:t>
      </w:r>
      <w:r w:rsidR="0010608E">
        <w:t>This assumption would go against the fundamental assumption of flat emission outside first adjacent channel.</w:t>
      </w:r>
      <w:r w:rsidR="00CE3431">
        <w:t xml:space="preserve"> It would be better to have a </w:t>
      </w:r>
      <w:r w:rsidR="00316D7F">
        <w:t>consistent</w:t>
      </w:r>
      <w:r w:rsidR="00CE3431">
        <w:t xml:space="preserve"> model for </w:t>
      </w:r>
      <w:r w:rsidR="00316D7F">
        <w:t xml:space="preserve">adjacent channel emission that can be adopted for all cases where scaling is required. </w:t>
      </w:r>
      <w:r w:rsidR="0010608E">
        <w:t xml:space="preserve"> </w:t>
      </w:r>
      <w:r w:rsidR="00654DA7">
        <w:t xml:space="preserve">  </w:t>
      </w:r>
    </w:p>
    <w:p w14:paraId="257422FB" w14:textId="323894FC" w:rsidR="00654DA7" w:rsidRDefault="008C5F20" w:rsidP="003E588F">
      <w:pPr>
        <w:pStyle w:val="BodyText"/>
      </w:pPr>
      <w:r>
        <w:t xml:space="preserve">In RAN1 </w:t>
      </w:r>
      <w:r w:rsidR="00665474">
        <w:t xml:space="preserve">power scaling is adopted when interference power levels are </w:t>
      </w:r>
      <w:r w:rsidR="00B614DB">
        <w:t xml:space="preserve">derived. </w:t>
      </w:r>
      <w:r w:rsidR="00FC73DF">
        <w:t>Since RAN4</w:t>
      </w:r>
      <w:r w:rsidR="00863A92">
        <w:t xml:space="preserve"> have </w:t>
      </w:r>
      <w:r w:rsidR="00897E9A">
        <w:t xml:space="preserve">not defined a model for </w:t>
      </w:r>
      <w:r w:rsidR="00807894">
        <w:t>adjacent</w:t>
      </w:r>
      <w:r w:rsidR="00897E9A">
        <w:t xml:space="preserve"> channel emission</w:t>
      </w:r>
      <w:r w:rsidR="00807894">
        <w:t xml:space="preserve"> and instead adopted flat characteristics it would be good to align with RAN1 assumptions. </w:t>
      </w:r>
    </w:p>
    <w:p w14:paraId="576A24AC" w14:textId="77777777" w:rsidR="00662F7B" w:rsidRDefault="00662F7B" w:rsidP="003E588F">
      <w:pPr>
        <w:pStyle w:val="BodyText"/>
      </w:pPr>
    </w:p>
    <w:p w14:paraId="2216DFF7" w14:textId="707DE9D8" w:rsidR="00695EFA" w:rsidRDefault="00695EFA" w:rsidP="003E588F">
      <w:pPr>
        <w:pStyle w:val="BodyText"/>
      </w:pPr>
      <w:r w:rsidRPr="00654DA7">
        <w:rPr>
          <w:b/>
          <w:bCs/>
          <w:u w:val="single"/>
        </w:rPr>
        <w:t xml:space="preserve">Proposal </w:t>
      </w:r>
      <w:r w:rsidR="00B11A72">
        <w:rPr>
          <w:b/>
          <w:bCs/>
          <w:u w:val="single"/>
        </w:rPr>
        <w:t>1</w:t>
      </w:r>
      <w:r w:rsidRPr="00654DA7">
        <w:rPr>
          <w:b/>
          <w:bCs/>
          <w:u w:val="single"/>
        </w:rPr>
        <w:t>:</w:t>
      </w:r>
      <w:r>
        <w:t xml:space="preserve"> Apply carrier configuration power scaling </w:t>
      </w:r>
      <w:r w:rsidR="00654DA7">
        <w:t>with bandwidth for all interference situations when ACLR and ACS is used</w:t>
      </w:r>
      <w:r w:rsidR="00E14799">
        <w:t>,</w:t>
      </w:r>
      <w:r w:rsidR="00654DA7">
        <w:t xml:space="preserve"> to calculate interferer </w:t>
      </w:r>
      <w:r w:rsidR="000C2F60">
        <w:t xml:space="preserve">levels </w:t>
      </w:r>
      <w:r w:rsidR="00B11A72">
        <w:t>consistently</w:t>
      </w:r>
      <w:r w:rsidR="00654DA7">
        <w:t xml:space="preserve">. </w:t>
      </w:r>
    </w:p>
    <w:p w14:paraId="78E65582" w14:textId="77777777" w:rsidR="00D85DD6" w:rsidRDefault="00D85DD6" w:rsidP="0062745C">
      <w:pPr>
        <w:pStyle w:val="BodyText"/>
      </w:pPr>
    </w:p>
    <w:p w14:paraId="107CCE64" w14:textId="1D70AA43" w:rsidR="00B8251B" w:rsidRPr="008240C2" w:rsidRDefault="00B8251B" w:rsidP="00B8251B">
      <w:pPr>
        <w:pStyle w:val="BodyText"/>
        <w:numPr>
          <w:ilvl w:val="1"/>
          <w:numId w:val="5"/>
        </w:numPr>
        <w:ind w:hanging="720"/>
        <w:rPr>
          <w:rFonts w:ascii="Arial" w:hAnsi="Arial" w:cs="Arial"/>
        </w:rPr>
      </w:pPr>
      <w:r>
        <w:rPr>
          <w:rFonts w:ascii="Arial" w:hAnsi="Arial" w:cs="Arial"/>
        </w:rPr>
        <w:t>BS ACS levels</w:t>
      </w:r>
    </w:p>
    <w:p w14:paraId="2CD90F92" w14:textId="1E814190" w:rsidR="00F80453" w:rsidRPr="00F80453" w:rsidRDefault="00F80453" w:rsidP="00F80453">
      <w:pPr>
        <w:rPr>
          <w:rFonts w:eastAsia="SimSun"/>
          <w:lang w:eastAsia="zh-CN"/>
        </w:rPr>
      </w:pPr>
      <w:r w:rsidRPr="00F80453">
        <w:rPr>
          <w:rFonts w:eastAsia="SimSun"/>
          <w:lang w:eastAsia="zh-CN"/>
        </w:rPr>
        <w:t xml:space="preserve">Minimum conducted requirement is defined at the </w:t>
      </w:r>
      <w:r w:rsidRPr="001B3166">
        <w:rPr>
          <w:rFonts w:eastAsia="SimSun"/>
          <w:lang w:eastAsia="zh-CN"/>
        </w:rPr>
        <w:t>antenna connector</w:t>
      </w:r>
      <w:r w:rsidRPr="00F80453">
        <w:rPr>
          <w:rFonts w:eastAsia="SimSun"/>
          <w:lang w:eastAsia="zh-CN"/>
        </w:rPr>
        <w:t xml:space="preserve"> for </w:t>
      </w:r>
      <w:r w:rsidRPr="001B3166">
        <w:rPr>
          <w:rFonts w:eastAsia="SimSun"/>
          <w:lang w:eastAsia="zh-CN"/>
        </w:rPr>
        <w:t>BS type 1-C</w:t>
      </w:r>
      <w:r w:rsidRPr="00F80453">
        <w:rPr>
          <w:rFonts w:eastAsia="SimSun"/>
          <w:lang w:eastAsia="zh-CN"/>
        </w:rPr>
        <w:t xml:space="preserve"> and at the </w:t>
      </w:r>
      <w:r w:rsidRPr="001B3166">
        <w:rPr>
          <w:rFonts w:eastAsia="SimSun"/>
          <w:lang w:eastAsia="zh-CN"/>
        </w:rPr>
        <w:t>TAB connector</w:t>
      </w:r>
      <w:r w:rsidRPr="00F80453">
        <w:rPr>
          <w:rFonts w:eastAsia="SimSun"/>
          <w:lang w:eastAsia="zh-CN"/>
        </w:rPr>
        <w:t xml:space="preserve"> for </w:t>
      </w:r>
      <w:r w:rsidRPr="001B3166">
        <w:rPr>
          <w:rFonts w:eastAsia="SimSun"/>
          <w:lang w:eastAsia="zh-CN"/>
        </w:rPr>
        <w:t>BS type 1-H</w:t>
      </w:r>
      <w:r>
        <w:rPr>
          <w:rFonts w:eastAsia="SimSun"/>
          <w:lang w:eastAsia="zh-CN"/>
        </w:rPr>
        <w:t xml:space="preserve"> as listed in Table 2.2-1. </w:t>
      </w:r>
    </w:p>
    <w:p w14:paraId="1E372F01" w14:textId="6C488B2A" w:rsidR="00F80453" w:rsidRPr="00F95B02" w:rsidRDefault="00F80453" w:rsidP="00F80453">
      <w:pPr>
        <w:pStyle w:val="TH"/>
        <w:rPr>
          <w:rFonts w:eastAsia="SimSun"/>
          <w:lang w:eastAsia="zh-CN"/>
        </w:rPr>
      </w:pPr>
      <w:r w:rsidRPr="00F95B02">
        <w:t xml:space="preserve">Table </w:t>
      </w:r>
      <w:r>
        <w:rPr>
          <w:rFonts w:eastAsia="SimSun"/>
          <w:lang w:eastAsia="zh-CN"/>
        </w:rPr>
        <w:t>2</w:t>
      </w:r>
      <w:r w:rsidRPr="00F95B02">
        <w:rPr>
          <w:rFonts w:eastAsia="SimSun"/>
          <w:lang w:eastAsia="zh-CN"/>
        </w:rPr>
        <w:t>.2</w:t>
      </w:r>
      <w:r w:rsidRPr="00F95B02">
        <w:t>-</w:t>
      </w:r>
      <w:r w:rsidRPr="00F95B02">
        <w:rPr>
          <w:rFonts w:eastAsia="SimSun"/>
          <w:lang w:eastAsia="zh-CN"/>
        </w:rPr>
        <w:t>1</w:t>
      </w:r>
      <w:r w:rsidRPr="00F95B02">
        <w:t>: Base station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3"/>
        <w:gridCol w:w="2297"/>
        <w:gridCol w:w="2531"/>
      </w:tblGrid>
      <w:tr w:rsidR="00F80453" w:rsidRPr="00F95B02" w14:paraId="26E2E8ED" w14:textId="77777777" w:rsidTr="001B3166">
        <w:trPr>
          <w:cantSplit/>
          <w:jc w:val="center"/>
        </w:trPr>
        <w:tc>
          <w:tcPr>
            <w:tcW w:w="0" w:type="auto"/>
            <w:tcBorders>
              <w:top w:val="single" w:sz="4" w:space="0" w:color="auto"/>
              <w:left w:val="single" w:sz="4" w:space="0" w:color="auto"/>
              <w:bottom w:val="single" w:sz="4" w:space="0" w:color="auto"/>
              <w:right w:val="single" w:sz="4" w:space="0" w:color="auto"/>
            </w:tcBorders>
          </w:tcPr>
          <w:p w14:paraId="5FDCD50C" w14:textId="77777777" w:rsidR="00236C17" w:rsidRDefault="00F80453" w:rsidP="00A86F9F">
            <w:pPr>
              <w:pStyle w:val="TAH"/>
              <w:tabs>
                <w:tab w:val="left" w:pos="540"/>
                <w:tab w:val="left" w:pos="1260"/>
                <w:tab w:val="left" w:pos="1800"/>
              </w:tabs>
              <w:rPr>
                <w:iCs/>
              </w:rPr>
            </w:pPr>
            <w:r w:rsidRPr="001B3166">
              <w:rPr>
                <w:iCs/>
              </w:rPr>
              <w:t>BS channel bandwidth</w:t>
            </w:r>
            <w:r w:rsidRPr="00125C3E">
              <w:rPr>
                <w:iCs/>
              </w:rPr>
              <w:t xml:space="preserve"> of the lowest/</w:t>
            </w:r>
            <w:r w:rsidRPr="001B3166">
              <w:rPr>
                <w:iCs/>
              </w:rPr>
              <w:t>highest carrier</w:t>
            </w:r>
            <w:r w:rsidRPr="00125C3E">
              <w:rPr>
                <w:iCs/>
              </w:rPr>
              <w:t xml:space="preserve"> received </w:t>
            </w:r>
          </w:p>
          <w:p w14:paraId="46130078" w14:textId="135FDE38" w:rsidR="00F80453" w:rsidRPr="00125C3E" w:rsidRDefault="00F80453" w:rsidP="00A86F9F">
            <w:pPr>
              <w:pStyle w:val="TAH"/>
              <w:tabs>
                <w:tab w:val="left" w:pos="540"/>
                <w:tab w:val="left" w:pos="1260"/>
                <w:tab w:val="left" w:pos="1800"/>
              </w:tabs>
              <w:rPr>
                <w:iCs/>
              </w:rPr>
            </w:pPr>
            <w:r w:rsidRPr="00125C3E">
              <w:rPr>
                <w:iCs/>
              </w:rPr>
              <w:t>(MHz)</w:t>
            </w:r>
          </w:p>
        </w:tc>
        <w:tc>
          <w:tcPr>
            <w:tcW w:w="0" w:type="auto"/>
            <w:tcBorders>
              <w:top w:val="single" w:sz="4" w:space="0" w:color="auto"/>
              <w:left w:val="single" w:sz="4" w:space="0" w:color="auto"/>
              <w:bottom w:val="single" w:sz="4" w:space="0" w:color="auto"/>
              <w:right w:val="single" w:sz="4" w:space="0" w:color="auto"/>
            </w:tcBorders>
            <w:hideMark/>
          </w:tcPr>
          <w:p w14:paraId="51453FCE" w14:textId="77777777" w:rsidR="00236C17" w:rsidRDefault="00F80453" w:rsidP="00A86F9F">
            <w:pPr>
              <w:pStyle w:val="TAH"/>
              <w:tabs>
                <w:tab w:val="left" w:pos="540"/>
                <w:tab w:val="left" w:pos="1260"/>
                <w:tab w:val="left" w:pos="1800"/>
              </w:tabs>
              <w:rPr>
                <w:iCs/>
              </w:rPr>
            </w:pPr>
            <w:r w:rsidRPr="00125C3E">
              <w:rPr>
                <w:iCs/>
              </w:rPr>
              <w:t xml:space="preserve">Wanted signal mean power </w:t>
            </w:r>
          </w:p>
          <w:p w14:paraId="6205E3E4" w14:textId="26742892" w:rsidR="00F80453" w:rsidRPr="00125C3E" w:rsidRDefault="00F80453" w:rsidP="00A86F9F">
            <w:pPr>
              <w:pStyle w:val="TAH"/>
              <w:tabs>
                <w:tab w:val="left" w:pos="540"/>
                <w:tab w:val="left" w:pos="1260"/>
                <w:tab w:val="left" w:pos="1800"/>
              </w:tabs>
              <w:rPr>
                <w:iCs/>
                <w:lang w:eastAsia="ja-JP"/>
              </w:rPr>
            </w:pPr>
            <w:r w:rsidRPr="00125C3E">
              <w:rPr>
                <w:iCs/>
              </w:rPr>
              <w:t>(dBm)</w:t>
            </w:r>
          </w:p>
        </w:tc>
        <w:tc>
          <w:tcPr>
            <w:tcW w:w="0" w:type="auto"/>
            <w:tcBorders>
              <w:top w:val="single" w:sz="4" w:space="0" w:color="auto"/>
              <w:left w:val="single" w:sz="4" w:space="0" w:color="auto"/>
              <w:bottom w:val="single" w:sz="4" w:space="0" w:color="auto"/>
              <w:right w:val="single" w:sz="4" w:space="0" w:color="auto"/>
            </w:tcBorders>
            <w:hideMark/>
          </w:tcPr>
          <w:p w14:paraId="1B6EB769" w14:textId="77777777" w:rsidR="00236C17" w:rsidRDefault="00F80453" w:rsidP="00A86F9F">
            <w:pPr>
              <w:pStyle w:val="TAH"/>
              <w:tabs>
                <w:tab w:val="left" w:pos="540"/>
                <w:tab w:val="left" w:pos="1260"/>
                <w:tab w:val="left" w:pos="1800"/>
              </w:tabs>
              <w:rPr>
                <w:rFonts w:cs="Arial"/>
                <w:iCs/>
              </w:rPr>
            </w:pPr>
            <w:r w:rsidRPr="00125C3E">
              <w:rPr>
                <w:rFonts w:cs="Arial"/>
                <w:iCs/>
              </w:rPr>
              <w:t xml:space="preserve">Interfering signal mean power </w:t>
            </w:r>
          </w:p>
          <w:p w14:paraId="17049C0A" w14:textId="59D354F2" w:rsidR="00F80453" w:rsidRPr="00125C3E" w:rsidRDefault="00F80453" w:rsidP="00A86F9F">
            <w:pPr>
              <w:pStyle w:val="TAH"/>
              <w:tabs>
                <w:tab w:val="left" w:pos="540"/>
                <w:tab w:val="left" w:pos="1260"/>
                <w:tab w:val="left" w:pos="1800"/>
              </w:tabs>
              <w:rPr>
                <w:iCs/>
                <w:lang w:eastAsia="ja-JP"/>
              </w:rPr>
            </w:pPr>
            <w:r w:rsidRPr="00125C3E">
              <w:rPr>
                <w:rFonts w:cs="Arial"/>
                <w:iCs/>
              </w:rPr>
              <w:t>(dBm)</w:t>
            </w:r>
          </w:p>
        </w:tc>
      </w:tr>
      <w:tr w:rsidR="00F80453" w:rsidRPr="00F95B02" w14:paraId="026BE638" w14:textId="77777777" w:rsidTr="001B3166">
        <w:trPr>
          <w:cantSplit/>
          <w:jc w:val="center"/>
        </w:trPr>
        <w:tc>
          <w:tcPr>
            <w:tcW w:w="0" w:type="auto"/>
            <w:tcBorders>
              <w:top w:val="single" w:sz="4" w:space="0" w:color="auto"/>
              <w:left w:val="single" w:sz="4" w:space="0" w:color="auto"/>
              <w:bottom w:val="single" w:sz="4" w:space="0" w:color="auto"/>
              <w:right w:val="single" w:sz="4" w:space="0" w:color="auto"/>
            </w:tcBorders>
          </w:tcPr>
          <w:p w14:paraId="6A0E95E6" w14:textId="13A76CC2" w:rsidR="00F80453" w:rsidRPr="00125C3E" w:rsidRDefault="00F80453" w:rsidP="00A86F9F">
            <w:pPr>
              <w:pStyle w:val="TAC"/>
              <w:tabs>
                <w:tab w:val="left" w:pos="540"/>
                <w:tab w:val="left" w:pos="1260"/>
                <w:tab w:val="left" w:pos="1800"/>
              </w:tabs>
              <w:rPr>
                <w:rFonts w:eastAsia="SimSun"/>
                <w:iCs/>
                <w:lang w:eastAsia="zh-CN"/>
              </w:rPr>
            </w:pPr>
            <w:r w:rsidRPr="00125C3E">
              <w:rPr>
                <w:iCs/>
                <w:lang w:eastAsia="zh-CN"/>
              </w:rPr>
              <w:t xml:space="preserve">5, 10, 15, 20, </w:t>
            </w:r>
            <w:r w:rsidRPr="00125C3E">
              <w:rPr>
                <w:iCs/>
                <w:lang w:eastAsia="zh-CN"/>
              </w:rPr>
              <w:br/>
              <w:t xml:space="preserve">25, 30, 35, 40, 45, 50, 60, 70, 80, 90, 100  </w:t>
            </w:r>
            <w:r w:rsidRPr="00125C3E">
              <w:rPr>
                <w:iCs/>
                <w:lang w:eastAsia="zh-CN"/>
              </w:rPr>
              <w:br/>
            </w:r>
          </w:p>
        </w:tc>
        <w:tc>
          <w:tcPr>
            <w:tcW w:w="0" w:type="auto"/>
            <w:tcBorders>
              <w:top w:val="single" w:sz="4" w:space="0" w:color="auto"/>
              <w:left w:val="single" w:sz="4" w:space="0" w:color="auto"/>
              <w:bottom w:val="single" w:sz="4" w:space="0" w:color="auto"/>
              <w:right w:val="single" w:sz="4" w:space="0" w:color="auto"/>
            </w:tcBorders>
            <w:hideMark/>
          </w:tcPr>
          <w:p w14:paraId="4C999589" w14:textId="77777777" w:rsidR="00F80453" w:rsidRPr="00125C3E" w:rsidRDefault="00F80453" w:rsidP="00A86F9F">
            <w:pPr>
              <w:pStyle w:val="TAC"/>
              <w:tabs>
                <w:tab w:val="left" w:pos="540"/>
                <w:tab w:val="left" w:pos="1260"/>
                <w:tab w:val="left" w:pos="1800"/>
              </w:tabs>
              <w:rPr>
                <w:iCs/>
                <w:lang w:eastAsia="ja-JP"/>
              </w:rPr>
            </w:pPr>
            <w:r w:rsidRPr="00125C3E">
              <w:rPr>
                <w:rFonts w:cs="Arial"/>
                <w:iCs/>
              </w:rPr>
              <w:t>P</w:t>
            </w:r>
            <w:r w:rsidRPr="00125C3E">
              <w:rPr>
                <w:rFonts w:cs="Arial"/>
                <w:iCs/>
                <w:vertAlign w:val="subscript"/>
              </w:rPr>
              <w:t>REFSENS</w:t>
            </w:r>
            <w:r w:rsidRPr="00125C3E">
              <w:rPr>
                <w:iCs/>
              </w:rPr>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3B0A81B6" w14:textId="77777777" w:rsidR="00F80453" w:rsidRPr="00125C3E" w:rsidRDefault="00F80453" w:rsidP="00A86F9F">
            <w:pPr>
              <w:pStyle w:val="TAC"/>
              <w:tabs>
                <w:tab w:val="left" w:pos="540"/>
                <w:tab w:val="left" w:pos="1260"/>
                <w:tab w:val="left" w:pos="1800"/>
              </w:tabs>
              <w:rPr>
                <w:rFonts w:eastAsia="SimSun"/>
                <w:iCs/>
                <w:lang w:eastAsia="zh-CN"/>
              </w:rPr>
            </w:pPr>
            <w:r w:rsidRPr="00125C3E">
              <w:rPr>
                <w:rFonts w:eastAsia="SimSun"/>
                <w:iCs/>
                <w:lang w:eastAsia="zh-CN"/>
              </w:rPr>
              <w:t>Wide Area BS: -52</w:t>
            </w:r>
          </w:p>
          <w:p w14:paraId="1D1EEDE6" w14:textId="77777777" w:rsidR="00F80453" w:rsidRPr="00125C3E" w:rsidRDefault="00F80453" w:rsidP="00A86F9F">
            <w:pPr>
              <w:pStyle w:val="TAC"/>
              <w:tabs>
                <w:tab w:val="left" w:pos="540"/>
                <w:tab w:val="left" w:pos="1260"/>
                <w:tab w:val="left" w:pos="1800"/>
              </w:tabs>
              <w:rPr>
                <w:rFonts w:eastAsia="SimSun"/>
                <w:iCs/>
                <w:lang w:eastAsia="zh-CN"/>
              </w:rPr>
            </w:pPr>
            <w:r w:rsidRPr="00125C3E">
              <w:rPr>
                <w:rFonts w:eastAsia="SimSun"/>
                <w:iCs/>
                <w:lang w:eastAsia="zh-CN"/>
              </w:rPr>
              <w:t>Medium Range BS: -47</w:t>
            </w:r>
          </w:p>
          <w:p w14:paraId="46994EAC" w14:textId="77777777" w:rsidR="00F80453" w:rsidRPr="00125C3E" w:rsidRDefault="00F80453" w:rsidP="00A86F9F">
            <w:pPr>
              <w:pStyle w:val="TAC"/>
              <w:tabs>
                <w:tab w:val="left" w:pos="540"/>
                <w:tab w:val="left" w:pos="1260"/>
                <w:tab w:val="left" w:pos="1800"/>
              </w:tabs>
              <w:rPr>
                <w:rFonts w:eastAsia="SimSun"/>
                <w:iCs/>
                <w:lang w:eastAsia="zh-CN"/>
              </w:rPr>
            </w:pPr>
            <w:r w:rsidRPr="00125C3E">
              <w:rPr>
                <w:rFonts w:eastAsia="SimSun"/>
                <w:iCs/>
                <w:lang w:eastAsia="zh-CN"/>
              </w:rPr>
              <w:t>Local Area BS: -44</w:t>
            </w:r>
          </w:p>
        </w:tc>
      </w:tr>
    </w:tbl>
    <w:p w14:paraId="0341491D" w14:textId="77777777" w:rsidR="00F80453" w:rsidRDefault="00F80453" w:rsidP="0062745C">
      <w:pPr>
        <w:pStyle w:val="BodyText"/>
      </w:pPr>
    </w:p>
    <w:p w14:paraId="22D4A4EB" w14:textId="77777777" w:rsidR="0018171A" w:rsidRDefault="00F80453" w:rsidP="0062745C">
      <w:pPr>
        <w:pStyle w:val="BodyText"/>
      </w:pPr>
      <w:r>
        <w:t>It can be noticed that the interference signal mean power is differentiated rather than the ACS ratio. This means that the A</w:t>
      </w:r>
      <w:r w:rsidR="00125C3E">
        <w:t>C</w:t>
      </w:r>
      <w:r>
        <w:t>S level should be kept constant (</w:t>
      </w:r>
      <w:r w:rsidR="00125C3E">
        <w:t xml:space="preserve">46 </w:t>
      </w:r>
      <w:proofErr w:type="spellStart"/>
      <w:r w:rsidR="00125C3E">
        <w:t>dBc</w:t>
      </w:r>
      <w:proofErr w:type="spellEnd"/>
      <w:r>
        <w:t>) for all BS classes</w:t>
      </w:r>
      <w:r w:rsidR="00125C3E">
        <w:t xml:space="preserve"> for simulation purposes</w:t>
      </w:r>
      <w:r>
        <w:t>.</w:t>
      </w:r>
      <w:r w:rsidR="00125C3E">
        <w:t xml:space="preserve"> The specification is created based on an interferer signal that will change over BS classes due to different noise figure assumption.</w:t>
      </w:r>
    </w:p>
    <w:p w14:paraId="50B64BD8" w14:textId="7D25810C" w:rsidR="00D85DD6" w:rsidRDefault="00125C3E" w:rsidP="0062745C">
      <w:pPr>
        <w:pStyle w:val="BodyText"/>
      </w:pPr>
      <w:r>
        <w:t xml:space="preserve">  </w:t>
      </w:r>
    </w:p>
    <w:p w14:paraId="580AF5A2" w14:textId="28C1242B" w:rsidR="00D85DD6" w:rsidRDefault="00D85DD6" w:rsidP="0062745C">
      <w:pPr>
        <w:pStyle w:val="BodyText"/>
      </w:pPr>
      <w:r w:rsidRPr="007D31B7">
        <w:rPr>
          <w:b/>
          <w:bCs/>
          <w:u w:val="single"/>
        </w:rPr>
        <w:t xml:space="preserve">Proposal </w:t>
      </w:r>
      <w:r w:rsidR="00B11A72">
        <w:rPr>
          <w:b/>
          <w:bCs/>
          <w:u w:val="single"/>
        </w:rPr>
        <w:t>2</w:t>
      </w:r>
      <w:r w:rsidRPr="007D31B7">
        <w:rPr>
          <w:b/>
          <w:bCs/>
          <w:u w:val="single"/>
        </w:rPr>
        <w:t>:</w:t>
      </w:r>
      <w:r>
        <w:t xml:space="preserve"> </w:t>
      </w:r>
      <w:r w:rsidR="001B3166">
        <w:t xml:space="preserve">For FR1 BS set ACS to 46 </w:t>
      </w:r>
      <w:proofErr w:type="spellStart"/>
      <w:r w:rsidR="001B3166">
        <w:t>dBc</w:t>
      </w:r>
      <w:proofErr w:type="spellEnd"/>
      <w:r w:rsidR="001B3166">
        <w:t xml:space="preserve"> for all BS classes. </w:t>
      </w:r>
    </w:p>
    <w:p w14:paraId="0F8900F5" w14:textId="77777777" w:rsidR="00AA7856" w:rsidRDefault="00AA7856" w:rsidP="0062745C">
      <w:pPr>
        <w:pStyle w:val="BodyText"/>
      </w:pPr>
    </w:p>
    <w:p w14:paraId="664773C2" w14:textId="02BFF9DB" w:rsidR="00EF05E9" w:rsidRPr="008240C2" w:rsidRDefault="00EF05E9" w:rsidP="00EF05E9">
      <w:pPr>
        <w:pStyle w:val="BodyText"/>
        <w:numPr>
          <w:ilvl w:val="1"/>
          <w:numId w:val="5"/>
        </w:numPr>
        <w:ind w:hanging="720"/>
        <w:rPr>
          <w:rFonts w:ascii="Arial" w:hAnsi="Arial" w:cs="Arial"/>
        </w:rPr>
      </w:pPr>
      <w:r>
        <w:rPr>
          <w:rFonts w:ascii="Arial" w:hAnsi="Arial" w:cs="Arial"/>
        </w:rPr>
        <w:t>UE transmit power control model</w:t>
      </w:r>
    </w:p>
    <w:p w14:paraId="7C562174" w14:textId="6693E82E" w:rsidR="009E2DD8" w:rsidRDefault="00943D01" w:rsidP="0062745C">
      <w:pPr>
        <w:pStyle w:val="BodyText"/>
      </w:pPr>
      <w:r>
        <w:t>Traditionally, RAN4 models</w:t>
      </w:r>
      <w:r w:rsidR="008E2235">
        <w:t xml:space="preserve"> the </w:t>
      </w:r>
      <w:r w:rsidR="0004064F">
        <w:t xml:space="preserve">required </w:t>
      </w:r>
      <w:r w:rsidR="008E2235">
        <w:t>UE transmit power</w:t>
      </w:r>
      <w:r w:rsidR="0016247E">
        <w:t xml:space="preserve"> </w:t>
      </w:r>
      <w:r w:rsidR="0004064F">
        <w:t>from</w:t>
      </w:r>
      <w:r w:rsidR="0016247E">
        <w:t xml:space="preserve"> </w:t>
      </w:r>
      <w:r w:rsidR="00055E04">
        <w:t>a link budget calculation between the BS receiver and UE transmitter.</w:t>
      </w:r>
      <w:r w:rsidR="00B34AC3">
        <w:t xml:space="preserve"> The coupling loss is ban be expressed as:</w:t>
      </w:r>
    </w:p>
    <w:p w14:paraId="1DDDEBE1" w14:textId="718E14F6" w:rsidR="00B34AC3" w:rsidRDefault="00B34461" w:rsidP="0062745C">
      <w:pPr>
        <w:pStyle w:val="BodyText"/>
      </w:pPr>
      <m:oMathPara>
        <m:oMath>
          <m:sSub>
            <m:sSubPr>
              <m:ctrlPr>
                <w:rPr>
                  <w:rFonts w:ascii="Cambria Math" w:hAnsi="Cambria Math"/>
                  <w:i/>
                </w:rPr>
              </m:ctrlPr>
            </m:sSubPr>
            <m:e>
              <m:r>
                <w:rPr>
                  <w:rFonts w:ascii="Cambria Math" w:hAnsi="Cambria Math"/>
                </w:rPr>
                <m:t>CL</m:t>
              </m:r>
            </m:e>
            <m:sub>
              <m:r>
                <w:rPr>
                  <w:rFonts w:ascii="Cambria Math" w:hAnsi="Cambria Math"/>
                </w:rPr>
                <m:t>x-ile</m:t>
              </m:r>
            </m:sub>
          </m:sSub>
          <m:r>
            <w:rPr>
              <w:rFonts w:ascii="Cambria Math" w:hAnsi="Cambria Math"/>
            </w:rPr>
            <m:t>=-</m:t>
          </m:r>
          <m:sSub>
            <m:sSubPr>
              <m:ctrlPr>
                <w:rPr>
                  <w:rFonts w:ascii="Cambria Math" w:hAnsi="Cambria Math"/>
                  <w:i/>
                </w:rPr>
              </m:ctrlPr>
            </m:sSubPr>
            <m:e>
              <m:r>
                <w:rPr>
                  <w:rFonts w:ascii="Cambria Math" w:hAnsi="Cambria Math"/>
                </w:rPr>
                <m:t>SNR</m:t>
              </m:r>
            </m:e>
            <m:sub>
              <m:r>
                <w:rPr>
                  <w:rFonts w:ascii="Cambria Math" w:hAnsi="Cambria Math"/>
                </w:rPr>
                <m:t>target</m:t>
              </m:r>
            </m:sub>
          </m:sSub>
          <m:r>
            <w:rPr>
              <w:rFonts w:ascii="Cambria Math" w:hAnsi="Cambria Math"/>
            </w:rPr>
            <m:t>+</m:t>
          </m:r>
          <m:sSub>
            <m:sSubPr>
              <m:ctrlPr>
                <w:rPr>
                  <w:rFonts w:ascii="Cambria Math" w:hAnsi="Cambria Math"/>
                  <w:i/>
                </w:rPr>
              </m:ctrlPr>
            </m:sSubPr>
            <m:e>
              <m:r>
                <w:rPr>
                  <w:rFonts w:ascii="Cambria Math" w:hAnsi="Cambria Math"/>
                </w:rPr>
                <m:t>UE</m:t>
              </m:r>
            </m:e>
            <m:sub>
              <m:r>
                <w:rPr>
                  <w:rFonts w:ascii="Cambria Math" w:hAnsi="Cambria Math"/>
                </w:rPr>
                <m:t>max,eirp</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-NF-10log</m:t>
          </m:r>
          <m:d>
            <m:dPr>
              <m:ctrlPr>
                <w:rPr>
                  <w:rFonts w:ascii="Cambria Math" w:hAnsi="Cambria Math"/>
                  <w:i/>
                </w:rPr>
              </m:ctrlPr>
            </m:dPr>
            <m:e>
              <m:r>
                <w:rPr>
                  <w:rFonts w:ascii="Cambria Math" w:hAnsi="Cambria Math"/>
                </w:rPr>
                <m:t>B</m:t>
              </m:r>
            </m:e>
          </m:d>
        </m:oMath>
      </m:oMathPara>
    </w:p>
    <w:p w14:paraId="414C33DD" w14:textId="3B6B4C70" w:rsidR="00B04777" w:rsidRDefault="00676F81" w:rsidP="0062745C">
      <w:pPr>
        <w:pStyle w:val="BodyText"/>
      </w:pPr>
      <w:r>
        <w:t xml:space="preserve">, where </w:t>
      </w:r>
      <w:proofErr w:type="spellStart"/>
      <w:r w:rsidR="0068550C">
        <w:t>SNR</w:t>
      </w:r>
      <w:r w:rsidR="0068550C" w:rsidRPr="00221BFE">
        <w:rPr>
          <w:vertAlign w:val="subscript"/>
        </w:rPr>
        <w:t>target</w:t>
      </w:r>
      <w:proofErr w:type="spellEnd"/>
      <w:r w:rsidR="0068550C">
        <w:t xml:space="preserve"> is the BS receiver target SNR in dB, </w:t>
      </w:r>
      <w:proofErr w:type="spellStart"/>
      <w:proofErr w:type="gramStart"/>
      <w:r w:rsidR="0068550C">
        <w:t>UE</w:t>
      </w:r>
      <w:r w:rsidR="0068550C" w:rsidRPr="00221BFE">
        <w:rPr>
          <w:vertAlign w:val="subscript"/>
        </w:rPr>
        <w:t>max,eirp</w:t>
      </w:r>
      <w:proofErr w:type="spellEnd"/>
      <w:proofErr w:type="gramEnd"/>
      <w:r w:rsidR="0068550C" w:rsidRPr="00221BFE">
        <w:rPr>
          <w:vertAlign w:val="subscript"/>
        </w:rPr>
        <w:t xml:space="preserve"> </w:t>
      </w:r>
      <w:r w:rsidR="0068550C">
        <w:t xml:space="preserve">is the UE </w:t>
      </w:r>
      <w:r w:rsidR="00A95B0F">
        <w:t xml:space="preserve">power in dBm, </w:t>
      </w:r>
      <w:r w:rsidR="00761BA3">
        <w:t>N</w:t>
      </w:r>
      <w:r w:rsidR="00761BA3">
        <w:rPr>
          <w:vertAlign w:val="subscript"/>
        </w:rPr>
        <w:t>0</w:t>
      </w:r>
      <w:r w:rsidR="00761BA3">
        <w:t xml:space="preserve"> </w:t>
      </w:r>
      <w:r w:rsidR="00A95B0F">
        <w:t xml:space="preserve">is the BS noise floor in dB, NF is the BS noise figure and B is the </w:t>
      </w:r>
      <w:r w:rsidR="0066737C">
        <w:t xml:space="preserve">carrier bandwidth in </w:t>
      </w:r>
      <w:proofErr w:type="spellStart"/>
      <w:r w:rsidR="0066737C">
        <w:t>MHz.</w:t>
      </w:r>
      <w:proofErr w:type="spellEnd"/>
    </w:p>
    <w:p w14:paraId="5330F67D" w14:textId="37647649" w:rsidR="000575D7" w:rsidRDefault="000F6C53" w:rsidP="0062745C">
      <w:pPr>
        <w:pStyle w:val="BodyText"/>
      </w:pPr>
      <w:r>
        <w:lastRenderedPageBreak/>
        <w:t>In the discussion related to SBFD two option on how to handle UE power control was identified.</w:t>
      </w:r>
    </w:p>
    <w:p w14:paraId="57EF194B" w14:textId="1B2F929D" w:rsidR="00221BFE" w:rsidRDefault="000F6C53" w:rsidP="00221BFE">
      <w:pPr>
        <w:pStyle w:val="BodyText"/>
        <w:numPr>
          <w:ilvl w:val="0"/>
          <w:numId w:val="11"/>
        </w:numPr>
      </w:pPr>
      <w:r>
        <w:t>T</w:t>
      </w:r>
      <w:r w:rsidR="00943D01">
        <w:t xml:space="preserve">o make sure target SINR is met, update power control scheme considering raising noise floor due to co-site co-sector and co-site inter-sector </w:t>
      </w:r>
      <w:r>
        <w:t>BS</w:t>
      </w:r>
      <w:r w:rsidR="00943D01">
        <w:t>-</w:t>
      </w:r>
      <w:r>
        <w:t>to-BS</w:t>
      </w:r>
      <w:r w:rsidR="00943D01">
        <w:t xml:space="preserve"> interference</w:t>
      </w:r>
      <w:r w:rsidR="00221BFE">
        <w:t>.</w:t>
      </w:r>
    </w:p>
    <w:p w14:paraId="49FB59B0" w14:textId="21A6C9CB" w:rsidR="00943D01" w:rsidRDefault="006B4B50" w:rsidP="0098677D">
      <w:pPr>
        <w:pStyle w:val="BodyText"/>
        <w:numPr>
          <w:ilvl w:val="0"/>
          <w:numId w:val="11"/>
        </w:numPr>
      </w:pPr>
      <w:r>
        <w:t>Use the legacy power control scheme.</w:t>
      </w:r>
    </w:p>
    <w:p w14:paraId="4F0A2FC6" w14:textId="4AF345D0" w:rsidR="00943D01" w:rsidRDefault="00D33FED" w:rsidP="00943D01">
      <w:pPr>
        <w:pStyle w:val="BodyText"/>
      </w:pPr>
      <w:r>
        <w:t>From last meeting way-forward contribution [1] the following agreement can be found:</w:t>
      </w:r>
    </w:p>
    <w:p w14:paraId="54D793AC" w14:textId="77777777" w:rsidR="00943D01" w:rsidRPr="0098677D" w:rsidRDefault="00943D01" w:rsidP="00943D01">
      <w:pPr>
        <w:pStyle w:val="BodyText"/>
        <w:rPr>
          <w:i/>
          <w:iCs/>
        </w:rPr>
      </w:pPr>
      <w:r w:rsidRPr="0098677D">
        <w:rPr>
          <w:i/>
          <w:iCs/>
        </w:rPr>
        <w:t xml:space="preserve">Recommended WF: </w:t>
      </w:r>
    </w:p>
    <w:p w14:paraId="6D491808" w14:textId="77777777" w:rsidR="00943D01" w:rsidRPr="0098677D" w:rsidRDefault="00943D01" w:rsidP="00943D01">
      <w:pPr>
        <w:pStyle w:val="BodyText"/>
        <w:rPr>
          <w:i/>
          <w:iCs/>
        </w:rPr>
      </w:pPr>
      <w:r w:rsidRPr="0098677D">
        <w:rPr>
          <w:i/>
          <w:iCs/>
        </w:rPr>
        <w:t>using option 2 as baseline. Add following statement into final TR.</w:t>
      </w:r>
    </w:p>
    <w:p w14:paraId="28FA491D" w14:textId="39ED3128" w:rsidR="00943D01" w:rsidRPr="0098677D" w:rsidRDefault="00943D01" w:rsidP="00943D01">
      <w:pPr>
        <w:pStyle w:val="BodyText"/>
        <w:rPr>
          <w:i/>
          <w:iCs/>
        </w:rPr>
      </w:pPr>
      <w:r w:rsidRPr="0098677D">
        <w:rPr>
          <w:i/>
          <w:iCs/>
        </w:rPr>
        <w:t xml:space="preserve">In simulation, power control scheme is only used to compensate path loss. That’s the reason why final SINR for UL is less than assumed target SINR. </w:t>
      </w:r>
      <w:r w:rsidR="0010608E">
        <w:rPr>
          <w:i/>
          <w:iCs/>
        </w:rPr>
        <w:t>In</w:t>
      </w:r>
      <w:r w:rsidR="0010608E" w:rsidRPr="0098677D">
        <w:rPr>
          <w:i/>
          <w:iCs/>
        </w:rPr>
        <w:t xml:space="preserve"> </w:t>
      </w:r>
      <w:r w:rsidRPr="0098677D">
        <w:rPr>
          <w:i/>
          <w:iCs/>
        </w:rPr>
        <w:t xml:space="preserve">commercial </w:t>
      </w:r>
      <w:r w:rsidR="0010608E">
        <w:rPr>
          <w:i/>
          <w:iCs/>
        </w:rPr>
        <w:t xml:space="preserve">networks </w:t>
      </w:r>
      <w:r w:rsidRPr="0098677D">
        <w:rPr>
          <w:i/>
          <w:iCs/>
        </w:rPr>
        <w:t xml:space="preserve">UE UL SINR could </w:t>
      </w:r>
      <w:r w:rsidR="0010608E" w:rsidRPr="0098677D">
        <w:rPr>
          <w:i/>
          <w:iCs/>
        </w:rPr>
        <w:t>meet</w:t>
      </w:r>
      <w:r w:rsidRPr="0098677D">
        <w:rPr>
          <w:i/>
          <w:iCs/>
        </w:rPr>
        <w:t xml:space="preserve"> target value according to power control scheme in </w:t>
      </w:r>
      <w:r w:rsidR="0010608E">
        <w:rPr>
          <w:i/>
          <w:iCs/>
        </w:rPr>
        <w:t xml:space="preserve">TS </w:t>
      </w:r>
      <w:r w:rsidRPr="0098677D">
        <w:rPr>
          <w:i/>
          <w:iCs/>
        </w:rPr>
        <w:t>38.213</w:t>
      </w:r>
      <w:r w:rsidR="00D33FED" w:rsidRPr="0098677D">
        <w:rPr>
          <w:i/>
          <w:iCs/>
        </w:rPr>
        <w:t>.</w:t>
      </w:r>
    </w:p>
    <w:p w14:paraId="5D426FCE" w14:textId="77777777" w:rsidR="0018171A" w:rsidRDefault="00C97E6D" w:rsidP="0062745C">
      <w:pPr>
        <w:pStyle w:val="BodyText"/>
      </w:pPr>
      <w:r>
        <w:t xml:space="preserve">For </w:t>
      </w:r>
      <w:r w:rsidR="0010608E">
        <w:t xml:space="preserve">the case of </w:t>
      </w:r>
      <w:r>
        <w:t xml:space="preserve">SBFD </w:t>
      </w:r>
      <w:r w:rsidR="0010608E">
        <w:t xml:space="preserve">operation, the BS total </w:t>
      </w:r>
      <w:r>
        <w:t>interference will be higher than before</w:t>
      </w:r>
      <w:r w:rsidR="00A2454E">
        <w:t>,</w:t>
      </w:r>
      <w:r w:rsidR="0010608E">
        <w:t xml:space="preserve"> which would lead to higher UE output transmission power to be used in the network. This would lead to further study deployment scenarios where UE-to-UE interference may impact coexistence. </w:t>
      </w:r>
    </w:p>
    <w:p w14:paraId="39E232C0" w14:textId="13A5DE00" w:rsidR="00D85DD6" w:rsidRDefault="0010608E" w:rsidP="0062745C">
      <w:pPr>
        <w:pStyle w:val="BodyText"/>
      </w:pPr>
      <w:r>
        <w:t xml:space="preserve"> </w:t>
      </w:r>
      <w:r w:rsidR="00A2454E">
        <w:t xml:space="preserve"> </w:t>
      </w:r>
    </w:p>
    <w:p w14:paraId="3691DD40" w14:textId="09DD8E39" w:rsidR="00D85DD6" w:rsidRDefault="00D85DD6" w:rsidP="0062745C">
      <w:pPr>
        <w:pStyle w:val="BodyText"/>
      </w:pPr>
      <w:r w:rsidRPr="007D31B7">
        <w:rPr>
          <w:b/>
          <w:bCs/>
          <w:u w:val="single"/>
        </w:rPr>
        <w:t xml:space="preserve">Proposal </w:t>
      </w:r>
      <w:r w:rsidR="00B11A72">
        <w:rPr>
          <w:b/>
          <w:bCs/>
          <w:u w:val="single"/>
        </w:rPr>
        <w:t>3</w:t>
      </w:r>
      <w:r w:rsidRPr="007D31B7">
        <w:rPr>
          <w:b/>
          <w:bCs/>
          <w:u w:val="single"/>
        </w:rPr>
        <w:t>:</w:t>
      </w:r>
      <w:r>
        <w:t xml:space="preserve"> </w:t>
      </w:r>
      <w:r w:rsidR="0010608E">
        <w:t>RAN4 need</w:t>
      </w:r>
      <w:r w:rsidR="008E2EF5">
        <w:t>s</w:t>
      </w:r>
      <w:r w:rsidR="0010608E">
        <w:t xml:space="preserve"> to increase priority for deployment cases where UE-to-UE interference impact coexistence. </w:t>
      </w:r>
    </w:p>
    <w:p w14:paraId="0FD5BAA5" w14:textId="77777777" w:rsidR="00D02627" w:rsidRDefault="00D02627" w:rsidP="0062745C">
      <w:pPr>
        <w:pStyle w:val="BodyText"/>
      </w:pPr>
    </w:p>
    <w:p w14:paraId="3756EBF1" w14:textId="37CCAAE0" w:rsidR="00D02627" w:rsidRPr="008240C2" w:rsidRDefault="00E62192" w:rsidP="00D02627">
      <w:pPr>
        <w:pStyle w:val="BodyText"/>
        <w:numPr>
          <w:ilvl w:val="1"/>
          <w:numId w:val="5"/>
        </w:numPr>
        <w:ind w:hanging="720"/>
        <w:rPr>
          <w:rFonts w:ascii="Arial" w:hAnsi="Arial" w:cs="Arial"/>
        </w:rPr>
      </w:pPr>
      <w:r>
        <w:rPr>
          <w:rFonts w:ascii="Arial" w:hAnsi="Arial" w:cs="Arial"/>
        </w:rPr>
        <w:t>UE ACLR model</w:t>
      </w:r>
    </w:p>
    <w:p w14:paraId="2F43A8E9" w14:textId="5DCDAF7F" w:rsidR="00D02627" w:rsidRDefault="006327C0" w:rsidP="0062745C">
      <w:pPr>
        <w:pStyle w:val="BodyText"/>
      </w:pPr>
      <w:r>
        <w:t>Unlike previous coexistence evaluations done by RAN4 a model for UE ACLR ha</w:t>
      </w:r>
      <w:r w:rsidR="000B7EF9">
        <w:t>s</w:t>
      </w:r>
      <w:r>
        <w:t xml:space="preserve"> been adopted for the SBFD coexistence evaluation.</w:t>
      </w:r>
    </w:p>
    <w:p w14:paraId="0A6669FD" w14:textId="4B00C88F" w:rsidR="006327C0" w:rsidRDefault="006D47E0" w:rsidP="0062745C">
      <w:pPr>
        <w:pStyle w:val="BodyText"/>
      </w:pPr>
      <w:r>
        <w:t>Instead of assuming a fixed ACLR value, the ACLR will be a function of UE transmitter power as follows:</w:t>
      </w:r>
    </w:p>
    <w:p w14:paraId="4D129D6F" w14:textId="40409C45" w:rsidR="005D2D21" w:rsidRDefault="005D2D21" w:rsidP="005D2D21">
      <w:pPr>
        <w:pStyle w:val="ListParagraph"/>
        <w:numPr>
          <w:ilvl w:val="0"/>
          <w:numId w:val="9"/>
        </w:numPr>
        <w:spacing w:after="240" w:line="259" w:lineRule="auto"/>
        <w:ind w:firstLineChars="0"/>
        <w:rPr>
          <w:lang w:eastAsia="ja-JP"/>
        </w:rPr>
      </w:pPr>
      <w:r>
        <w:rPr>
          <w:lang w:eastAsia="ja-JP"/>
        </w:rPr>
        <w:t xml:space="preserve">FR1: UE ACLR is modelled as 30 dB at UE maximum TX </w:t>
      </w:r>
      <w:proofErr w:type="gramStart"/>
      <w:r>
        <w:rPr>
          <w:lang w:eastAsia="ja-JP"/>
        </w:rPr>
        <w:t>power, and</w:t>
      </w:r>
      <w:proofErr w:type="gramEnd"/>
      <w:r>
        <w:rPr>
          <w:lang w:eastAsia="ja-JP"/>
        </w:rPr>
        <w:t xml:space="preserve"> improves 1 dB per 1 dB backoff TX power up to a maximum 10 dB improvement. i.e., at 10 dB power backoff the ACLR is 40 </w:t>
      </w:r>
      <w:proofErr w:type="spellStart"/>
      <w:r>
        <w:rPr>
          <w:lang w:eastAsia="ja-JP"/>
        </w:rPr>
        <w:t>dB.</w:t>
      </w:r>
      <w:proofErr w:type="spellEnd"/>
    </w:p>
    <w:p w14:paraId="230E329B" w14:textId="3FF40096" w:rsidR="005D2D21" w:rsidRDefault="005D2D21" w:rsidP="00221BFE">
      <w:pPr>
        <w:pStyle w:val="ListParagraph"/>
        <w:numPr>
          <w:ilvl w:val="0"/>
          <w:numId w:val="9"/>
        </w:numPr>
        <w:spacing w:after="240" w:line="259" w:lineRule="auto"/>
        <w:ind w:firstLineChars="0"/>
        <w:rPr>
          <w:lang w:eastAsia="ja-JP"/>
        </w:rPr>
      </w:pPr>
      <w:r>
        <w:rPr>
          <w:lang w:eastAsia="ja-JP"/>
        </w:rPr>
        <w:t xml:space="preserve">FR2-1: UE ACLR is modelled as 24 dB at UE maximum TX </w:t>
      </w:r>
      <w:proofErr w:type="gramStart"/>
      <w:r>
        <w:rPr>
          <w:lang w:eastAsia="ja-JP"/>
        </w:rPr>
        <w:t>power, and</w:t>
      </w:r>
      <w:proofErr w:type="gramEnd"/>
      <w:r>
        <w:rPr>
          <w:lang w:eastAsia="ja-JP"/>
        </w:rPr>
        <w:t xml:space="preserve"> improves 1 dB per 1 dB backoff TX power up to a maximum 10 dB improvement. i.e., at 10 dB power backoff the ACLR is 34 </w:t>
      </w:r>
      <w:proofErr w:type="spellStart"/>
      <w:r>
        <w:rPr>
          <w:lang w:eastAsia="ja-JP"/>
        </w:rPr>
        <w:t>dB.</w:t>
      </w:r>
      <w:proofErr w:type="spellEnd"/>
    </w:p>
    <w:p w14:paraId="2D8E8B4C" w14:textId="12C59CF5" w:rsidR="006D47E0" w:rsidRDefault="005D2D21" w:rsidP="0062745C">
      <w:pPr>
        <w:pStyle w:val="BodyText"/>
      </w:pPr>
      <w:r>
        <w:t xml:space="preserve">This model will include the aspects related to that ACLR tend to improve for </w:t>
      </w:r>
      <w:r w:rsidR="000B512E">
        <w:t xml:space="preserve">power levels less than maximum output power. However, there have been no technical evidence that shows that ACLR will improve 10 dB for all types of PA implementations. </w:t>
      </w:r>
    </w:p>
    <w:p w14:paraId="1F4BE06B" w14:textId="47C92ABE" w:rsidR="00672B85" w:rsidRDefault="001046B4" w:rsidP="0062745C">
      <w:pPr>
        <w:pStyle w:val="BodyText"/>
      </w:pPr>
      <w:r>
        <w:t xml:space="preserve">It can be noticed that this model will add significant </w:t>
      </w:r>
      <w:r w:rsidR="00BF5897">
        <w:t xml:space="preserve">complexities to the </w:t>
      </w:r>
      <w:proofErr w:type="gramStart"/>
      <w:r w:rsidR="00BF5897">
        <w:t>simulator</w:t>
      </w:r>
      <w:proofErr w:type="gramEnd"/>
      <w:r w:rsidR="00BF5897">
        <w:t xml:space="preserve"> and it is not clear how it will affect the simulation results. </w:t>
      </w:r>
    </w:p>
    <w:p w14:paraId="21A338DA" w14:textId="6C643D5B" w:rsidR="00E8223A" w:rsidRDefault="004B0544" w:rsidP="0062745C">
      <w:pPr>
        <w:pStyle w:val="BodyText"/>
      </w:pPr>
      <w:r>
        <w:t xml:space="preserve">Also, it is not </w:t>
      </w:r>
      <w:proofErr w:type="gramStart"/>
      <w:r>
        <w:t>really clear</w:t>
      </w:r>
      <w:proofErr w:type="gramEnd"/>
      <w:r>
        <w:t xml:space="preserve"> how this model will work out together with</w:t>
      </w:r>
      <w:r w:rsidR="00BB1691">
        <w:t xml:space="preserve"> the ACIR</w:t>
      </w:r>
      <w:r w:rsidR="00555793">
        <w:t xml:space="preserve"> </w:t>
      </w:r>
      <w:r w:rsidR="009605B5">
        <w:t>sweeping</w:t>
      </w:r>
      <w:r w:rsidR="00555793">
        <w:t xml:space="preserve"> </w:t>
      </w:r>
      <w:r w:rsidR="009605B5">
        <w:t xml:space="preserve">required for the </w:t>
      </w:r>
      <w:r w:rsidR="00A0510F">
        <w:t xml:space="preserve">result template discussed in RAN4. </w:t>
      </w:r>
      <w:r w:rsidR="003A71F3">
        <w:t xml:space="preserve">It remains unclear </w:t>
      </w:r>
      <w:r w:rsidR="00C8750F">
        <w:t xml:space="preserve">what to do if ACLR is different </w:t>
      </w:r>
      <w:r w:rsidR="007A7F82">
        <w:t>for each UE and variable</w:t>
      </w:r>
      <w:r w:rsidR="00775D1A">
        <w:t>.</w:t>
      </w:r>
    </w:p>
    <w:p w14:paraId="7F5629CA" w14:textId="77777777" w:rsidR="00A86F9F" w:rsidRDefault="00A86F9F" w:rsidP="0062745C">
      <w:pPr>
        <w:pStyle w:val="BodyText"/>
      </w:pPr>
    </w:p>
    <w:p w14:paraId="60BD4020" w14:textId="40960DE3" w:rsidR="00D85DD6" w:rsidRDefault="00D85DD6" w:rsidP="00D85DD6">
      <w:pPr>
        <w:pStyle w:val="BodyText"/>
      </w:pPr>
      <w:r w:rsidRPr="007D31B7">
        <w:rPr>
          <w:b/>
          <w:bCs/>
          <w:u w:val="single"/>
        </w:rPr>
        <w:t xml:space="preserve">Proposal </w:t>
      </w:r>
      <w:r w:rsidR="00B11A72">
        <w:rPr>
          <w:b/>
          <w:bCs/>
          <w:u w:val="single"/>
        </w:rPr>
        <w:t>4</w:t>
      </w:r>
      <w:r w:rsidRPr="007D31B7">
        <w:rPr>
          <w:b/>
          <w:bCs/>
          <w:u w:val="single"/>
        </w:rPr>
        <w:t>:</w:t>
      </w:r>
      <w:r>
        <w:t xml:space="preserve"> </w:t>
      </w:r>
      <w:r w:rsidR="0010608E">
        <w:t xml:space="preserve">To confirm validity of the UE ACLR model, encourage UE vendors to capture some </w:t>
      </w:r>
      <w:r w:rsidR="003E54DF">
        <w:t>technical</w:t>
      </w:r>
      <w:r w:rsidR="0010608E">
        <w:t xml:space="preserve"> background information </w:t>
      </w:r>
      <w:r w:rsidR="003E54DF">
        <w:t xml:space="preserve">in TR 38.858 </w:t>
      </w:r>
      <w:r w:rsidR="0010608E">
        <w:t xml:space="preserve">to justify </w:t>
      </w:r>
      <w:r w:rsidR="003E54DF">
        <w:t xml:space="preserve">back-off range of 10 </w:t>
      </w:r>
      <w:proofErr w:type="spellStart"/>
      <w:r w:rsidR="003E54DF">
        <w:t>dB.</w:t>
      </w:r>
      <w:proofErr w:type="spellEnd"/>
    </w:p>
    <w:p w14:paraId="0D0F6E46" w14:textId="77777777" w:rsidR="00BD20EB" w:rsidRDefault="00BD20EB" w:rsidP="00D85DD6">
      <w:pPr>
        <w:pStyle w:val="BodyText"/>
      </w:pPr>
    </w:p>
    <w:p w14:paraId="4E607B63" w14:textId="77777777" w:rsidR="003B61A8" w:rsidRDefault="003B61A8" w:rsidP="003B61A8">
      <w:pPr>
        <w:pBdr>
          <w:bottom w:val="single" w:sz="4" w:space="1" w:color="auto"/>
        </w:pBdr>
        <w:rPr>
          <w:rFonts w:ascii="Arial" w:hAnsi="Arial" w:cs="Arial"/>
        </w:rPr>
      </w:pPr>
    </w:p>
    <w:p w14:paraId="771B4916" w14:textId="77777777" w:rsidR="00A86F9F" w:rsidRDefault="00A86F9F" w:rsidP="003B61A8">
      <w:pPr>
        <w:pBdr>
          <w:bottom w:val="single" w:sz="4" w:space="1" w:color="auto"/>
        </w:pBdr>
        <w:rPr>
          <w:rFonts w:ascii="Arial" w:hAnsi="Arial" w:cs="Arial"/>
        </w:rPr>
      </w:pPr>
    </w:p>
    <w:p w14:paraId="3C7311A0" w14:textId="77777777" w:rsidR="00A86F9F" w:rsidRDefault="00A86F9F" w:rsidP="003B61A8">
      <w:pPr>
        <w:pBdr>
          <w:bottom w:val="single" w:sz="4" w:space="1" w:color="auto"/>
        </w:pBdr>
        <w:rPr>
          <w:rFonts w:ascii="Arial" w:hAnsi="Arial" w:cs="Arial"/>
        </w:rPr>
      </w:pPr>
    </w:p>
    <w:p w14:paraId="045095D3" w14:textId="77777777" w:rsidR="00A86F9F" w:rsidRDefault="00A86F9F" w:rsidP="003B61A8">
      <w:pPr>
        <w:pBdr>
          <w:bottom w:val="single" w:sz="4" w:space="1" w:color="auto"/>
        </w:pBdr>
        <w:rPr>
          <w:rFonts w:ascii="Arial" w:hAnsi="Arial" w:cs="Arial"/>
        </w:rPr>
      </w:pPr>
    </w:p>
    <w:p w14:paraId="2531FFF3" w14:textId="77777777" w:rsidR="00A86F9F" w:rsidRDefault="00A86F9F" w:rsidP="003B61A8">
      <w:pPr>
        <w:pBdr>
          <w:bottom w:val="single" w:sz="4" w:space="1" w:color="auto"/>
        </w:pBdr>
        <w:rPr>
          <w:rFonts w:ascii="Arial" w:hAnsi="Arial" w:cs="Arial"/>
        </w:rPr>
      </w:pPr>
    </w:p>
    <w:p w14:paraId="357BE5FE" w14:textId="77777777" w:rsidR="00A86F9F" w:rsidRDefault="00A86F9F" w:rsidP="003B61A8">
      <w:pPr>
        <w:pBdr>
          <w:bottom w:val="single" w:sz="4" w:space="1" w:color="auto"/>
        </w:pBdr>
        <w:rPr>
          <w:rFonts w:ascii="Arial" w:hAnsi="Arial" w:cs="Arial"/>
        </w:rPr>
      </w:pPr>
    </w:p>
    <w:p w14:paraId="1D00A64F" w14:textId="77777777" w:rsidR="00A86F9F" w:rsidRDefault="00A86F9F" w:rsidP="003B61A8">
      <w:pPr>
        <w:pBdr>
          <w:bottom w:val="single" w:sz="4" w:space="1" w:color="auto"/>
        </w:pBdr>
        <w:rPr>
          <w:rFonts w:ascii="Arial" w:hAnsi="Arial" w:cs="Arial"/>
        </w:rPr>
      </w:pPr>
    </w:p>
    <w:p w14:paraId="62313392" w14:textId="77777777" w:rsidR="00A86F9F" w:rsidRDefault="00A86F9F" w:rsidP="003B61A8">
      <w:pPr>
        <w:pBdr>
          <w:bottom w:val="single" w:sz="4" w:space="1" w:color="auto"/>
        </w:pBdr>
        <w:rPr>
          <w:rFonts w:ascii="Arial" w:hAnsi="Arial" w:cs="Arial"/>
        </w:rPr>
      </w:pPr>
    </w:p>
    <w:p w14:paraId="64D76241" w14:textId="77777777" w:rsidR="00A86F9F" w:rsidRDefault="00A86F9F"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336FD749" w14:textId="1915616B" w:rsidR="00BD20EB" w:rsidRDefault="00B11A72" w:rsidP="003B61A8">
      <w:pPr>
        <w:pStyle w:val="BodyText"/>
      </w:pPr>
      <w:r>
        <w:t xml:space="preserve">In this contribution </w:t>
      </w:r>
      <w:r w:rsidR="00BD20EB">
        <w:t>we have identified a few technical issues and lack of technical background information. To progress the work, we propose following:</w:t>
      </w:r>
    </w:p>
    <w:p w14:paraId="659E6BD3" w14:textId="77777777" w:rsidR="00BD20EB" w:rsidRDefault="00BD20EB" w:rsidP="00BD20EB">
      <w:pPr>
        <w:pStyle w:val="BodyText"/>
      </w:pPr>
      <w:r w:rsidRPr="00654DA7">
        <w:rPr>
          <w:b/>
          <w:bCs/>
          <w:u w:val="single"/>
        </w:rPr>
        <w:t xml:space="preserve">Proposal </w:t>
      </w:r>
      <w:r>
        <w:rPr>
          <w:b/>
          <w:bCs/>
          <w:u w:val="single"/>
        </w:rPr>
        <w:t>1</w:t>
      </w:r>
      <w:r w:rsidRPr="00654DA7">
        <w:rPr>
          <w:b/>
          <w:bCs/>
          <w:u w:val="single"/>
        </w:rPr>
        <w:t>:</w:t>
      </w:r>
      <w:r>
        <w:t xml:space="preserve"> Apply carrier configuration power scaling with bandwidth for all interference situations when ACLR and ACS is used to calculate interferer levels consistently. </w:t>
      </w:r>
    </w:p>
    <w:p w14:paraId="636DBD8B" w14:textId="77777777" w:rsidR="00BD20EB" w:rsidRDefault="00BD20EB" w:rsidP="00BD20EB">
      <w:pPr>
        <w:pStyle w:val="BodyText"/>
      </w:pPr>
      <w:r w:rsidRPr="007D31B7">
        <w:rPr>
          <w:b/>
          <w:bCs/>
          <w:u w:val="single"/>
        </w:rPr>
        <w:t xml:space="preserve">Proposal </w:t>
      </w:r>
      <w:r>
        <w:rPr>
          <w:b/>
          <w:bCs/>
          <w:u w:val="single"/>
        </w:rPr>
        <w:t>2</w:t>
      </w:r>
      <w:r w:rsidRPr="007D31B7">
        <w:rPr>
          <w:b/>
          <w:bCs/>
          <w:u w:val="single"/>
        </w:rPr>
        <w:t>:</w:t>
      </w:r>
      <w:r>
        <w:t xml:space="preserve"> For FR1 BS set ACS to 46 </w:t>
      </w:r>
      <w:proofErr w:type="spellStart"/>
      <w:r>
        <w:t>dBc</w:t>
      </w:r>
      <w:proofErr w:type="spellEnd"/>
      <w:r>
        <w:t xml:space="preserve"> for all BS classes. </w:t>
      </w:r>
    </w:p>
    <w:p w14:paraId="4AC14E7C" w14:textId="382C54DD" w:rsidR="00BD20EB" w:rsidRDefault="00BD20EB" w:rsidP="00BD20EB">
      <w:pPr>
        <w:pStyle w:val="BodyText"/>
      </w:pPr>
      <w:r w:rsidRPr="007D31B7">
        <w:rPr>
          <w:b/>
          <w:bCs/>
          <w:u w:val="single"/>
        </w:rPr>
        <w:t xml:space="preserve">Proposal </w:t>
      </w:r>
      <w:r>
        <w:rPr>
          <w:b/>
          <w:bCs/>
          <w:u w:val="single"/>
        </w:rPr>
        <w:t>3</w:t>
      </w:r>
      <w:r w:rsidRPr="007D31B7">
        <w:rPr>
          <w:b/>
          <w:bCs/>
          <w:u w:val="single"/>
        </w:rPr>
        <w:t>:</w:t>
      </w:r>
      <w:r>
        <w:t xml:space="preserve"> RAN4 need</w:t>
      </w:r>
      <w:r w:rsidR="00EF100D">
        <w:t>s</w:t>
      </w:r>
      <w:r>
        <w:t xml:space="preserve"> to increase priority for deployment cases where UE-to-UE interference impact coexistence. </w:t>
      </w:r>
    </w:p>
    <w:p w14:paraId="062EBF7E" w14:textId="77777777" w:rsidR="00BD20EB" w:rsidRDefault="00BD20EB" w:rsidP="00BD20EB">
      <w:pPr>
        <w:pStyle w:val="BodyText"/>
      </w:pPr>
      <w:r w:rsidRPr="007D31B7">
        <w:rPr>
          <w:b/>
          <w:bCs/>
          <w:u w:val="single"/>
        </w:rPr>
        <w:t xml:space="preserve">Proposal </w:t>
      </w:r>
      <w:r>
        <w:rPr>
          <w:b/>
          <w:bCs/>
          <w:u w:val="single"/>
        </w:rPr>
        <w:t>4</w:t>
      </w:r>
      <w:r w:rsidRPr="007D31B7">
        <w:rPr>
          <w:b/>
          <w:bCs/>
          <w:u w:val="single"/>
        </w:rPr>
        <w:t>:</w:t>
      </w:r>
      <w:r>
        <w:t xml:space="preserve"> To confirm validity of the UE ACLR model, encourage UE vendors to capture some technical background information in TR 38.858 to justify back-off range of 10 </w:t>
      </w:r>
      <w:proofErr w:type="spellStart"/>
      <w:r>
        <w:t>dB.</w:t>
      </w:r>
      <w:proofErr w:type="spellEnd"/>
    </w:p>
    <w:p w14:paraId="188A849B" w14:textId="6B0B8164" w:rsidR="003B61A8" w:rsidRDefault="003B61A8" w:rsidP="003B61A8">
      <w:pPr>
        <w:pStyle w:val="BodyText"/>
      </w:pPr>
      <w:r>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603AF646" w:rsidR="003B61A8" w:rsidRDefault="003B61A8" w:rsidP="003B61A8">
      <w:pPr>
        <w:ind w:left="709" w:hanging="709"/>
      </w:pPr>
      <w:r>
        <w:t>[1]</w:t>
      </w:r>
      <w:r>
        <w:tab/>
      </w:r>
      <w:r w:rsidR="00856CF8" w:rsidRPr="00856CF8">
        <w:t>R4-2305921, “WF for SBFD adjacent channel co-existence study”, CMCC</w:t>
      </w:r>
    </w:p>
    <w:p w14:paraId="35EE84EA" w14:textId="1034ABC7" w:rsidR="003B61A8" w:rsidRDefault="003B61A8" w:rsidP="003B61A8">
      <w:pPr>
        <w:ind w:left="709" w:hanging="709"/>
      </w:pPr>
      <w:r>
        <w:t xml:space="preserve">[2] </w:t>
      </w:r>
      <w:r>
        <w:tab/>
      </w:r>
      <w:r w:rsidR="00C3471E" w:rsidRPr="00C3471E">
        <w:t xml:space="preserve">R4-2305923, “Summary of co-existence simulation parameters”, CMCC, </w:t>
      </w:r>
      <w:proofErr w:type="spellStart"/>
      <w:r w:rsidR="00C3471E" w:rsidRPr="00C3471E">
        <w:t>CableLabs</w:t>
      </w:r>
      <w:proofErr w:type="spellEnd"/>
      <w:r w:rsidR="00C3471E" w:rsidRPr="00C3471E">
        <w:t>, Samsung</w:t>
      </w:r>
    </w:p>
    <w:p w14:paraId="3FFF7D90" w14:textId="32E81977" w:rsidR="00D85DD6" w:rsidRDefault="00DB56EC" w:rsidP="00D85DD6">
      <w:pPr>
        <w:ind w:left="709" w:hanging="709"/>
      </w:pPr>
      <w:r>
        <w:t>[3]</w:t>
      </w:r>
      <w:r>
        <w:tab/>
      </w:r>
      <w:r w:rsidRPr="00EF100D">
        <w:t>R4-</w:t>
      </w:r>
      <w:r w:rsidR="007109E4" w:rsidRPr="00181B8E">
        <w:t>230</w:t>
      </w:r>
      <w:r w:rsidR="00EF100D" w:rsidRPr="00181B8E">
        <w:t>7701</w:t>
      </w:r>
      <w:r w:rsidRPr="00EF100D">
        <w:t>, “</w:t>
      </w:r>
      <w:r w:rsidR="00880F78" w:rsidRPr="00EF100D">
        <w:t>TP to TR 38.858: Addition of coexistence simulation assumptions to Annex D</w:t>
      </w:r>
      <w:r w:rsidRPr="00EF100D">
        <w:t>”, Ericsson</w:t>
      </w:r>
    </w:p>
    <w:bookmarkEnd w:id="0"/>
    <w:p w14:paraId="7185828F" w14:textId="55FF14BB" w:rsidR="005C7173" w:rsidRDefault="00D85DD6" w:rsidP="00D85DD6">
      <w:pPr>
        <w:ind w:left="709" w:hanging="709"/>
      </w:pPr>
      <w:r>
        <w:tab/>
      </w:r>
    </w:p>
    <w:p w14:paraId="571E8CC6" w14:textId="77777777" w:rsidR="00D85DD6" w:rsidRDefault="00D85DD6" w:rsidP="00D85DD6">
      <w:pPr>
        <w:ind w:left="709" w:hanging="709"/>
      </w:pPr>
    </w:p>
    <w:sectPr w:rsidR="00D85DD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ACE22" w14:textId="77777777" w:rsidR="007A42BE" w:rsidRDefault="007A42BE">
      <w:r>
        <w:separator/>
      </w:r>
    </w:p>
  </w:endnote>
  <w:endnote w:type="continuationSeparator" w:id="0">
    <w:p w14:paraId="7D30E1F7" w14:textId="77777777" w:rsidR="007A42BE" w:rsidRDefault="007A42BE">
      <w:r>
        <w:continuationSeparator/>
      </w:r>
    </w:p>
  </w:endnote>
  <w:endnote w:type="continuationNotice" w:id="1">
    <w:p w14:paraId="2ADDD078" w14:textId="77777777" w:rsidR="007A42BE" w:rsidRDefault="007A42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F2223" w14:textId="77777777" w:rsidR="007A42BE" w:rsidRDefault="007A42BE">
      <w:r>
        <w:separator/>
      </w:r>
    </w:p>
  </w:footnote>
  <w:footnote w:type="continuationSeparator" w:id="0">
    <w:p w14:paraId="44FD481E" w14:textId="77777777" w:rsidR="007A42BE" w:rsidRDefault="007A42BE">
      <w:r>
        <w:continuationSeparator/>
      </w:r>
    </w:p>
  </w:footnote>
  <w:footnote w:type="continuationNotice" w:id="1">
    <w:p w14:paraId="62441E95" w14:textId="77777777" w:rsidR="007A42BE" w:rsidRDefault="007A42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77EFC"/>
    <w:multiLevelType w:val="multilevel"/>
    <w:tmpl w:val="05577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8341D0"/>
    <w:multiLevelType w:val="hybridMultilevel"/>
    <w:tmpl w:val="39E6A984"/>
    <w:lvl w:ilvl="0" w:tplc="F91C3554">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3214113"/>
    <w:multiLevelType w:val="hybridMultilevel"/>
    <w:tmpl w:val="C298E92E"/>
    <w:lvl w:ilvl="0" w:tplc="2C70512E">
      <w:start w:val="4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6104B23"/>
    <w:multiLevelType w:val="hybridMultilevel"/>
    <w:tmpl w:val="672EDA32"/>
    <w:lvl w:ilvl="0" w:tplc="2000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8B209C6"/>
    <w:multiLevelType w:val="multilevel"/>
    <w:tmpl w:val="740A2D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5BA0C4A"/>
    <w:multiLevelType w:val="hybridMultilevel"/>
    <w:tmpl w:val="38A6B494"/>
    <w:lvl w:ilvl="0" w:tplc="2000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9"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A84E3F"/>
    <w:multiLevelType w:val="hybridMultilevel"/>
    <w:tmpl w:val="3416A7D0"/>
    <w:lvl w:ilvl="0" w:tplc="2000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12" w15:restartNumberingAfterBreak="0">
    <w:nsid w:val="757A2CAE"/>
    <w:multiLevelType w:val="hybridMultilevel"/>
    <w:tmpl w:val="3B4C656A"/>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8A95072"/>
    <w:multiLevelType w:val="hybridMultilevel"/>
    <w:tmpl w:val="D1F8C4AC"/>
    <w:lvl w:ilvl="0" w:tplc="4CF27174">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4"/>
  </w:num>
  <w:num w:numId="5" w16cid:durableId="922879894">
    <w:abstractNumId w:val="7"/>
  </w:num>
  <w:num w:numId="6" w16cid:durableId="1466200772">
    <w:abstractNumId w:val="9"/>
  </w:num>
  <w:num w:numId="7" w16cid:durableId="1536388103">
    <w:abstractNumId w:val="11"/>
  </w:num>
  <w:num w:numId="8" w16cid:durableId="292558920">
    <w:abstractNumId w:val="2"/>
  </w:num>
  <w:num w:numId="9" w16cid:durableId="1216623456">
    <w:abstractNumId w:val="13"/>
  </w:num>
  <w:num w:numId="10" w16cid:durableId="1877113867">
    <w:abstractNumId w:val="3"/>
  </w:num>
  <w:num w:numId="11" w16cid:durableId="1388215146">
    <w:abstractNumId w:val="10"/>
  </w:num>
  <w:num w:numId="12" w16cid:durableId="886524379">
    <w:abstractNumId w:val="5"/>
  </w:num>
  <w:num w:numId="13" w16cid:durableId="1114324879">
    <w:abstractNumId w:val="12"/>
  </w:num>
  <w:num w:numId="14" w16cid:durableId="267279838">
    <w:abstractNumId w:val="8"/>
  </w:num>
  <w:num w:numId="15" w16cid:durableId="2879048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C1E"/>
    <w:rsid w:val="00033397"/>
    <w:rsid w:val="000351C8"/>
    <w:rsid w:val="00040095"/>
    <w:rsid w:val="0004064F"/>
    <w:rsid w:val="00051834"/>
    <w:rsid w:val="00054A22"/>
    <w:rsid w:val="00055E04"/>
    <w:rsid w:val="000560CC"/>
    <w:rsid w:val="000575D7"/>
    <w:rsid w:val="00061562"/>
    <w:rsid w:val="000655A6"/>
    <w:rsid w:val="00066525"/>
    <w:rsid w:val="00070795"/>
    <w:rsid w:val="00080512"/>
    <w:rsid w:val="000864C1"/>
    <w:rsid w:val="00091EA0"/>
    <w:rsid w:val="00094D53"/>
    <w:rsid w:val="00096009"/>
    <w:rsid w:val="000A0FAD"/>
    <w:rsid w:val="000A7D81"/>
    <w:rsid w:val="000A7EEB"/>
    <w:rsid w:val="000B512E"/>
    <w:rsid w:val="000B61AD"/>
    <w:rsid w:val="000B7EF9"/>
    <w:rsid w:val="000C2F60"/>
    <w:rsid w:val="000D5483"/>
    <w:rsid w:val="000D58AB"/>
    <w:rsid w:val="000D59CF"/>
    <w:rsid w:val="000D696C"/>
    <w:rsid w:val="000E10A7"/>
    <w:rsid w:val="000E1DEA"/>
    <w:rsid w:val="000E3235"/>
    <w:rsid w:val="000E632F"/>
    <w:rsid w:val="000F0805"/>
    <w:rsid w:val="000F3AAF"/>
    <w:rsid w:val="000F6C53"/>
    <w:rsid w:val="001046B4"/>
    <w:rsid w:val="0010608E"/>
    <w:rsid w:val="00106F91"/>
    <w:rsid w:val="00111D79"/>
    <w:rsid w:val="00125C3E"/>
    <w:rsid w:val="00136644"/>
    <w:rsid w:val="001462E5"/>
    <w:rsid w:val="0015127F"/>
    <w:rsid w:val="00155B44"/>
    <w:rsid w:val="0016247E"/>
    <w:rsid w:val="001749CC"/>
    <w:rsid w:val="00176C71"/>
    <w:rsid w:val="0018171A"/>
    <w:rsid w:val="00181B8E"/>
    <w:rsid w:val="00185823"/>
    <w:rsid w:val="001862BC"/>
    <w:rsid w:val="00186BA9"/>
    <w:rsid w:val="00191E6B"/>
    <w:rsid w:val="00196273"/>
    <w:rsid w:val="001A028B"/>
    <w:rsid w:val="001A6894"/>
    <w:rsid w:val="001B0597"/>
    <w:rsid w:val="001B12B6"/>
    <w:rsid w:val="001B2552"/>
    <w:rsid w:val="001B3166"/>
    <w:rsid w:val="001B3783"/>
    <w:rsid w:val="001C1DF4"/>
    <w:rsid w:val="001C3C30"/>
    <w:rsid w:val="001D02C2"/>
    <w:rsid w:val="001E1D55"/>
    <w:rsid w:val="001E24BC"/>
    <w:rsid w:val="001E62AA"/>
    <w:rsid w:val="001F168B"/>
    <w:rsid w:val="001F33FD"/>
    <w:rsid w:val="002011E3"/>
    <w:rsid w:val="00214458"/>
    <w:rsid w:val="00221BFE"/>
    <w:rsid w:val="00231DE5"/>
    <w:rsid w:val="0023254C"/>
    <w:rsid w:val="002347A2"/>
    <w:rsid w:val="00234A6F"/>
    <w:rsid w:val="00236C17"/>
    <w:rsid w:val="00241D8F"/>
    <w:rsid w:val="00243290"/>
    <w:rsid w:val="0025297D"/>
    <w:rsid w:val="0026344B"/>
    <w:rsid w:val="0026363B"/>
    <w:rsid w:val="00272C8F"/>
    <w:rsid w:val="0027694A"/>
    <w:rsid w:val="0027787D"/>
    <w:rsid w:val="00280CDB"/>
    <w:rsid w:val="002A07EB"/>
    <w:rsid w:val="002A0978"/>
    <w:rsid w:val="002A682D"/>
    <w:rsid w:val="002B067D"/>
    <w:rsid w:val="002B0AA9"/>
    <w:rsid w:val="002B0B48"/>
    <w:rsid w:val="002B1EC4"/>
    <w:rsid w:val="002B5777"/>
    <w:rsid w:val="002C286B"/>
    <w:rsid w:val="002D077E"/>
    <w:rsid w:val="002D6846"/>
    <w:rsid w:val="002E2D39"/>
    <w:rsid w:val="002E532A"/>
    <w:rsid w:val="002F1E03"/>
    <w:rsid w:val="002F2B12"/>
    <w:rsid w:val="002F6C44"/>
    <w:rsid w:val="0030039D"/>
    <w:rsid w:val="00302958"/>
    <w:rsid w:val="00316D7F"/>
    <w:rsid w:val="003172DC"/>
    <w:rsid w:val="003253F9"/>
    <w:rsid w:val="003348D7"/>
    <w:rsid w:val="00336727"/>
    <w:rsid w:val="003519EC"/>
    <w:rsid w:val="0035462D"/>
    <w:rsid w:val="00361E87"/>
    <w:rsid w:val="003646EF"/>
    <w:rsid w:val="00365CE2"/>
    <w:rsid w:val="00367B5A"/>
    <w:rsid w:val="003743A7"/>
    <w:rsid w:val="00382422"/>
    <w:rsid w:val="00386614"/>
    <w:rsid w:val="003924CE"/>
    <w:rsid w:val="003A2576"/>
    <w:rsid w:val="003A71F3"/>
    <w:rsid w:val="003B1D4A"/>
    <w:rsid w:val="003B61A8"/>
    <w:rsid w:val="003C0B2F"/>
    <w:rsid w:val="003C3971"/>
    <w:rsid w:val="003D2A92"/>
    <w:rsid w:val="003D2ADC"/>
    <w:rsid w:val="003E17B5"/>
    <w:rsid w:val="003E54DF"/>
    <w:rsid w:val="003E588F"/>
    <w:rsid w:val="003E7B04"/>
    <w:rsid w:val="003F17A2"/>
    <w:rsid w:val="003F299C"/>
    <w:rsid w:val="003F7077"/>
    <w:rsid w:val="00400D43"/>
    <w:rsid w:val="00413AA1"/>
    <w:rsid w:val="00414825"/>
    <w:rsid w:val="00422BAB"/>
    <w:rsid w:val="00423391"/>
    <w:rsid w:val="004239C7"/>
    <w:rsid w:val="00424BFB"/>
    <w:rsid w:val="00435209"/>
    <w:rsid w:val="00440DC7"/>
    <w:rsid w:val="00445137"/>
    <w:rsid w:val="00454BBE"/>
    <w:rsid w:val="00460E9A"/>
    <w:rsid w:val="00473E39"/>
    <w:rsid w:val="00494017"/>
    <w:rsid w:val="004A4210"/>
    <w:rsid w:val="004B0544"/>
    <w:rsid w:val="004B2115"/>
    <w:rsid w:val="004B2BFA"/>
    <w:rsid w:val="004B372C"/>
    <w:rsid w:val="004B5078"/>
    <w:rsid w:val="004C43A9"/>
    <w:rsid w:val="004D0DDB"/>
    <w:rsid w:val="004D3578"/>
    <w:rsid w:val="004D5AD6"/>
    <w:rsid w:val="004E0C1D"/>
    <w:rsid w:val="004E213A"/>
    <w:rsid w:val="004E29CC"/>
    <w:rsid w:val="004F31FA"/>
    <w:rsid w:val="004F4D5A"/>
    <w:rsid w:val="0050293C"/>
    <w:rsid w:val="00507735"/>
    <w:rsid w:val="00527742"/>
    <w:rsid w:val="00530EEB"/>
    <w:rsid w:val="00535BE2"/>
    <w:rsid w:val="00543E6C"/>
    <w:rsid w:val="00550E6E"/>
    <w:rsid w:val="0055249D"/>
    <w:rsid w:val="00555793"/>
    <w:rsid w:val="00556BE7"/>
    <w:rsid w:val="00562810"/>
    <w:rsid w:val="00565087"/>
    <w:rsid w:val="00567D27"/>
    <w:rsid w:val="005924FB"/>
    <w:rsid w:val="00592A9D"/>
    <w:rsid w:val="00594E26"/>
    <w:rsid w:val="00596CC2"/>
    <w:rsid w:val="005A506E"/>
    <w:rsid w:val="005B3C08"/>
    <w:rsid w:val="005B3C73"/>
    <w:rsid w:val="005B4A0A"/>
    <w:rsid w:val="005C2897"/>
    <w:rsid w:val="005C7173"/>
    <w:rsid w:val="005D14A6"/>
    <w:rsid w:val="005D2D21"/>
    <w:rsid w:val="005D2E01"/>
    <w:rsid w:val="005D3EE8"/>
    <w:rsid w:val="005D4E10"/>
    <w:rsid w:val="005D50FB"/>
    <w:rsid w:val="005E2644"/>
    <w:rsid w:val="00611281"/>
    <w:rsid w:val="00612061"/>
    <w:rsid w:val="00614FDF"/>
    <w:rsid w:val="00615E2D"/>
    <w:rsid w:val="00625621"/>
    <w:rsid w:val="00626879"/>
    <w:rsid w:val="0062745C"/>
    <w:rsid w:val="006327C0"/>
    <w:rsid w:val="00636CAC"/>
    <w:rsid w:val="00640D50"/>
    <w:rsid w:val="006437A9"/>
    <w:rsid w:val="00647309"/>
    <w:rsid w:val="006515F7"/>
    <w:rsid w:val="00652641"/>
    <w:rsid w:val="00654DA7"/>
    <w:rsid w:val="00662104"/>
    <w:rsid w:val="00662F7B"/>
    <w:rsid w:val="006633B5"/>
    <w:rsid w:val="006639DB"/>
    <w:rsid w:val="00665474"/>
    <w:rsid w:val="0066737C"/>
    <w:rsid w:val="00672B85"/>
    <w:rsid w:val="00674E7D"/>
    <w:rsid w:val="00676F81"/>
    <w:rsid w:val="0068550C"/>
    <w:rsid w:val="00687033"/>
    <w:rsid w:val="00695EFA"/>
    <w:rsid w:val="006A14AF"/>
    <w:rsid w:val="006B4B50"/>
    <w:rsid w:val="006B794D"/>
    <w:rsid w:val="006C791A"/>
    <w:rsid w:val="006D1100"/>
    <w:rsid w:val="006D47E0"/>
    <w:rsid w:val="006D60B5"/>
    <w:rsid w:val="006E5C86"/>
    <w:rsid w:val="006F40B8"/>
    <w:rsid w:val="007109E4"/>
    <w:rsid w:val="00712421"/>
    <w:rsid w:val="007148E4"/>
    <w:rsid w:val="00714AEA"/>
    <w:rsid w:val="007170B2"/>
    <w:rsid w:val="0072680F"/>
    <w:rsid w:val="00730F83"/>
    <w:rsid w:val="00731BFA"/>
    <w:rsid w:val="0073461F"/>
    <w:rsid w:val="00734A5B"/>
    <w:rsid w:val="00734E7B"/>
    <w:rsid w:val="00744E76"/>
    <w:rsid w:val="007577CB"/>
    <w:rsid w:val="00761BA3"/>
    <w:rsid w:val="0076650C"/>
    <w:rsid w:val="00766BBE"/>
    <w:rsid w:val="0076740C"/>
    <w:rsid w:val="00771315"/>
    <w:rsid w:val="00772F9B"/>
    <w:rsid w:val="0077511F"/>
    <w:rsid w:val="00775D1A"/>
    <w:rsid w:val="00781F0F"/>
    <w:rsid w:val="007A0F21"/>
    <w:rsid w:val="007A10ED"/>
    <w:rsid w:val="007A2E78"/>
    <w:rsid w:val="007A42BE"/>
    <w:rsid w:val="007A7F82"/>
    <w:rsid w:val="007B4A73"/>
    <w:rsid w:val="007C4C45"/>
    <w:rsid w:val="007E1F50"/>
    <w:rsid w:val="007E40CA"/>
    <w:rsid w:val="007E4AD4"/>
    <w:rsid w:val="007E6C2F"/>
    <w:rsid w:val="007F2CDD"/>
    <w:rsid w:val="007F52D4"/>
    <w:rsid w:val="008028A4"/>
    <w:rsid w:val="00805820"/>
    <w:rsid w:val="00807894"/>
    <w:rsid w:val="00815BEB"/>
    <w:rsid w:val="00821329"/>
    <w:rsid w:val="008240C2"/>
    <w:rsid w:val="00826F97"/>
    <w:rsid w:val="00832E92"/>
    <w:rsid w:val="008432DD"/>
    <w:rsid w:val="00843454"/>
    <w:rsid w:val="00856CF8"/>
    <w:rsid w:val="00857B78"/>
    <w:rsid w:val="00863A92"/>
    <w:rsid w:val="00871178"/>
    <w:rsid w:val="00872E34"/>
    <w:rsid w:val="008768CA"/>
    <w:rsid w:val="00880F78"/>
    <w:rsid w:val="00881EAD"/>
    <w:rsid w:val="0088212F"/>
    <w:rsid w:val="008877E6"/>
    <w:rsid w:val="008947E2"/>
    <w:rsid w:val="00897E9A"/>
    <w:rsid w:val="008A0F22"/>
    <w:rsid w:val="008B111F"/>
    <w:rsid w:val="008B735F"/>
    <w:rsid w:val="008B7DF4"/>
    <w:rsid w:val="008C0085"/>
    <w:rsid w:val="008C0DA0"/>
    <w:rsid w:val="008C2529"/>
    <w:rsid w:val="008C307C"/>
    <w:rsid w:val="008C5F20"/>
    <w:rsid w:val="008E2235"/>
    <w:rsid w:val="008E2EF5"/>
    <w:rsid w:val="008F6912"/>
    <w:rsid w:val="008F7430"/>
    <w:rsid w:val="0090271F"/>
    <w:rsid w:val="00902E23"/>
    <w:rsid w:val="00904A34"/>
    <w:rsid w:val="0090598A"/>
    <w:rsid w:val="00907978"/>
    <w:rsid w:val="0091348E"/>
    <w:rsid w:val="00917CCB"/>
    <w:rsid w:val="009228DF"/>
    <w:rsid w:val="00925A8D"/>
    <w:rsid w:val="0092774C"/>
    <w:rsid w:val="00937B72"/>
    <w:rsid w:val="00942EC2"/>
    <w:rsid w:val="00943D01"/>
    <w:rsid w:val="00944C13"/>
    <w:rsid w:val="00950DAB"/>
    <w:rsid w:val="00955B1A"/>
    <w:rsid w:val="009605B5"/>
    <w:rsid w:val="0097113C"/>
    <w:rsid w:val="009723D4"/>
    <w:rsid w:val="00974355"/>
    <w:rsid w:val="00975980"/>
    <w:rsid w:val="0098677D"/>
    <w:rsid w:val="009A0A2A"/>
    <w:rsid w:val="009A2D2D"/>
    <w:rsid w:val="009B13F6"/>
    <w:rsid w:val="009B5100"/>
    <w:rsid w:val="009C1374"/>
    <w:rsid w:val="009D2F5F"/>
    <w:rsid w:val="009D6560"/>
    <w:rsid w:val="009D6C83"/>
    <w:rsid w:val="009E2DD8"/>
    <w:rsid w:val="009F37B7"/>
    <w:rsid w:val="00A0510F"/>
    <w:rsid w:val="00A076D0"/>
    <w:rsid w:val="00A10F02"/>
    <w:rsid w:val="00A15803"/>
    <w:rsid w:val="00A164B4"/>
    <w:rsid w:val="00A201AB"/>
    <w:rsid w:val="00A22ED9"/>
    <w:rsid w:val="00A2454E"/>
    <w:rsid w:val="00A35B62"/>
    <w:rsid w:val="00A53724"/>
    <w:rsid w:val="00A6396C"/>
    <w:rsid w:val="00A6421D"/>
    <w:rsid w:val="00A6426E"/>
    <w:rsid w:val="00A655A4"/>
    <w:rsid w:val="00A671C1"/>
    <w:rsid w:val="00A71AFB"/>
    <w:rsid w:val="00A81C9C"/>
    <w:rsid w:val="00A81D3C"/>
    <w:rsid w:val="00A81E43"/>
    <w:rsid w:val="00A82346"/>
    <w:rsid w:val="00A835AC"/>
    <w:rsid w:val="00A8444F"/>
    <w:rsid w:val="00A84961"/>
    <w:rsid w:val="00A86F9F"/>
    <w:rsid w:val="00A95B0F"/>
    <w:rsid w:val="00AA2E47"/>
    <w:rsid w:val="00AA7856"/>
    <w:rsid w:val="00AB0B6C"/>
    <w:rsid w:val="00AC1675"/>
    <w:rsid w:val="00AC17A1"/>
    <w:rsid w:val="00AC2DDA"/>
    <w:rsid w:val="00AC70FC"/>
    <w:rsid w:val="00AD4727"/>
    <w:rsid w:val="00AE4578"/>
    <w:rsid w:val="00AF09C5"/>
    <w:rsid w:val="00B04777"/>
    <w:rsid w:val="00B04E67"/>
    <w:rsid w:val="00B062BB"/>
    <w:rsid w:val="00B06CF4"/>
    <w:rsid w:val="00B11A72"/>
    <w:rsid w:val="00B1355D"/>
    <w:rsid w:val="00B14246"/>
    <w:rsid w:val="00B15449"/>
    <w:rsid w:val="00B31AF0"/>
    <w:rsid w:val="00B34461"/>
    <w:rsid w:val="00B34AC3"/>
    <w:rsid w:val="00B36957"/>
    <w:rsid w:val="00B36B26"/>
    <w:rsid w:val="00B37818"/>
    <w:rsid w:val="00B416AB"/>
    <w:rsid w:val="00B45D22"/>
    <w:rsid w:val="00B476B7"/>
    <w:rsid w:val="00B57386"/>
    <w:rsid w:val="00B614DB"/>
    <w:rsid w:val="00B63CD3"/>
    <w:rsid w:val="00B67296"/>
    <w:rsid w:val="00B739EE"/>
    <w:rsid w:val="00B8251B"/>
    <w:rsid w:val="00B85102"/>
    <w:rsid w:val="00B96C0C"/>
    <w:rsid w:val="00B9705E"/>
    <w:rsid w:val="00BB1691"/>
    <w:rsid w:val="00BB7DEA"/>
    <w:rsid w:val="00BC0EE3"/>
    <w:rsid w:val="00BC0F7D"/>
    <w:rsid w:val="00BD20EB"/>
    <w:rsid w:val="00BD5C61"/>
    <w:rsid w:val="00BE45A7"/>
    <w:rsid w:val="00BF1095"/>
    <w:rsid w:val="00BF1C81"/>
    <w:rsid w:val="00BF5897"/>
    <w:rsid w:val="00C17A60"/>
    <w:rsid w:val="00C316CA"/>
    <w:rsid w:val="00C33079"/>
    <w:rsid w:val="00C34470"/>
    <w:rsid w:val="00C3471E"/>
    <w:rsid w:val="00C371B3"/>
    <w:rsid w:val="00C40594"/>
    <w:rsid w:val="00C42538"/>
    <w:rsid w:val="00C45231"/>
    <w:rsid w:val="00C5647A"/>
    <w:rsid w:val="00C6035E"/>
    <w:rsid w:val="00C60720"/>
    <w:rsid w:val="00C628DE"/>
    <w:rsid w:val="00C71897"/>
    <w:rsid w:val="00C71CAF"/>
    <w:rsid w:val="00C72833"/>
    <w:rsid w:val="00C745B2"/>
    <w:rsid w:val="00C86B06"/>
    <w:rsid w:val="00C8750F"/>
    <w:rsid w:val="00C92C8B"/>
    <w:rsid w:val="00C93F40"/>
    <w:rsid w:val="00C97E6D"/>
    <w:rsid w:val="00CA2A66"/>
    <w:rsid w:val="00CA3B1D"/>
    <w:rsid w:val="00CA3D0C"/>
    <w:rsid w:val="00CA3D41"/>
    <w:rsid w:val="00CA47BF"/>
    <w:rsid w:val="00CA4EBF"/>
    <w:rsid w:val="00CB0A71"/>
    <w:rsid w:val="00CB380A"/>
    <w:rsid w:val="00CB4D54"/>
    <w:rsid w:val="00CC3F7F"/>
    <w:rsid w:val="00CD01B3"/>
    <w:rsid w:val="00CD110C"/>
    <w:rsid w:val="00CD2E52"/>
    <w:rsid w:val="00CD6BF5"/>
    <w:rsid w:val="00CE3431"/>
    <w:rsid w:val="00CE4DE3"/>
    <w:rsid w:val="00CE5AE6"/>
    <w:rsid w:val="00CF491C"/>
    <w:rsid w:val="00D02627"/>
    <w:rsid w:val="00D11B3A"/>
    <w:rsid w:val="00D15384"/>
    <w:rsid w:val="00D209A0"/>
    <w:rsid w:val="00D2544C"/>
    <w:rsid w:val="00D33FED"/>
    <w:rsid w:val="00D3471C"/>
    <w:rsid w:val="00D43E7C"/>
    <w:rsid w:val="00D45B77"/>
    <w:rsid w:val="00D4682F"/>
    <w:rsid w:val="00D508CD"/>
    <w:rsid w:val="00D56778"/>
    <w:rsid w:val="00D571C4"/>
    <w:rsid w:val="00D653E1"/>
    <w:rsid w:val="00D7337D"/>
    <w:rsid w:val="00D738D6"/>
    <w:rsid w:val="00D755EB"/>
    <w:rsid w:val="00D76055"/>
    <w:rsid w:val="00D83749"/>
    <w:rsid w:val="00D84820"/>
    <w:rsid w:val="00D85DD6"/>
    <w:rsid w:val="00D878CB"/>
    <w:rsid w:val="00D87E00"/>
    <w:rsid w:val="00D9134D"/>
    <w:rsid w:val="00D9546E"/>
    <w:rsid w:val="00D96451"/>
    <w:rsid w:val="00DA13A0"/>
    <w:rsid w:val="00DA2863"/>
    <w:rsid w:val="00DA2DBA"/>
    <w:rsid w:val="00DA7A03"/>
    <w:rsid w:val="00DB1818"/>
    <w:rsid w:val="00DB56EC"/>
    <w:rsid w:val="00DC309B"/>
    <w:rsid w:val="00DC4DA2"/>
    <w:rsid w:val="00DD1749"/>
    <w:rsid w:val="00DD478F"/>
    <w:rsid w:val="00DF2B1F"/>
    <w:rsid w:val="00DF4AD9"/>
    <w:rsid w:val="00DF62CD"/>
    <w:rsid w:val="00E01242"/>
    <w:rsid w:val="00E0144B"/>
    <w:rsid w:val="00E02424"/>
    <w:rsid w:val="00E05BAF"/>
    <w:rsid w:val="00E13370"/>
    <w:rsid w:val="00E14799"/>
    <w:rsid w:val="00E167BA"/>
    <w:rsid w:val="00E20B05"/>
    <w:rsid w:val="00E21619"/>
    <w:rsid w:val="00E33403"/>
    <w:rsid w:val="00E3622A"/>
    <w:rsid w:val="00E41C4A"/>
    <w:rsid w:val="00E43432"/>
    <w:rsid w:val="00E448DE"/>
    <w:rsid w:val="00E458D7"/>
    <w:rsid w:val="00E46BC7"/>
    <w:rsid w:val="00E517D9"/>
    <w:rsid w:val="00E62192"/>
    <w:rsid w:val="00E63302"/>
    <w:rsid w:val="00E72121"/>
    <w:rsid w:val="00E7235B"/>
    <w:rsid w:val="00E73B83"/>
    <w:rsid w:val="00E757A3"/>
    <w:rsid w:val="00E77645"/>
    <w:rsid w:val="00E8223A"/>
    <w:rsid w:val="00E95F22"/>
    <w:rsid w:val="00EA1D61"/>
    <w:rsid w:val="00EA7C61"/>
    <w:rsid w:val="00EC4A25"/>
    <w:rsid w:val="00ED7F82"/>
    <w:rsid w:val="00EE1E05"/>
    <w:rsid w:val="00EF05E9"/>
    <w:rsid w:val="00EF100D"/>
    <w:rsid w:val="00EF1994"/>
    <w:rsid w:val="00EF1FC5"/>
    <w:rsid w:val="00EF2E03"/>
    <w:rsid w:val="00EF3903"/>
    <w:rsid w:val="00F025A2"/>
    <w:rsid w:val="00F03195"/>
    <w:rsid w:val="00F04712"/>
    <w:rsid w:val="00F13E6C"/>
    <w:rsid w:val="00F22EC7"/>
    <w:rsid w:val="00F264EF"/>
    <w:rsid w:val="00F26CEE"/>
    <w:rsid w:val="00F3614B"/>
    <w:rsid w:val="00F43CD4"/>
    <w:rsid w:val="00F570CB"/>
    <w:rsid w:val="00F653B8"/>
    <w:rsid w:val="00F80453"/>
    <w:rsid w:val="00F9489A"/>
    <w:rsid w:val="00F96E90"/>
    <w:rsid w:val="00FA1266"/>
    <w:rsid w:val="00FA215D"/>
    <w:rsid w:val="00FA5947"/>
    <w:rsid w:val="00FB2C15"/>
    <w:rsid w:val="00FB6348"/>
    <w:rsid w:val="00FB76FC"/>
    <w:rsid w:val="00FC0298"/>
    <w:rsid w:val="00FC1192"/>
    <w:rsid w:val="00FC5267"/>
    <w:rsid w:val="00FC69DE"/>
    <w:rsid w:val="00FC73DF"/>
    <w:rsid w:val="00FD024D"/>
    <w:rsid w:val="00FE11B9"/>
    <w:rsid w:val="00FE181B"/>
    <w:rsid w:val="00FE25DD"/>
    <w:rsid w:val="00FF1F52"/>
    <w:rsid w:val="00FF3C73"/>
    <w:rsid w:val="00FF4F5F"/>
    <w:rsid w:val="00FF507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83D4AD0-E904-40F1-AD51-FA0E164DF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paragraph" w:styleId="ListParagraph">
    <w:name w:val="List Paragraph"/>
    <w:aliases w:val="Lista1,- Bullets,?? ??,?????,????,목록 단락,목록 단,1st level - Bullet List Paragraph,List Paragraph1,Lettre d'introduction,Paragrafo elenco,Normal bullet 2,Bullet list,Numbered List,Task Body,Viñetas (Inicio Parrafo),3 Txt tabla,リスト段落,列出段落1"/>
    <w:basedOn w:val="Normal"/>
    <w:link w:val="ListParagraphChar"/>
    <w:uiPriority w:val="34"/>
    <w:qFormat/>
    <w:rsid w:val="009E2DD8"/>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aliases w:val="Lista1 Char,- Bullets Char,?? ?? Char,????? Char,???? Char,목록 단락 Char,목록 단 Char,1st level - Bullet List Paragraph Char,List Paragraph1 Char,Lettre d'introduction Char,Paragrafo elenco Char,Normal bullet 2 Char,Bullet list Char"/>
    <w:link w:val="ListParagraph"/>
    <w:qFormat/>
    <w:locked/>
    <w:rsid w:val="009E2DD8"/>
    <w:rPr>
      <w:rFonts w:eastAsia="MS Mincho"/>
      <w:lang w:val="en-GB" w:eastAsia="en-US"/>
    </w:rPr>
  </w:style>
  <w:style w:type="character" w:styleId="CommentReference">
    <w:name w:val="annotation reference"/>
    <w:basedOn w:val="DefaultParagraphFont"/>
    <w:rsid w:val="00E05BAF"/>
    <w:rPr>
      <w:sz w:val="16"/>
      <w:szCs w:val="16"/>
    </w:rPr>
  </w:style>
  <w:style w:type="paragraph" w:styleId="CommentText">
    <w:name w:val="annotation text"/>
    <w:basedOn w:val="Normal"/>
    <w:link w:val="CommentTextChar"/>
    <w:rsid w:val="00E05BAF"/>
  </w:style>
  <w:style w:type="character" w:customStyle="1" w:styleId="CommentTextChar">
    <w:name w:val="Comment Text Char"/>
    <w:basedOn w:val="DefaultParagraphFont"/>
    <w:link w:val="CommentText"/>
    <w:rsid w:val="00E05BAF"/>
    <w:rPr>
      <w:lang w:val="en-GB" w:eastAsia="en-US"/>
    </w:rPr>
  </w:style>
  <w:style w:type="paragraph" w:styleId="CommentSubject">
    <w:name w:val="annotation subject"/>
    <w:basedOn w:val="CommentText"/>
    <w:next w:val="CommentText"/>
    <w:link w:val="CommentSubjectChar"/>
    <w:rsid w:val="00E05BAF"/>
    <w:rPr>
      <w:b/>
      <w:bCs/>
    </w:rPr>
  </w:style>
  <w:style w:type="character" w:customStyle="1" w:styleId="CommentSubjectChar">
    <w:name w:val="Comment Subject Char"/>
    <w:basedOn w:val="CommentTextChar"/>
    <w:link w:val="CommentSubject"/>
    <w:rsid w:val="00E05BAF"/>
    <w:rPr>
      <w:b/>
      <w:bCs/>
      <w:lang w:val="en-GB" w:eastAsia="en-US"/>
    </w:rPr>
  </w:style>
  <w:style w:type="character" w:customStyle="1" w:styleId="TANChar">
    <w:name w:val="TAN Char"/>
    <w:link w:val="TAN"/>
    <w:qFormat/>
    <w:rsid w:val="00186BA9"/>
    <w:rPr>
      <w:rFonts w:ascii="Arial" w:hAnsi="Arial"/>
      <w:sz w:val="18"/>
      <w:lang w:val="en-GB" w:eastAsia="en-US"/>
    </w:rPr>
  </w:style>
  <w:style w:type="character" w:customStyle="1" w:styleId="NOChar">
    <w:name w:val="NO Char"/>
    <w:link w:val="NO"/>
    <w:qFormat/>
    <w:rsid w:val="009D6560"/>
    <w:rPr>
      <w:lang w:val="en-GB" w:eastAsia="en-US"/>
    </w:rPr>
  </w:style>
  <w:style w:type="character" w:customStyle="1" w:styleId="B1Char">
    <w:name w:val="B1 Char"/>
    <w:link w:val="B1"/>
    <w:qFormat/>
    <w:rsid w:val="009D6560"/>
    <w:rPr>
      <w:lang w:val="en-GB" w:eastAsia="en-US"/>
    </w:rPr>
  </w:style>
  <w:style w:type="character" w:styleId="PlaceholderText">
    <w:name w:val="Placeholder Text"/>
    <w:basedOn w:val="DefaultParagraphFont"/>
    <w:uiPriority w:val="99"/>
    <w:semiHidden/>
    <w:rsid w:val="0030039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5NUHHDQN7SK2-1476151046-539793</_dlc_DocId>
    <_dlc_DocIdUrl xmlns="f166a696-7b5b-4ccd-9f0c-ffde0cceec81">
      <Url>https://ericsson.sharepoint.com/sites/star/_layouts/15/DocIdRedir.aspx?ID=5NUHHDQN7SK2-1476151046-539793</Url>
      <Description>5NUHHDQN7SK2-1476151046-539793</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B68512-1B46-4829-8E6F-5E70A9B76235}">
  <ds:schemaRefs>
    <ds:schemaRef ds:uri="http://schemas.microsoft.com/sharepoint/events"/>
  </ds:schemaRefs>
</ds:datastoreItem>
</file>

<file path=customXml/itemProps2.xml><?xml version="1.0" encoding="utf-8"?>
<ds:datastoreItem xmlns:ds="http://schemas.openxmlformats.org/officeDocument/2006/customXml" ds:itemID="{FFABC111-BC0E-4178-AAC4-2E09AFFFAB9F}">
  <ds:schemaRefs>
    <ds:schemaRef ds:uri="Microsoft.SharePoint.Taxonomy.ContentTypeSync"/>
  </ds:schemaRefs>
</ds:datastoreItem>
</file>

<file path=customXml/itemProps3.xml><?xml version="1.0" encoding="utf-8"?>
<ds:datastoreItem xmlns:ds="http://schemas.openxmlformats.org/officeDocument/2006/customXml" ds:itemID="{963F95DC-9EFA-4B5A-94D0-90F729090029}">
  <ds:schemaRefs>
    <ds:schemaRef ds:uri="http://schemas.openxmlformats.org/package/2006/metadata/core-properties"/>
    <ds:schemaRef ds:uri="http://purl.org/dc/elements/1.1/"/>
    <ds:schemaRef ds:uri="http://purl.org/dc/dcmitype/"/>
    <ds:schemaRef ds:uri="http://purl.org/dc/terms/"/>
    <ds:schemaRef ds:uri="http://schemas.microsoft.com/office/2006/documentManagement/types"/>
    <ds:schemaRef ds:uri="611109f9-ed58-4498-a270-1fb2086a5321"/>
    <ds:schemaRef ds:uri="http://schemas.microsoft.com/office/infopath/2007/PartnerControls"/>
    <ds:schemaRef ds:uri="http://schemas.microsoft.com/sharepoint/v4"/>
    <ds:schemaRef ds:uri="f166a696-7b5b-4ccd-9f0c-ffde0cceec81"/>
    <ds:schemaRef ds:uri="d8762117-8292-4133-b1c7-eab5c6487cfd"/>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5.xml><?xml version="1.0" encoding="utf-8"?>
<ds:datastoreItem xmlns:ds="http://schemas.openxmlformats.org/officeDocument/2006/customXml" ds:itemID="{727E748F-E609-42F7-A044-59C5873A39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471E34A-F738-4E6A-8FE0-D4896730A9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1661</Words>
  <Characters>8779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3</cp:revision>
  <dcterms:created xsi:type="dcterms:W3CDTF">2023-05-15T10:28:00Z</dcterms:created>
  <dcterms:modified xsi:type="dcterms:W3CDTF">2023-05-15T10:36:00Z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12;#keyword|11111111-1111-1111-1111-111111111111</vt:lpwstr>
  </property>
  <property fmtid="{D5CDD505-2E9C-101B-9397-08002B2CF9AE}" pid="4" name="_dlc_DocIdItemGuid">
    <vt:lpwstr>47734993-98cc-437e-83ed-3f8b35a02e0b</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