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FBD56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67BE">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AC67BE">
        <w:rPr>
          <w:rFonts w:ascii="Arial" w:eastAsiaTheme="minorEastAsia" w:hAnsi="Arial" w:cs="Arial"/>
          <w:color w:val="000000"/>
          <w:sz w:val="22"/>
          <w:lang w:eastAsia="zh-CN"/>
        </w:rPr>
        <w:t>31</w:t>
      </w:r>
      <w:r>
        <w:rPr>
          <w:rFonts w:ascii="Arial" w:eastAsiaTheme="minorEastAsia" w:hAnsi="Arial" w:cs="Arial" w:hint="eastAsia"/>
          <w:color w:val="000000"/>
          <w:sz w:val="22"/>
          <w:lang w:eastAsia="zh-CN"/>
        </w:rPr>
        <w:t>.</w:t>
      </w:r>
      <w:r w:rsidR="00AC67BE">
        <w:rPr>
          <w:rFonts w:ascii="Arial" w:eastAsiaTheme="minorEastAsia" w:hAnsi="Arial" w:cs="Arial"/>
          <w:color w:val="000000"/>
          <w:sz w:val="22"/>
          <w:lang w:eastAsia="zh-CN"/>
        </w:rPr>
        <w:t>4</w:t>
      </w:r>
    </w:p>
    <w:p w14:paraId="50D5329D" w14:textId="28DC44E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67BE" w:rsidRPr="003E4751">
        <w:rPr>
          <w:rFonts w:ascii="Arial" w:hAnsi="Arial" w:cs="Arial"/>
          <w:color w:val="000000"/>
          <w:sz w:val="22"/>
          <w:lang w:eastAsia="zh-CN"/>
        </w:rPr>
        <w:t>Moderator (</w:t>
      </w:r>
      <w:r w:rsidR="00AC67BE" w:rsidRPr="003E4751">
        <w:rPr>
          <w:rFonts w:ascii="Arial" w:hAnsi="Arial" w:cs="Arial" w:hint="eastAsia"/>
          <w:color w:val="000000"/>
          <w:sz w:val="22"/>
          <w:lang w:eastAsia="zh-CN"/>
        </w:rPr>
        <w:t>Huawei</w:t>
      </w:r>
      <w:r w:rsidR="00AC67BE" w:rsidRPr="003E4751">
        <w:rPr>
          <w:rFonts w:ascii="Arial" w:hAnsi="Arial" w:cs="Arial"/>
          <w:color w:val="000000"/>
          <w:sz w:val="22"/>
          <w:lang w:eastAsia="zh-CN"/>
        </w:rPr>
        <w:t>, HiSilicon)</w:t>
      </w:r>
    </w:p>
    <w:p w14:paraId="1E0389E7" w14:textId="1A5FBB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AC67BE">
        <w:rPr>
          <w:rFonts w:ascii="Arial" w:eastAsiaTheme="minorEastAsia" w:hAnsi="Arial" w:cs="Arial"/>
          <w:color w:val="000000"/>
          <w:sz w:val="22"/>
          <w:lang w:eastAsia="zh-CN"/>
        </w:rPr>
        <w:t>149</w:t>
      </w:r>
      <w:r w:rsidR="00533159" w:rsidRPr="00533159">
        <w:rPr>
          <w:rFonts w:ascii="Arial" w:eastAsiaTheme="minorEastAsia" w:hAnsi="Arial" w:cs="Arial"/>
          <w:color w:val="000000"/>
          <w:sz w:val="22"/>
          <w:lang w:eastAsia="zh-CN"/>
        </w:rPr>
        <w:t xml:space="preserve">] </w:t>
      </w:r>
      <w:r w:rsidR="00AC67BE" w:rsidRPr="00AC67BE">
        <w:rPr>
          <w:rFonts w:ascii="Arial" w:eastAsiaTheme="minorEastAsia" w:hAnsi="Arial" w:cs="Arial"/>
          <w:color w:val="000000"/>
          <w:sz w:val="22"/>
          <w:lang w:eastAsia="zh-CN"/>
        </w:rPr>
        <w:t>NR_SL_enh2 part 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174B1C9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44E">
        <w:rPr>
          <w:lang w:eastAsia="zh-CN"/>
        </w:rPr>
        <w:t>Genaral</w:t>
      </w:r>
      <w:r w:rsidR="002853ED">
        <w:rPr>
          <w:lang w:eastAsia="ja-JP"/>
        </w:rPr>
        <w:t xml:space="preserve"> for SL CA</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4E298E">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4E298E">
        <w:trPr>
          <w:trHeight w:val="468"/>
        </w:trPr>
        <w:tc>
          <w:tcPr>
            <w:tcW w:w="1621" w:type="dxa"/>
          </w:tcPr>
          <w:p w14:paraId="12FD4C09" w14:textId="557AF2E7" w:rsidR="00F53FE2" w:rsidRPr="004A7544" w:rsidRDefault="002853ED" w:rsidP="00805BE8">
            <w:pPr>
              <w:spacing w:before="120" w:after="120"/>
            </w:pPr>
            <w:r w:rsidRPr="002853ED">
              <w:t>R4-2307120</w:t>
            </w:r>
          </w:p>
        </w:tc>
        <w:tc>
          <w:tcPr>
            <w:tcW w:w="1423" w:type="dxa"/>
          </w:tcPr>
          <w:p w14:paraId="1A5AAE84" w14:textId="545DD59C" w:rsidR="00F53FE2" w:rsidRPr="004A7544" w:rsidRDefault="002853ED" w:rsidP="00805BE8">
            <w:pPr>
              <w:spacing w:before="120" w:after="120"/>
            </w:pPr>
            <w:r>
              <w:t>Meta Ireland</w:t>
            </w:r>
          </w:p>
        </w:tc>
        <w:tc>
          <w:tcPr>
            <w:tcW w:w="6587" w:type="dxa"/>
          </w:tcPr>
          <w:p w14:paraId="12065980" w14:textId="77777777" w:rsidR="00D77CDE" w:rsidRPr="00D77CDE" w:rsidRDefault="00D77CDE" w:rsidP="00D77CDE">
            <w:pPr>
              <w:snapToGrid w:val="0"/>
              <w:spacing w:before="120" w:after="0"/>
            </w:pPr>
            <w:r w:rsidRPr="00D77CDE">
              <w:t>Proposal #1: The 1LO/1 antenna RF architecture is baseline for NR SL intra-band contiguous CA operation in band n47. The SL CA UE does not support simultaneous SL-U and NR SL CA operation in band n47.</w:t>
            </w:r>
          </w:p>
          <w:p w14:paraId="18A446CA" w14:textId="77777777" w:rsidR="00D77CDE" w:rsidRPr="00D77CDE" w:rsidRDefault="00D77CDE" w:rsidP="00D77CDE">
            <w:pPr>
              <w:snapToGrid w:val="0"/>
              <w:spacing w:after="0"/>
            </w:pPr>
            <w:r w:rsidRPr="00D77CDE">
              <w:t>Proposal #2: For RF requirements for SL-MIMO and Tx diversity of NR SL intra-band contiguous CA UE, RAN4 can consider 2Tx antenna architecture in Rel-18.</w:t>
            </w:r>
          </w:p>
          <w:p w14:paraId="23E5CF1A" w14:textId="713C6B34" w:rsidR="005E366A" w:rsidRPr="004A7544" w:rsidRDefault="00D77CDE" w:rsidP="00D77CDE">
            <w:pPr>
              <w:snapToGrid w:val="0"/>
              <w:spacing w:after="120"/>
            </w:pPr>
            <w:r w:rsidRPr="00D77CDE">
              <w:t>Proposal #3: For the additional features e.g. SL-MIMO and/or Power class 2 of NR SL intra-band CA UE, these additional feature can be supported as 2</w:t>
            </w:r>
            <w:r w:rsidRPr="00D77CDE">
              <w:rPr>
                <w:vertAlign w:val="superscript"/>
              </w:rPr>
              <w:t>nd</w:t>
            </w:r>
            <w:r w:rsidRPr="00D77CDE">
              <w:t xml:space="preserve"> priority for NR SL CA objectives.</w:t>
            </w:r>
          </w:p>
        </w:tc>
      </w:tr>
      <w:tr w:rsidR="00BC6EEF" w14:paraId="28ECBA2E" w14:textId="77777777" w:rsidTr="004E298E">
        <w:trPr>
          <w:trHeight w:val="468"/>
        </w:trPr>
        <w:tc>
          <w:tcPr>
            <w:tcW w:w="1621" w:type="dxa"/>
          </w:tcPr>
          <w:p w14:paraId="68075E54" w14:textId="16F78633" w:rsidR="00BC6EEF" w:rsidRPr="002853ED" w:rsidRDefault="00501F15" w:rsidP="00805BE8">
            <w:pPr>
              <w:spacing w:before="120" w:after="120"/>
            </w:pPr>
            <w:r>
              <w:t>R4-2308113</w:t>
            </w:r>
          </w:p>
        </w:tc>
        <w:tc>
          <w:tcPr>
            <w:tcW w:w="1423" w:type="dxa"/>
          </w:tcPr>
          <w:p w14:paraId="7DBAB299" w14:textId="70B73D85" w:rsidR="00BC6EEF" w:rsidRDefault="00501F15" w:rsidP="00805BE8">
            <w:pPr>
              <w:spacing w:before="120" w:after="120"/>
            </w:pPr>
            <w:r>
              <w:t>Nokia, Nokia Shanghai Bell</w:t>
            </w:r>
          </w:p>
        </w:tc>
        <w:tc>
          <w:tcPr>
            <w:tcW w:w="6587" w:type="dxa"/>
          </w:tcPr>
          <w:p w14:paraId="0066CAFE" w14:textId="77777777" w:rsidR="00BC6EEF" w:rsidRDefault="00501F15" w:rsidP="00D77CDE">
            <w:pPr>
              <w:snapToGrid w:val="0"/>
              <w:spacing w:before="120" w:after="0"/>
            </w:pPr>
            <w:bookmarkStart w:id="0" w:name="_Toc135041473"/>
            <w:r>
              <w:t>Observation: From an emission point of view non-contiguous UL intra-band CA is equivalent to contiguous UL intra-band CA with non-contiguous resource allocations.</w:t>
            </w:r>
            <w:bookmarkEnd w:id="0"/>
          </w:p>
          <w:p w14:paraId="7E62A1F9" w14:textId="43791748" w:rsidR="00501F15" w:rsidRPr="00501F15" w:rsidRDefault="00501F15" w:rsidP="00501F15">
            <w:pPr>
              <w:pStyle w:val="RAN4proposal"/>
              <w:rPr>
                <w:b w:val="0"/>
              </w:rPr>
            </w:pPr>
            <w:bookmarkStart w:id="1" w:name="_Toc135041474"/>
            <w:r w:rsidRPr="00501F15">
              <w:rPr>
                <w:b w:val="0"/>
              </w:rPr>
              <w:t>RAN4 needs to clarify whether the configurations which make contiguous UL intra-band CA equivalent to non-contiguous intra band CA are excluded.</w:t>
            </w:r>
            <w:bookmarkEnd w:id="1"/>
          </w:p>
        </w:tc>
      </w:tr>
      <w:tr w:rsidR="00EF70A2" w14:paraId="3E849934" w14:textId="77777777" w:rsidTr="004E298E">
        <w:trPr>
          <w:trHeight w:val="468"/>
        </w:trPr>
        <w:tc>
          <w:tcPr>
            <w:tcW w:w="1621" w:type="dxa"/>
          </w:tcPr>
          <w:p w14:paraId="6ED07D3D" w14:textId="07AAEB5E" w:rsidR="00EF70A2" w:rsidRDefault="00EF70A2" w:rsidP="00805BE8">
            <w:pPr>
              <w:spacing w:before="120" w:after="120"/>
            </w:pPr>
            <w:r>
              <w:t>R4-2308273</w:t>
            </w:r>
          </w:p>
        </w:tc>
        <w:tc>
          <w:tcPr>
            <w:tcW w:w="1423" w:type="dxa"/>
          </w:tcPr>
          <w:p w14:paraId="4F617CCC" w14:textId="28F27AC4" w:rsidR="00EF70A2" w:rsidRDefault="00EF70A2" w:rsidP="00805BE8">
            <w:pPr>
              <w:spacing w:before="120" w:after="120"/>
            </w:pPr>
            <w:r>
              <w:t>vivo</w:t>
            </w:r>
          </w:p>
        </w:tc>
        <w:tc>
          <w:tcPr>
            <w:tcW w:w="6587" w:type="dxa"/>
          </w:tcPr>
          <w:p w14:paraId="3D8ADEE4" w14:textId="77777777" w:rsidR="00EF70A2" w:rsidRPr="00EF70A2" w:rsidRDefault="00EF70A2" w:rsidP="00EF70A2">
            <w:pPr>
              <w:snapToGrid w:val="0"/>
              <w:spacing w:after="0"/>
              <w:rPr>
                <w:rFonts w:eastAsia="等线"/>
                <w:lang w:eastAsia="zh-CN"/>
              </w:rPr>
            </w:pPr>
            <w:r w:rsidRPr="00EF70A2">
              <w:rPr>
                <w:rFonts w:eastAsia="等线"/>
                <w:lang w:eastAsia="zh-CN"/>
              </w:rPr>
              <w:t>Proposal 1: Arrange the requirements for NR SL CA as following sections</w:t>
            </w:r>
            <w:r w:rsidRPr="00EF70A2">
              <w:rPr>
                <w:rFonts w:eastAsia="等线"/>
                <w:lang w:eastAsia="zh-CN"/>
              </w:rPr>
              <w:t>：</w:t>
            </w:r>
          </w:p>
          <w:p w14:paraId="1395A3ED" w14:textId="77777777" w:rsidR="00EF70A2" w:rsidRPr="00EF70A2" w:rsidRDefault="00EF70A2" w:rsidP="00EF70A2">
            <w:pPr>
              <w:numPr>
                <w:ilvl w:val="0"/>
                <w:numId w:val="26"/>
              </w:numPr>
              <w:snapToGrid w:val="0"/>
              <w:spacing w:after="0"/>
              <w:rPr>
                <w:rFonts w:eastAsia="等线"/>
                <w:lang w:eastAsia="zh-CN"/>
              </w:rPr>
            </w:pPr>
            <w:r w:rsidRPr="00EF70A2">
              <w:rPr>
                <w:rFonts w:eastAsia="等线"/>
                <w:lang w:eastAsia="zh-CN"/>
              </w:rPr>
              <w:t>E.1 V2X operating bands</w:t>
            </w:r>
          </w:p>
          <w:p w14:paraId="6EBE7F6E" w14:textId="77777777" w:rsidR="00EF70A2" w:rsidRPr="00EF70A2" w:rsidRDefault="00EF70A2" w:rsidP="00EF70A2">
            <w:pPr>
              <w:numPr>
                <w:ilvl w:val="0"/>
                <w:numId w:val="26"/>
              </w:numPr>
              <w:snapToGrid w:val="0"/>
              <w:spacing w:after="0"/>
              <w:rPr>
                <w:rFonts w:eastAsia="等线"/>
                <w:lang w:eastAsia="zh-CN"/>
              </w:rPr>
            </w:pPr>
            <w:r w:rsidRPr="00EF70A2">
              <w:rPr>
                <w:rFonts w:eastAsia="等线"/>
                <w:lang w:eastAsia="zh-CN"/>
              </w:rPr>
              <w:t>E.2 V2X operating bands for con-current operation</w:t>
            </w:r>
          </w:p>
          <w:p w14:paraId="69FD892E" w14:textId="495BDB12" w:rsidR="00EF70A2" w:rsidRPr="00EF70A2" w:rsidRDefault="00EF70A2" w:rsidP="00EF70A2">
            <w:pPr>
              <w:numPr>
                <w:ilvl w:val="0"/>
                <w:numId w:val="26"/>
              </w:numPr>
              <w:snapToGrid w:val="0"/>
              <w:spacing w:after="120"/>
              <w:rPr>
                <w:rFonts w:eastAsia="等线"/>
                <w:lang w:eastAsia="zh-CN"/>
              </w:rPr>
            </w:pPr>
            <w:r w:rsidRPr="00EF70A2">
              <w:rPr>
                <w:rFonts w:eastAsia="等线"/>
                <w:lang w:eastAsia="zh-CN"/>
              </w:rPr>
              <w:t>E.3 Sidelink CA</w:t>
            </w:r>
          </w:p>
        </w:tc>
      </w:tr>
      <w:tr w:rsidR="004E298E" w14:paraId="2F8C3E58" w14:textId="77777777" w:rsidTr="004E298E">
        <w:trPr>
          <w:trHeight w:val="468"/>
        </w:trPr>
        <w:tc>
          <w:tcPr>
            <w:tcW w:w="1621" w:type="dxa"/>
          </w:tcPr>
          <w:p w14:paraId="6EC149D0" w14:textId="2B692F44" w:rsidR="004E298E" w:rsidRDefault="004E298E" w:rsidP="004E298E">
            <w:pPr>
              <w:spacing w:before="120" w:after="120"/>
            </w:pPr>
            <w:r>
              <w:t>R4-2308607</w:t>
            </w:r>
          </w:p>
        </w:tc>
        <w:tc>
          <w:tcPr>
            <w:tcW w:w="1423" w:type="dxa"/>
          </w:tcPr>
          <w:p w14:paraId="0839AFD4" w14:textId="7D470616" w:rsidR="004E298E" w:rsidRDefault="004E298E" w:rsidP="004E298E">
            <w:pPr>
              <w:spacing w:before="120" w:after="120"/>
            </w:pPr>
            <w:r>
              <w:t>Huawei, Hisilicon</w:t>
            </w:r>
          </w:p>
        </w:tc>
        <w:tc>
          <w:tcPr>
            <w:tcW w:w="6587" w:type="dxa"/>
          </w:tcPr>
          <w:p w14:paraId="69995D65" w14:textId="77777777" w:rsidR="004E298E" w:rsidRPr="004E298E" w:rsidRDefault="004E298E" w:rsidP="004E298E">
            <w:pPr>
              <w:snapToGrid w:val="0"/>
              <w:spacing w:after="0"/>
              <w:rPr>
                <w:rFonts w:eastAsia="等线"/>
                <w:lang w:eastAsia="zh-CN"/>
              </w:rPr>
            </w:pPr>
            <w:r w:rsidRPr="004E298E">
              <w:rPr>
                <w:rFonts w:eastAsia="等线"/>
                <w:lang w:eastAsia="zh-CN"/>
              </w:rPr>
              <w:t>Proposal 1: The requirements for SL CA should be captured in new sub-chapter under suffix E.</w:t>
            </w:r>
          </w:p>
          <w:p w14:paraId="281B049A" w14:textId="3BA0E826" w:rsidR="004E298E" w:rsidRPr="00EF70A2" w:rsidRDefault="004E298E" w:rsidP="004E298E">
            <w:pPr>
              <w:snapToGrid w:val="0"/>
              <w:spacing w:after="0"/>
              <w:rPr>
                <w:rFonts w:eastAsia="等线"/>
                <w:lang w:eastAsia="zh-CN"/>
              </w:rPr>
            </w:pPr>
            <w:r w:rsidRPr="004E298E">
              <w:rPr>
                <w:rFonts w:eastAsia="等线"/>
                <w:lang w:eastAsia="zh-CN"/>
              </w:rPr>
              <w:t>Proposal 2: Capture the restriction on the same SCS among SL CA carriers in RAN4 specification.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B48415" w:rsidR="00571777" w:rsidRPr="00805BE8" w:rsidRDefault="00571777" w:rsidP="006E69ED">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E69ED">
        <w:rPr>
          <w:sz w:val="24"/>
          <w:szCs w:val="16"/>
        </w:rPr>
        <w:t xml:space="preserve">: </w:t>
      </w:r>
      <w:r w:rsidR="006E69ED" w:rsidRPr="006E69ED">
        <w:rPr>
          <w:sz w:val="24"/>
          <w:szCs w:val="16"/>
        </w:rPr>
        <w:t>The supported scenario for SL CA</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FFAD77F" w14:textId="07B73495" w:rsidR="009D1197" w:rsidRDefault="00B4108D" w:rsidP="006E69E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6E69ED">
        <w:rPr>
          <w:rFonts w:eastAsia="宋体"/>
          <w:color w:val="0070C0"/>
          <w:szCs w:val="24"/>
          <w:lang w:eastAsia="zh-CN"/>
        </w:rPr>
        <w:t xml:space="preserve"> 1</w:t>
      </w:r>
      <w:r w:rsidRPr="00805BE8">
        <w:rPr>
          <w:rFonts w:eastAsia="宋体"/>
          <w:color w:val="0070C0"/>
          <w:szCs w:val="24"/>
          <w:lang w:eastAsia="zh-CN"/>
        </w:rPr>
        <w:t>:</w:t>
      </w:r>
      <w:r w:rsidR="009D1197">
        <w:rPr>
          <w:rFonts w:eastAsia="宋体"/>
          <w:color w:val="0070C0"/>
          <w:szCs w:val="24"/>
          <w:lang w:eastAsia="zh-CN"/>
        </w:rPr>
        <w:t xml:space="preserve"> Meta</w:t>
      </w:r>
    </w:p>
    <w:p w14:paraId="53327107" w14:textId="43C0C92E" w:rsidR="000013DF" w:rsidRPr="006E69ED" w:rsidRDefault="00B4108D"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 </w:t>
      </w:r>
      <w:r w:rsidR="00D77CDE">
        <w:rPr>
          <w:rFonts w:eastAsia="宋体"/>
          <w:color w:val="0070C0"/>
          <w:szCs w:val="24"/>
          <w:lang w:eastAsia="zh-CN"/>
        </w:rPr>
        <w:t>Simultaneous SL-U and NR SL CA operation is not supported in Rel-18</w:t>
      </w:r>
      <w:r w:rsidR="006E69ED">
        <w:rPr>
          <w:rFonts w:eastAsia="宋体"/>
          <w:color w:val="0070C0"/>
          <w:szCs w:val="24"/>
          <w:lang w:eastAsia="zh-CN"/>
        </w:rPr>
        <w:t xml:space="preserve">. </w:t>
      </w:r>
    </w:p>
    <w:p w14:paraId="38B72689" w14:textId="45D7E774" w:rsidR="009D1197" w:rsidRDefault="006E69ED" w:rsidP="006E69ED">
      <w:pPr>
        <w:pStyle w:val="afe"/>
        <w:numPr>
          <w:ilvl w:val="0"/>
          <w:numId w:val="4"/>
        </w:numPr>
        <w:overflowPunct/>
        <w:autoSpaceDE/>
        <w:autoSpaceDN/>
        <w:adjustRightInd/>
        <w:snapToGrid w:val="0"/>
        <w:spacing w:after="60"/>
        <w:ind w:left="714" w:firstLineChars="0" w:hanging="357"/>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B4108D" w:rsidRPr="006E69ED">
        <w:rPr>
          <w:rFonts w:eastAsia="宋体"/>
          <w:color w:val="0070C0"/>
          <w:szCs w:val="24"/>
          <w:lang w:eastAsia="zh-CN"/>
        </w:rPr>
        <w:t xml:space="preserve">2: </w:t>
      </w:r>
      <w:r w:rsidR="009D1197" w:rsidRPr="006E69ED">
        <w:rPr>
          <w:rFonts w:eastAsia="宋体"/>
          <w:color w:val="0070C0"/>
          <w:szCs w:val="24"/>
          <w:lang w:eastAsia="zh-CN"/>
        </w:rPr>
        <w:t>Meta</w:t>
      </w:r>
    </w:p>
    <w:p w14:paraId="4057D381" w14:textId="29609E28" w:rsidR="006E69ED" w:rsidRPr="006E69ED" w:rsidRDefault="00D77CDE" w:rsidP="00F10A15">
      <w:pPr>
        <w:pStyle w:val="afe"/>
        <w:numPr>
          <w:ilvl w:val="1"/>
          <w:numId w:val="4"/>
        </w:numPr>
        <w:overflowPunct/>
        <w:autoSpaceDE/>
        <w:autoSpaceDN/>
        <w:adjustRightInd/>
        <w:snapToGrid w:val="0"/>
        <w:spacing w:after="60"/>
        <w:ind w:firstLineChars="0"/>
        <w:textAlignment w:val="auto"/>
        <w:rPr>
          <w:rFonts w:eastAsia="宋体"/>
          <w:color w:val="0070C0"/>
          <w:szCs w:val="24"/>
          <w:lang w:eastAsia="zh-CN"/>
        </w:rPr>
      </w:pPr>
      <w:r w:rsidRPr="006E69ED">
        <w:rPr>
          <w:rFonts w:eastAsia="宋体"/>
          <w:color w:val="0070C0"/>
          <w:szCs w:val="24"/>
          <w:lang w:eastAsia="zh-CN"/>
        </w:rPr>
        <w:t>SL-MIMO and Tx diversity of NR SL intra-band contiguous CA</w:t>
      </w:r>
      <w:r w:rsidR="00300129" w:rsidRPr="006E69ED">
        <w:rPr>
          <w:rFonts w:eastAsia="宋体"/>
          <w:color w:val="0070C0"/>
          <w:szCs w:val="24"/>
          <w:lang w:eastAsia="zh-CN"/>
        </w:rPr>
        <w:t xml:space="preserve"> can be considered </w:t>
      </w:r>
      <w:r w:rsidR="00B10451" w:rsidRPr="006E69ED">
        <w:rPr>
          <w:rFonts w:eastAsia="宋体"/>
          <w:color w:val="0070C0"/>
          <w:szCs w:val="24"/>
          <w:lang w:eastAsia="zh-CN"/>
        </w:rPr>
        <w:t>as 2</w:t>
      </w:r>
      <w:r w:rsidR="00B10451" w:rsidRPr="006E69ED">
        <w:rPr>
          <w:rFonts w:eastAsia="宋体"/>
          <w:color w:val="0070C0"/>
          <w:szCs w:val="24"/>
          <w:vertAlign w:val="superscript"/>
          <w:lang w:eastAsia="zh-CN"/>
        </w:rPr>
        <w:t>nd</w:t>
      </w:r>
      <w:r w:rsidR="00B10451" w:rsidRPr="006E69ED">
        <w:rPr>
          <w:rFonts w:eastAsia="宋体"/>
          <w:color w:val="0070C0"/>
          <w:szCs w:val="24"/>
          <w:lang w:eastAsia="zh-CN"/>
        </w:rPr>
        <w:t xml:space="preserve"> priority </w:t>
      </w:r>
    </w:p>
    <w:p w14:paraId="1D07CD6B" w14:textId="7F4BC82E" w:rsidR="00300129" w:rsidRDefault="00300129" w:rsidP="006E69ED">
      <w:pPr>
        <w:pStyle w:val="afe"/>
        <w:numPr>
          <w:ilvl w:val="1"/>
          <w:numId w:val="4"/>
        </w:numPr>
        <w:overflowPunct/>
        <w:autoSpaceDE/>
        <w:autoSpaceDN/>
        <w:adjustRightInd/>
        <w:spacing w:after="120"/>
        <w:ind w:left="1655" w:firstLineChars="0" w:hanging="357"/>
        <w:textAlignment w:val="auto"/>
        <w:rPr>
          <w:rFonts w:eastAsia="宋体"/>
          <w:color w:val="0070C0"/>
          <w:szCs w:val="24"/>
          <w:lang w:eastAsia="zh-CN"/>
        </w:rPr>
      </w:pPr>
      <w:r>
        <w:rPr>
          <w:rFonts w:eastAsia="宋体"/>
          <w:color w:val="0070C0"/>
          <w:szCs w:val="24"/>
          <w:lang w:eastAsia="zh-CN"/>
        </w:rPr>
        <w:t>Consider 2Tx antenna architecture in Rel-18</w:t>
      </w:r>
    </w:p>
    <w:p w14:paraId="14D15712" w14:textId="679C7C4C" w:rsidR="009D1197" w:rsidRDefault="006E69ED" w:rsidP="006E69E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300129" w:rsidRPr="006E69ED">
        <w:rPr>
          <w:rFonts w:eastAsia="宋体"/>
          <w:color w:val="0070C0"/>
          <w:szCs w:val="24"/>
          <w:lang w:eastAsia="zh-CN"/>
        </w:rPr>
        <w:t>3:</w:t>
      </w:r>
      <w:r w:rsidR="00B17793" w:rsidRPr="006E69ED">
        <w:rPr>
          <w:rFonts w:eastAsia="宋体"/>
          <w:color w:val="0070C0"/>
          <w:szCs w:val="24"/>
          <w:lang w:eastAsia="zh-CN"/>
        </w:rPr>
        <w:t xml:space="preserve"> </w:t>
      </w:r>
      <w:r w:rsidR="009D1197" w:rsidRPr="006E69ED">
        <w:rPr>
          <w:rFonts w:eastAsia="宋体"/>
          <w:color w:val="0070C0"/>
          <w:szCs w:val="24"/>
          <w:lang w:eastAsia="zh-CN"/>
        </w:rPr>
        <w:t>Nokia</w:t>
      </w:r>
    </w:p>
    <w:p w14:paraId="066EF5C0" w14:textId="7AA02E08" w:rsidR="00300129" w:rsidRPr="006E69ED" w:rsidRDefault="00B17793"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6E69ED">
        <w:rPr>
          <w:rFonts w:eastAsia="宋体"/>
          <w:color w:val="0070C0"/>
          <w:szCs w:val="24"/>
          <w:lang w:eastAsia="zh-CN"/>
        </w:rPr>
        <w:t xml:space="preserve">RAN4 </w:t>
      </w:r>
      <w:r w:rsidR="006E69ED">
        <w:rPr>
          <w:rFonts w:eastAsia="宋体"/>
          <w:color w:val="0070C0"/>
          <w:szCs w:val="24"/>
          <w:lang w:eastAsia="zh-CN"/>
        </w:rPr>
        <w:t xml:space="preserve">to </w:t>
      </w:r>
      <w:r w:rsidRPr="006E69ED">
        <w:rPr>
          <w:rFonts w:eastAsia="宋体"/>
          <w:color w:val="0070C0"/>
          <w:szCs w:val="24"/>
          <w:lang w:eastAsia="zh-CN"/>
        </w:rPr>
        <w:t xml:space="preserve">clarify whether the scenario of intra-band contiguous CA with non-contiguous </w:t>
      </w:r>
      <w:r w:rsidR="000013DF" w:rsidRPr="006E69ED">
        <w:rPr>
          <w:rFonts w:eastAsia="宋体"/>
          <w:color w:val="0070C0"/>
          <w:szCs w:val="24"/>
          <w:lang w:eastAsia="zh-CN"/>
        </w:rPr>
        <w:t xml:space="preserve">resource </w:t>
      </w:r>
      <w:r w:rsidRPr="006E69ED">
        <w:rPr>
          <w:rFonts w:eastAsia="宋体"/>
          <w:color w:val="0070C0"/>
          <w:szCs w:val="24"/>
          <w:lang w:eastAsia="zh-CN"/>
        </w:rPr>
        <w:t>allocation is precluded.</w:t>
      </w:r>
      <w:r w:rsidR="000013DF" w:rsidRPr="006E69ED">
        <w:rPr>
          <w:rFonts w:eastAsia="宋体"/>
          <w:color w:val="0070C0"/>
          <w:szCs w:val="24"/>
          <w:lang w:eastAsia="zh-CN"/>
        </w:rPr>
        <w:t xml:space="preserve">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60EFCB3A" w:rsidR="00571777" w:rsidRPr="00805BE8" w:rsidRDefault="00571777" w:rsidP="006E69ED">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6E69ED">
        <w:rPr>
          <w:sz w:val="24"/>
          <w:szCs w:val="16"/>
        </w:rPr>
        <w:t xml:space="preserve">: </w:t>
      </w:r>
      <w:r w:rsidR="006E69ED" w:rsidRPr="006E69ED">
        <w:rPr>
          <w:sz w:val="24"/>
          <w:szCs w:val="16"/>
        </w:rPr>
        <w:t>The spec structure for SL CA</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10E9538" w14:textId="27766C31"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316C0F">
        <w:rPr>
          <w:rFonts w:eastAsia="宋体"/>
          <w:color w:val="0070C0"/>
          <w:szCs w:val="24"/>
          <w:lang w:eastAsia="zh-CN"/>
        </w:rPr>
        <w:t xml:space="preserve"> 1:</w:t>
      </w:r>
    </w:p>
    <w:p w14:paraId="277F457C" w14:textId="79595F53"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D1197">
        <w:rPr>
          <w:rFonts w:eastAsia="宋体"/>
          <w:color w:val="0070C0"/>
          <w:szCs w:val="24"/>
          <w:lang w:eastAsia="zh-CN"/>
        </w:rPr>
        <w:t>vivo, Huawei</w:t>
      </w:r>
    </w:p>
    <w:p w14:paraId="37B64A5D" w14:textId="77777777" w:rsidR="009D1197" w:rsidRDefault="009D1197"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D1197">
        <w:rPr>
          <w:rFonts w:eastAsia="宋体"/>
          <w:color w:val="0070C0"/>
          <w:szCs w:val="24"/>
          <w:lang w:eastAsia="zh-CN"/>
        </w:rPr>
        <w:t>Allocate a new section for SL CA</w:t>
      </w:r>
      <w:r w:rsidRPr="009D1197" w:rsidDel="009D1197">
        <w:rPr>
          <w:rFonts w:eastAsia="宋体"/>
          <w:color w:val="0070C0"/>
          <w:szCs w:val="24"/>
          <w:lang w:eastAsia="zh-CN"/>
        </w:rPr>
        <w:t xml:space="preserve"> </w:t>
      </w:r>
    </w:p>
    <w:p w14:paraId="58996C1B" w14:textId="4CDDD47A"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22C8B">
        <w:rPr>
          <w:rFonts w:eastAsia="宋体"/>
          <w:color w:val="0070C0"/>
          <w:szCs w:val="24"/>
          <w:lang w:eastAsia="zh-CN"/>
        </w:rPr>
        <w:t>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52C60DC" w:rsidR="00DD19DE" w:rsidRPr="00045592" w:rsidRDefault="00142BB9" w:rsidP="003B6E47">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B6E47">
        <w:rPr>
          <w:lang w:eastAsia="ja-JP"/>
        </w:rPr>
        <w:t>R</w:t>
      </w:r>
      <w:r w:rsidR="003B6E47" w:rsidRPr="003B6E47">
        <w:rPr>
          <w:lang w:eastAsia="ja-JP"/>
        </w:rPr>
        <w:t>equirements for SL intra-band contiguous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E298E" w:rsidRPr="00F53FE2" w14:paraId="1E5E5737" w14:textId="77777777" w:rsidTr="00BE6FB4">
        <w:trPr>
          <w:trHeight w:val="468"/>
        </w:trPr>
        <w:tc>
          <w:tcPr>
            <w:tcW w:w="1622" w:type="dxa"/>
            <w:vAlign w:val="center"/>
          </w:tcPr>
          <w:p w14:paraId="5B780EF4" w14:textId="77777777" w:rsidR="00DD19DE" w:rsidRPr="00045592" w:rsidRDefault="00DD19DE" w:rsidP="000A369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A369F">
            <w:pPr>
              <w:spacing w:before="120" w:after="120"/>
              <w:rPr>
                <w:b/>
                <w:bCs/>
              </w:rPr>
            </w:pPr>
            <w:r w:rsidRPr="00045592">
              <w:rPr>
                <w:b/>
                <w:bCs/>
              </w:rPr>
              <w:t>Company</w:t>
            </w:r>
          </w:p>
        </w:tc>
        <w:tc>
          <w:tcPr>
            <w:tcW w:w="6585" w:type="dxa"/>
            <w:vAlign w:val="center"/>
          </w:tcPr>
          <w:p w14:paraId="3753A143" w14:textId="77777777" w:rsidR="00DD19DE" w:rsidRPr="00045592" w:rsidRDefault="00DD19DE" w:rsidP="000A369F">
            <w:pPr>
              <w:spacing w:before="120" w:after="120"/>
              <w:rPr>
                <w:b/>
                <w:bCs/>
              </w:rPr>
            </w:pPr>
            <w:r w:rsidRPr="00045592">
              <w:rPr>
                <w:b/>
                <w:bCs/>
              </w:rPr>
              <w:t>Proposals</w:t>
            </w:r>
            <w:r>
              <w:rPr>
                <w:b/>
                <w:bCs/>
              </w:rPr>
              <w:t xml:space="preserve"> / Observations</w:t>
            </w:r>
          </w:p>
        </w:tc>
      </w:tr>
      <w:tr w:rsidR="00F10A15" w14:paraId="2DB29AC5" w14:textId="77777777" w:rsidTr="00BE6FB4">
        <w:trPr>
          <w:trHeight w:val="468"/>
        </w:trPr>
        <w:tc>
          <w:tcPr>
            <w:tcW w:w="1622" w:type="dxa"/>
          </w:tcPr>
          <w:p w14:paraId="5A2CC292" w14:textId="6223695A" w:rsidR="00F10A15" w:rsidRPr="002853ED" w:rsidRDefault="00F10A15" w:rsidP="00BE6FB4">
            <w:pPr>
              <w:spacing w:before="120" w:after="120"/>
            </w:pPr>
            <w:r w:rsidRPr="00F10A15">
              <w:t>R4- 23071</w:t>
            </w:r>
            <w:r>
              <w:t>18</w:t>
            </w:r>
          </w:p>
        </w:tc>
        <w:tc>
          <w:tcPr>
            <w:tcW w:w="1424" w:type="dxa"/>
          </w:tcPr>
          <w:p w14:paraId="0231309C" w14:textId="5640BC3F" w:rsidR="00F10A15" w:rsidRDefault="00F10A15" w:rsidP="00BE6FB4">
            <w:pPr>
              <w:spacing w:before="120" w:after="120"/>
            </w:pPr>
            <w:r w:rsidRPr="00F10A15">
              <w:t>Meta Ireland</w:t>
            </w:r>
          </w:p>
        </w:tc>
        <w:tc>
          <w:tcPr>
            <w:tcW w:w="6585" w:type="dxa"/>
          </w:tcPr>
          <w:p w14:paraId="342294C8" w14:textId="54770D0C" w:rsidR="00F10A15" w:rsidRPr="00501F15" w:rsidRDefault="00F10A15" w:rsidP="00BE6FB4">
            <w:r w:rsidRPr="00F10A15">
              <w:t>TP for TR 38.786 on the updated TR structure for NR SL CA operation</w:t>
            </w:r>
          </w:p>
        </w:tc>
      </w:tr>
      <w:tr w:rsidR="004E298E" w14:paraId="683FD1E7" w14:textId="77777777" w:rsidTr="00BE6FB4">
        <w:trPr>
          <w:trHeight w:val="468"/>
        </w:trPr>
        <w:tc>
          <w:tcPr>
            <w:tcW w:w="1622" w:type="dxa"/>
          </w:tcPr>
          <w:p w14:paraId="2444A496" w14:textId="5A79C39B" w:rsidR="00BE6FB4" w:rsidRPr="00805BE8" w:rsidRDefault="00BE6FB4" w:rsidP="00BE6FB4">
            <w:pPr>
              <w:spacing w:before="120" w:after="120"/>
              <w:rPr>
                <w:rFonts w:asciiTheme="minorHAnsi" w:hAnsiTheme="minorHAnsi" w:cstheme="minorHAnsi"/>
              </w:rPr>
            </w:pPr>
            <w:r w:rsidRPr="002853ED">
              <w:t>R4-2307120</w:t>
            </w:r>
          </w:p>
        </w:tc>
        <w:tc>
          <w:tcPr>
            <w:tcW w:w="1424" w:type="dxa"/>
          </w:tcPr>
          <w:p w14:paraId="786ACC88" w14:textId="3EA577BE" w:rsidR="00BE6FB4" w:rsidRPr="00805BE8" w:rsidRDefault="00BE6FB4" w:rsidP="00BE6FB4">
            <w:pPr>
              <w:spacing w:before="120" w:after="120"/>
              <w:rPr>
                <w:rFonts w:asciiTheme="minorHAnsi" w:hAnsiTheme="minorHAnsi" w:cstheme="minorHAnsi"/>
              </w:rPr>
            </w:pPr>
            <w:r>
              <w:t>Meta Ireland</w:t>
            </w:r>
          </w:p>
        </w:tc>
        <w:tc>
          <w:tcPr>
            <w:tcW w:w="6585" w:type="dxa"/>
          </w:tcPr>
          <w:p w14:paraId="7FAB433F" w14:textId="2B884499" w:rsidR="00BE6FB4" w:rsidRPr="00501F15" w:rsidRDefault="00BE6FB4" w:rsidP="00BE6FB4">
            <w:r w:rsidRPr="00501F15">
              <w:t>Proposal #4: Based on the Table 2-1, RAN4 can define the Tx RF requirements for NR SL intra-band contiguous CA operation in n47.</w:t>
            </w:r>
          </w:p>
        </w:tc>
      </w:tr>
      <w:tr w:rsidR="007B26F9" w14:paraId="347B001F" w14:textId="77777777" w:rsidTr="00BE6FB4">
        <w:trPr>
          <w:trHeight w:val="468"/>
        </w:trPr>
        <w:tc>
          <w:tcPr>
            <w:tcW w:w="1622" w:type="dxa"/>
          </w:tcPr>
          <w:p w14:paraId="192DA34F" w14:textId="1BF7C575" w:rsidR="00BC6EEF" w:rsidRPr="002853ED" w:rsidRDefault="00BC6EEF" w:rsidP="00BC6EEF">
            <w:pPr>
              <w:spacing w:before="120" w:after="120"/>
            </w:pPr>
            <w:r w:rsidRPr="00BC6EEF">
              <w:lastRenderedPageBreak/>
              <w:t>R4-2307481</w:t>
            </w:r>
          </w:p>
        </w:tc>
        <w:tc>
          <w:tcPr>
            <w:tcW w:w="1424" w:type="dxa"/>
          </w:tcPr>
          <w:p w14:paraId="06DED050" w14:textId="0B5EDD18" w:rsidR="00BC6EEF" w:rsidRDefault="00BC6EEF" w:rsidP="00BC6EEF">
            <w:pPr>
              <w:spacing w:before="120" w:after="120"/>
            </w:pPr>
            <w:r w:rsidRPr="00BC6EEF">
              <w:t>LG Electronics</w:t>
            </w:r>
          </w:p>
        </w:tc>
        <w:tc>
          <w:tcPr>
            <w:tcW w:w="6585" w:type="dxa"/>
          </w:tcPr>
          <w:p w14:paraId="245AFAB7" w14:textId="77777777" w:rsidR="00BC6EEF" w:rsidRPr="00501F15" w:rsidRDefault="00BC6EEF" w:rsidP="00BC6EEF">
            <w:pPr>
              <w:rPr>
                <w:lang w:val="en-US" w:eastAsia="ko-KR"/>
              </w:rPr>
            </w:pPr>
            <w:r w:rsidRPr="00501F15">
              <w:rPr>
                <w:lang w:val="en-US" w:eastAsia="ko-KR"/>
              </w:rPr>
              <w:t>Proposal 1: Consider PC2 NR SL intra-band contiguous CA in Rel-18 along with PC3.</w:t>
            </w:r>
          </w:p>
          <w:p w14:paraId="2D054BA5" w14:textId="77777777" w:rsidR="00BC6EEF" w:rsidRPr="00501F15" w:rsidRDefault="00BC6EEF" w:rsidP="00BC6EEF">
            <w:pPr>
              <w:rPr>
                <w:lang w:val="en-US" w:eastAsia="ko-KR"/>
              </w:rPr>
            </w:pPr>
            <w:r w:rsidRPr="00501F15">
              <w:rPr>
                <w:lang w:val="en-US" w:eastAsia="ko-KR"/>
              </w:rPr>
              <w:t>Proposal 2: Start SL CA MPR simulation on PSCCH and PSSCH by considering intra-band contiguous CA as starting point.</w:t>
            </w:r>
          </w:p>
          <w:p w14:paraId="2CEA52E6" w14:textId="153663CE" w:rsidR="00BC6EEF" w:rsidRPr="00501F15" w:rsidRDefault="00BC6EEF" w:rsidP="00BC6EEF">
            <w:r w:rsidRPr="00501F15">
              <w:rPr>
                <w:lang w:val="en-US" w:eastAsia="ko-KR"/>
              </w:rPr>
              <w:t>Proposal 3: Maximize reusing the existing requirements of NR intra-band contiguous CA.</w:t>
            </w:r>
          </w:p>
        </w:tc>
      </w:tr>
      <w:tr w:rsidR="007B26F9" w14:paraId="2B1974E2" w14:textId="77777777" w:rsidTr="00BE6FB4">
        <w:trPr>
          <w:trHeight w:val="468"/>
        </w:trPr>
        <w:tc>
          <w:tcPr>
            <w:tcW w:w="1622" w:type="dxa"/>
          </w:tcPr>
          <w:p w14:paraId="4DDA89AA" w14:textId="5FC277BA" w:rsidR="00501F15" w:rsidRPr="00BC6EEF" w:rsidRDefault="00501F15" w:rsidP="00501F15">
            <w:pPr>
              <w:spacing w:before="120" w:after="120"/>
            </w:pPr>
            <w:r>
              <w:t>R4-2308113</w:t>
            </w:r>
          </w:p>
        </w:tc>
        <w:tc>
          <w:tcPr>
            <w:tcW w:w="1424" w:type="dxa"/>
          </w:tcPr>
          <w:p w14:paraId="53E02196" w14:textId="42780C63" w:rsidR="00501F15" w:rsidRPr="00BC6EEF" w:rsidRDefault="00501F15" w:rsidP="00501F15">
            <w:pPr>
              <w:spacing w:before="120" w:after="120"/>
            </w:pPr>
            <w:r>
              <w:t>Nokia, Nokia Shanghai Bell</w:t>
            </w:r>
          </w:p>
        </w:tc>
        <w:tc>
          <w:tcPr>
            <w:tcW w:w="6585" w:type="dxa"/>
          </w:tcPr>
          <w:p w14:paraId="2B4BC86A" w14:textId="77777777" w:rsidR="00501F15" w:rsidRPr="00501F15" w:rsidRDefault="00501F15" w:rsidP="00501F15">
            <w:pPr>
              <w:pStyle w:val="RAN4proposal"/>
              <w:rPr>
                <w:b w:val="0"/>
              </w:rPr>
            </w:pPr>
            <w:bookmarkStart w:id="2" w:name="_Toc135041475"/>
            <w:r w:rsidRPr="00501F15">
              <w:rPr>
                <w:b w:val="0"/>
              </w:rPr>
              <w:t xml:space="preserve">RAN4 </w:t>
            </w:r>
            <w:r w:rsidRPr="00501F15">
              <w:rPr>
                <w:b w:val="0"/>
                <w:lang w:eastAsia="zh-CN"/>
              </w:rPr>
              <w:t>should reuse the existing requirements of NR intra-band contiguous CA as baseline when specifying RF requirements for NR sidelink intra-band CA</w:t>
            </w:r>
            <w:r w:rsidRPr="00501F15">
              <w:rPr>
                <w:b w:val="0"/>
              </w:rPr>
              <w:t>.</w:t>
            </w:r>
            <w:bookmarkEnd w:id="2"/>
          </w:p>
          <w:p w14:paraId="587567BC" w14:textId="77777777" w:rsidR="00501F15" w:rsidRPr="00341D62" w:rsidRDefault="00501F15" w:rsidP="00501F15">
            <w:pPr>
              <w:rPr>
                <w:b/>
                <w:lang w:val="en-US" w:eastAsia="ko-KR"/>
              </w:rPr>
            </w:pPr>
          </w:p>
        </w:tc>
      </w:tr>
      <w:tr w:rsidR="007B26F9" w14:paraId="1F79CF8D" w14:textId="77777777" w:rsidTr="00BE6FB4">
        <w:trPr>
          <w:trHeight w:val="468"/>
        </w:trPr>
        <w:tc>
          <w:tcPr>
            <w:tcW w:w="1622" w:type="dxa"/>
          </w:tcPr>
          <w:p w14:paraId="1BF9644F" w14:textId="3844ED9B" w:rsidR="00EF70A2" w:rsidRDefault="00EF70A2" w:rsidP="00EF70A2">
            <w:pPr>
              <w:spacing w:before="120" w:after="120"/>
            </w:pPr>
            <w:r>
              <w:t>R4-2308273</w:t>
            </w:r>
          </w:p>
        </w:tc>
        <w:tc>
          <w:tcPr>
            <w:tcW w:w="1424" w:type="dxa"/>
          </w:tcPr>
          <w:p w14:paraId="4989FAB9" w14:textId="475C25BB" w:rsidR="00EF70A2" w:rsidRDefault="00EF70A2" w:rsidP="00EF70A2">
            <w:pPr>
              <w:spacing w:before="120" w:after="120"/>
            </w:pPr>
            <w:r>
              <w:t>vivo</w:t>
            </w:r>
          </w:p>
        </w:tc>
        <w:tc>
          <w:tcPr>
            <w:tcW w:w="6585" w:type="dxa"/>
          </w:tcPr>
          <w:p w14:paraId="1F1C17BC" w14:textId="77777777" w:rsidR="00EF70A2" w:rsidRPr="00EF70A2" w:rsidRDefault="00EF70A2" w:rsidP="00EF70A2">
            <w:pPr>
              <w:rPr>
                <w:rFonts w:eastAsia="等线"/>
                <w:lang w:val="en-US" w:eastAsia="zh-CN"/>
              </w:rPr>
            </w:pPr>
            <w:r w:rsidRPr="00EF70A2">
              <w:rPr>
                <w:rFonts w:eastAsia="等线"/>
                <w:lang w:val="en-US" w:eastAsia="zh-CN"/>
              </w:rPr>
              <w:t>Proposal 2: Instead of saying reusing the requirements for LTE or NR intra-band contiguous CA, we need to study the Tx requirements case by case.</w:t>
            </w:r>
          </w:p>
          <w:p w14:paraId="13C75407" w14:textId="77777777" w:rsidR="00EF70A2" w:rsidRPr="00EF70A2" w:rsidRDefault="00EF70A2" w:rsidP="00EF70A2">
            <w:pPr>
              <w:rPr>
                <w:rFonts w:eastAsia="等线"/>
                <w:lang w:val="en-US" w:eastAsia="zh-CN"/>
              </w:rPr>
            </w:pPr>
            <w:r w:rsidRPr="00EF70A2">
              <w:rPr>
                <w:rFonts w:eastAsia="等线"/>
                <w:lang w:eastAsia="zh-CN"/>
              </w:rPr>
              <w:t>Proposal 3: It is suggested to study PC2 for SL_n47B for SL CA in Rel-18.</w:t>
            </w:r>
          </w:p>
          <w:p w14:paraId="4D6464BF" w14:textId="5611457D" w:rsidR="00EF70A2" w:rsidRPr="00EF70A2" w:rsidRDefault="00EF70A2" w:rsidP="00EF70A2">
            <w:pPr>
              <w:rPr>
                <w:rFonts w:eastAsia="等线"/>
                <w:b/>
                <w:lang w:eastAsia="zh-CN"/>
              </w:rPr>
            </w:pPr>
            <w:r w:rsidRPr="00EF70A2">
              <w:rPr>
                <w:rFonts w:eastAsia="等线"/>
                <w:lang w:eastAsia="zh-CN"/>
              </w:rPr>
              <w:t>Proposal 4: For SL_n47B, the reference sensitivity defined for single carrier operation in n47 as shown in Table 7.3E.2-1 shall apply for each component carrier with two CCs are activated at the same time.</w:t>
            </w:r>
            <w:r w:rsidRPr="007519BD">
              <w:rPr>
                <w:rFonts w:eastAsia="等线"/>
                <w:b/>
                <w:lang w:eastAsia="zh-CN"/>
              </w:rPr>
              <w:t xml:space="preserve"> </w:t>
            </w:r>
          </w:p>
        </w:tc>
      </w:tr>
      <w:tr w:rsidR="007B26F9" w14:paraId="5455D22E" w14:textId="77777777" w:rsidTr="00BE6FB4">
        <w:trPr>
          <w:trHeight w:val="468"/>
        </w:trPr>
        <w:tc>
          <w:tcPr>
            <w:tcW w:w="1622" w:type="dxa"/>
          </w:tcPr>
          <w:p w14:paraId="2D1F24FC" w14:textId="25D1B204" w:rsidR="00D5158A" w:rsidRDefault="00D5158A" w:rsidP="00EF70A2">
            <w:pPr>
              <w:spacing w:before="120" w:after="120"/>
            </w:pPr>
            <w:r>
              <w:t>R4-2308607</w:t>
            </w:r>
          </w:p>
        </w:tc>
        <w:tc>
          <w:tcPr>
            <w:tcW w:w="1424" w:type="dxa"/>
          </w:tcPr>
          <w:p w14:paraId="1EDAAD91" w14:textId="732C04B1" w:rsidR="00D5158A" w:rsidRDefault="00D5158A" w:rsidP="00EF70A2">
            <w:pPr>
              <w:spacing w:before="120" w:after="120"/>
            </w:pPr>
            <w:r>
              <w:t>Huawei, Hisilicon</w:t>
            </w:r>
          </w:p>
        </w:tc>
        <w:tc>
          <w:tcPr>
            <w:tcW w:w="6585" w:type="dxa"/>
          </w:tcPr>
          <w:p w14:paraId="4E29F646" w14:textId="77777777" w:rsidR="004E298E" w:rsidRDefault="004E298E" w:rsidP="004E298E">
            <w:pPr>
              <w:rPr>
                <w:rFonts w:eastAsia="等线"/>
                <w:lang w:val="en-US" w:eastAsia="zh-CN"/>
              </w:rPr>
            </w:pPr>
            <w:r w:rsidRPr="004E298E">
              <w:rPr>
                <w:rFonts w:eastAsia="等线"/>
                <w:lang w:val="en-US" w:eastAsia="zh-CN"/>
              </w:rPr>
              <w:t>Proposal 3: The configurations and band combination sets defined for sidelink as shown in Table 1 can be considered.</w:t>
            </w:r>
          </w:p>
          <w:p w14:paraId="329C9AD7" w14:textId="66E495F1" w:rsidR="004E298E" w:rsidRPr="004E298E" w:rsidRDefault="004E298E" w:rsidP="004E298E">
            <w:pPr>
              <w:rPr>
                <w:rFonts w:eastAsia="等线"/>
                <w:lang w:val="en-US" w:eastAsia="zh-CN"/>
              </w:rPr>
            </w:pPr>
            <w:r>
              <w:rPr>
                <w:noProof/>
                <w:lang w:val="en-US" w:eastAsia="zh-CN"/>
              </w:rPr>
              <w:drawing>
                <wp:inline distT="0" distB="0" distL="0" distR="0" wp14:anchorId="6A5926A0" wp14:editId="7D393360">
                  <wp:extent cx="4029042" cy="13945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7565" cy="1428657"/>
                          </a:xfrm>
                          <a:prstGeom prst="rect">
                            <a:avLst/>
                          </a:prstGeom>
                        </pic:spPr>
                      </pic:pic>
                    </a:graphicData>
                  </a:graphic>
                </wp:inline>
              </w:drawing>
            </w:r>
          </w:p>
          <w:p w14:paraId="3AD9B92A" w14:textId="77777777" w:rsidR="004E298E" w:rsidRPr="004E298E" w:rsidRDefault="004E298E" w:rsidP="004E298E">
            <w:pPr>
              <w:rPr>
                <w:rFonts w:eastAsia="等线"/>
                <w:lang w:val="en-US" w:eastAsia="zh-CN"/>
              </w:rPr>
            </w:pPr>
            <w:r w:rsidRPr="004E298E">
              <w:rPr>
                <w:rFonts w:eastAsia="等线"/>
                <w:lang w:val="en-US" w:eastAsia="zh-CN"/>
              </w:rPr>
              <w:t>Proposal 4: The specific channel bandwidths for SL_n47B should be considered according to operators’ demand.</w:t>
            </w:r>
          </w:p>
          <w:p w14:paraId="4DA16303" w14:textId="77777777" w:rsidR="004E298E" w:rsidRPr="004E298E" w:rsidRDefault="004E298E" w:rsidP="004E298E">
            <w:pPr>
              <w:rPr>
                <w:rFonts w:eastAsia="等线"/>
                <w:lang w:val="en-US" w:eastAsia="zh-CN"/>
              </w:rPr>
            </w:pPr>
            <w:r w:rsidRPr="004E298E">
              <w:rPr>
                <w:rFonts w:eastAsia="等线"/>
                <w:lang w:val="en-US" w:eastAsia="zh-CN"/>
              </w:rPr>
              <w:t>Proposal 5: The restrictions on the channel spacing is required for SL CA, to maintain the orthogonality for the intra-band two carriers with LTE-V.</w:t>
            </w:r>
          </w:p>
          <w:p w14:paraId="4360535D" w14:textId="77777777" w:rsidR="004E298E" w:rsidRPr="004E298E" w:rsidRDefault="004E298E" w:rsidP="004E298E">
            <w:pPr>
              <w:rPr>
                <w:rFonts w:eastAsia="等线"/>
                <w:lang w:val="en-US" w:eastAsia="zh-CN"/>
              </w:rPr>
            </w:pPr>
            <w:r w:rsidRPr="004E298E">
              <w:rPr>
                <w:rFonts w:eastAsia="等线"/>
                <w:lang w:val="en-US" w:eastAsia="zh-CN"/>
              </w:rPr>
              <w:t>Proposal 6: The switching between SL CA and LTE-V should be considered in Rel-18.</w:t>
            </w:r>
          </w:p>
          <w:p w14:paraId="616AF87D" w14:textId="77777777" w:rsidR="004E298E" w:rsidRPr="004E298E" w:rsidRDefault="004E298E" w:rsidP="004E298E">
            <w:pPr>
              <w:rPr>
                <w:rFonts w:eastAsia="等线"/>
                <w:lang w:val="en-US" w:eastAsia="zh-CN"/>
              </w:rPr>
            </w:pPr>
            <w:r w:rsidRPr="004E298E">
              <w:rPr>
                <w:rFonts w:eastAsia="等线"/>
                <w:lang w:val="en-US" w:eastAsia="zh-CN"/>
              </w:rPr>
              <w:t>Proposal 7: The optimization for symbol-level switching time similar to that of Tx switching for SL CA and uplink transmission can be considered.</w:t>
            </w:r>
          </w:p>
          <w:p w14:paraId="5FCBCE37" w14:textId="77777777" w:rsidR="004E298E" w:rsidRPr="004E298E" w:rsidRDefault="004E298E" w:rsidP="004E298E">
            <w:pPr>
              <w:rPr>
                <w:rFonts w:eastAsia="等线"/>
                <w:lang w:val="en-US" w:eastAsia="zh-CN"/>
              </w:rPr>
            </w:pPr>
            <w:r w:rsidRPr="004E298E">
              <w:rPr>
                <w:rFonts w:eastAsia="等线"/>
                <w:lang w:val="en-US" w:eastAsia="zh-CN"/>
              </w:rPr>
              <w:t>Proposal 8: Rel-18 support only PC3 for intra-band contiguous sidelink CA.</w:t>
            </w:r>
          </w:p>
          <w:p w14:paraId="46415B3B" w14:textId="28B30905" w:rsidR="00D5158A" w:rsidRPr="00EF70A2" w:rsidRDefault="004E298E" w:rsidP="004E298E">
            <w:pPr>
              <w:rPr>
                <w:rFonts w:eastAsia="等线"/>
                <w:lang w:val="en-US" w:eastAsia="zh-CN"/>
              </w:rPr>
            </w:pPr>
            <w:r w:rsidRPr="004E298E">
              <w:rPr>
                <w:rFonts w:eastAsia="等线"/>
                <w:lang w:val="en-US" w:eastAsia="zh-CN"/>
              </w:rPr>
              <w:t>Proposal 9: Non-contiguous RB allocation of PSFCH for intra-band contiguous SL CA and the restriction on the number of PSFCH can be considered.</w:t>
            </w:r>
          </w:p>
        </w:tc>
      </w:tr>
      <w:tr w:rsidR="007B26F9" w14:paraId="44A48691" w14:textId="77777777" w:rsidTr="00BE6FB4">
        <w:trPr>
          <w:trHeight w:val="468"/>
        </w:trPr>
        <w:tc>
          <w:tcPr>
            <w:tcW w:w="1622" w:type="dxa"/>
          </w:tcPr>
          <w:p w14:paraId="73290E2E" w14:textId="69EB4050" w:rsidR="007B26F9" w:rsidRDefault="007B26F9" w:rsidP="00EF70A2">
            <w:pPr>
              <w:spacing w:before="120" w:after="120"/>
            </w:pPr>
            <w:r>
              <w:t>R4-2308984</w:t>
            </w:r>
          </w:p>
        </w:tc>
        <w:tc>
          <w:tcPr>
            <w:tcW w:w="1424" w:type="dxa"/>
          </w:tcPr>
          <w:p w14:paraId="0911FEF7" w14:textId="2431BDC3" w:rsidR="007B26F9" w:rsidRDefault="007B26F9" w:rsidP="00EF70A2">
            <w:pPr>
              <w:spacing w:before="120" w:after="120"/>
            </w:pPr>
            <w:r>
              <w:t>OPPO</w:t>
            </w:r>
          </w:p>
        </w:tc>
        <w:tc>
          <w:tcPr>
            <w:tcW w:w="6585" w:type="dxa"/>
          </w:tcPr>
          <w:p w14:paraId="7B9726EF" w14:textId="77777777" w:rsidR="007B26F9" w:rsidRPr="007B26F9" w:rsidRDefault="007B26F9" w:rsidP="007B26F9">
            <w:pPr>
              <w:rPr>
                <w:rFonts w:eastAsia="等线"/>
                <w:lang w:val="en-US" w:eastAsia="zh-CN"/>
              </w:rPr>
            </w:pPr>
            <w:r w:rsidRPr="007B26F9">
              <w:rPr>
                <w:rFonts w:eastAsia="等线"/>
                <w:lang w:val="en-US" w:eastAsia="zh-CN"/>
              </w:rPr>
              <w:t>Observation 1: For LTE V2X, even PC2 has already been defined for band 47, the intra-band CA of band 47 only define PC3 requirement.</w:t>
            </w:r>
          </w:p>
          <w:p w14:paraId="70BD8D6A" w14:textId="77777777" w:rsidR="007B26F9" w:rsidRDefault="007B26F9" w:rsidP="007B26F9">
            <w:pPr>
              <w:rPr>
                <w:rFonts w:eastAsia="等线"/>
                <w:lang w:val="en-US" w:eastAsia="zh-CN"/>
              </w:rPr>
            </w:pPr>
            <w:r w:rsidRPr="007B26F9">
              <w:rPr>
                <w:rFonts w:eastAsia="等线"/>
                <w:lang w:val="en-US" w:eastAsia="zh-CN"/>
              </w:rPr>
              <w:t>Proposal 1: To agree on the configurations for sidelink CA 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627"/>
              <w:gridCol w:w="916"/>
              <w:gridCol w:w="1206"/>
              <w:gridCol w:w="1066"/>
              <w:gridCol w:w="1177"/>
            </w:tblGrid>
            <w:tr w:rsidR="007B26F9" w14:paraId="2A6D8072" w14:textId="77777777" w:rsidTr="007B26F9">
              <w:trPr>
                <w:trHeight w:val="187"/>
                <w:jc w:val="center"/>
              </w:trPr>
              <w:tc>
                <w:tcPr>
                  <w:tcW w:w="902" w:type="pct"/>
                  <w:tcBorders>
                    <w:left w:val="single" w:sz="4" w:space="0" w:color="000000"/>
                    <w:bottom w:val="nil"/>
                    <w:right w:val="single" w:sz="4" w:space="0" w:color="000000"/>
                  </w:tcBorders>
                  <w:shd w:val="clear" w:color="auto" w:fill="auto"/>
                  <w:vAlign w:val="center"/>
                </w:tcPr>
                <w:p w14:paraId="37679AF7" w14:textId="77777777" w:rsidR="007B26F9" w:rsidRDefault="007B26F9" w:rsidP="007B26F9">
                  <w:pPr>
                    <w:keepNext/>
                    <w:keepLines/>
                    <w:spacing w:after="0"/>
                    <w:jc w:val="center"/>
                    <w:rPr>
                      <w:b/>
                      <w:color w:val="000000"/>
                      <w:sz w:val="18"/>
                      <w:szCs w:val="18"/>
                    </w:rPr>
                  </w:pPr>
                  <w:r>
                    <w:rPr>
                      <w:b/>
                      <w:color w:val="000000"/>
                      <w:sz w:val="18"/>
                      <w:szCs w:val="18"/>
                    </w:rPr>
                    <w:t>NR V2X intra-band con-current operating configuration</w:t>
                  </w:r>
                </w:p>
              </w:tc>
              <w:tc>
                <w:tcPr>
                  <w:tcW w:w="422" w:type="pct"/>
                  <w:tcBorders>
                    <w:left w:val="single" w:sz="4" w:space="0" w:color="000000"/>
                    <w:right w:val="single" w:sz="4" w:space="0" w:color="000000"/>
                  </w:tcBorders>
                  <w:vAlign w:val="center"/>
                </w:tcPr>
                <w:p w14:paraId="1CB0C023" w14:textId="77777777" w:rsidR="007B26F9" w:rsidRDefault="007B26F9" w:rsidP="007B26F9">
                  <w:pPr>
                    <w:keepNext/>
                    <w:keepLines/>
                    <w:spacing w:after="0"/>
                    <w:jc w:val="center"/>
                    <w:rPr>
                      <w:b/>
                      <w:color w:val="000000"/>
                      <w:sz w:val="18"/>
                      <w:szCs w:val="18"/>
                    </w:rPr>
                  </w:pPr>
                  <w:r>
                    <w:rPr>
                      <w:b/>
                      <w:color w:val="000000"/>
                      <w:sz w:val="18"/>
                      <w:szCs w:val="18"/>
                    </w:rPr>
                    <w:t>NR Band</w:t>
                  </w:r>
                </w:p>
              </w:tc>
              <w:tc>
                <w:tcPr>
                  <w:tcW w:w="530" w:type="pct"/>
                  <w:tcBorders>
                    <w:left w:val="single" w:sz="4" w:space="0" w:color="000000"/>
                    <w:right w:val="single" w:sz="4" w:space="0" w:color="000000"/>
                  </w:tcBorders>
                  <w:vAlign w:val="center"/>
                </w:tcPr>
                <w:p w14:paraId="43C7C05A" w14:textId="77777777" w:rsidR="007B26F9" w:rsidRDefault="007B26F9" w:rsidP="007B26F9">
                  <w:pPr>
                    <w:keepNext/>
                    <w:keepLines/>
                    <w:spacing w:after="0"/>
                    <w:jc w:val="center"/>
                    <w:rPr>
                      <w:b/>
                      <w:color w:val="000000"/>
                      <w:sz w:val="18"/>
                      <w:szCs w:val="18"/>
                    </w:rPr>
                  </w:pPr>
                  <w:r>
                    <w:rPr>
                      <w:b/>
                      <w:color w:val="000000"/>
                      <w:sz w:val="18"/>
                      <w:szCs w:val="18"/>
                    </w:rPr>
                    <w:t>Interface</w:t>
                  </w:r>
                </w:p>
              </w:tc>
              <w:tc>
                <w:tcPr>
                  <w:tcW w:w="1829" w:type="pct"/>
                  <w:tcBorders>
                    <w:top w:val="single" w:sz="4" w:space="0" w:color="000000"/>
                    <w:left w:val="single" w:sz="4" w:space="0" w:color="000000"/>
                    <w:bottom w:val="single" w:sz="4" w:space="0" w:color="000000"/>
                    <w:right w:val="single" w:sz="4" w:space="0" w:color="000000"/>
                  </w:tcBorders>
                  <w:vAlign w:val="center"/>
                </w:tcPr>
                <w:p w14:paraId="612B1B07" w14:textId="77777777" w:rsidR="007B26F9" w:rsidRDefault="007B26F9" w:rsidP="007B26F9">
                  <w:pPr>
                    <w:keepNext/>
                    <w:keepLines/>
                    <w:spacing w:after="0"/>
                    <w:jc w:val="center"/>
                    <w:rPr>
                      <w:b/>
                      <w:color w:val="000000"/>
                      <w:sz w:val="18"/>
                      <w:szCs w:val="18"/>
                    </w:rPr>
                  </w:pPr>
                  <w:r>
                    <w:rPr>
                      <w:b/>
                      <w:color w:val="000000"/>
                      <w:sz w:val="18"/>
                      <w:szCs w:val="18"/>
                    </w:rPr>
                    <w:t>Channel bandwidth (MHz) (NOTE 1)</w:t>
                  </w:r>
                </w:p>
              </w:tc>
              <w:tc>
                <w:tcPr>
                  <w:tcW w:w="613" w:type="pct"/>
                  <w:tcBorders>
                    <w:left w:val="single" w:sz="4" w:space="0" w:color="000000"/>
                    <w:bottom w:val="nil"/>
                    <w:right w:val="single" w:sz="4" w:space="0" w:color="000000"/>
                  </w:tcBorders>
                </w:tcPr>
                <w:p w14:paraId="4DB8CFAE" w14:textId="77777777" w:rsidR="007B26F9" w:rsidRDefault="007B26F9" w:rsidP="007B26F9">
                  <w:pPr>
                    <w:keepNext/>
                    <w:keepLines/>
                    <w:spacing w:after="0"/>
                    <w:jc w:val="center"/>
                    <w:rPr>
                      <w:b/>
                      <w:color w:val="000000"/>
                      <w:sz w:val="18"/>
                      <w:szCs w:val="18"/>
                    </w:rPr>
                  </w:pPr>
                  <w:r>
                    <w:rPr>
                      <w:b/>
                      <w:color w:val="000000"/>
                      <w:sz w:val="18"/>
                      <w:szCs w:val="18"/>
                    </w:rPr>
                    <w:t>Maximum aggregated bandwidth (MHz)</w:t>
                  </w:r>
                </w:p>
              </w:tc>
              <w:tc>
                <w:tcPr>
                  <w:tcW w:w="704" w:type="pct"/>
                  <w:tcBorders>
                    <w:left w:val="single" w:sz="4" w:space="0" w:color="000000"/>
                    <w:bottom w:val="nil"/>
                    <w:right w:val="single" w:sz="4" w:space="0" w:color="000000"/>
                  </w:tcBorders>
                  <w:shd w:val="clear" w:color="auto" w:fill="auto"/>
                  <w:vAlign w:val="center"/>
                </w:tcPr>
                <w:p w14:paraId="460434E1" w14:textId="77777777" w:rsidR="007B26F9" w:rsidRDefault="007B26F9" w:rsidP="007B26F9">
                  <w:pPr>
                    <w:keepNext/>
                    <w:keepLines/>
                    <w:spacing w:after="0"/>
                    <w:jc w:val="center"/>
                    <w:rPr>
                      <w:b/>
                      <w:color w:val="000000"/>
                      <w:sz w:val="18"/>
                      <w:szCs w:val="18"/>
                    </w:rPr>
                  </w:pPr>
                  <w:r>
                    <w:rPr>
                      <w:b/>
                      <w:color w:val="000000"/>
                      <w:sz w:val="18"/>
                      <w:szCs w:val="18"/>
                    </w:rPr>
                    <w:t>Bandwidth combination set</w:t>
                  </w:r>
                </w:p>
              </w:tc>
            </w:tr>
            <w:tr w:rsidR="007B26F9" w14:paraId="1E175045" w14:textId="77777777" w:rsidTr="007B26F9">
              <w:trPr>
                <w:trHeight w:val="187"/>
                <w:jc w:val="center"/>
              </w:trPr>
              <w:tc>
                <w:tcPr>
                  <w:tcW w:w="902" w:type="pct"/>
                  <w:tcBorders>
                    <w:left w:val="single" w:sz="4" w:space="0" w:color="000000"/>
                    <w:bottom w:val="nil"/>
                    <w:right w:val="single" w:sz="4" w:space="0" w:color="000000"/>
                  </w:tcBorders>
                  <w:shd w:val="clear" w:color="auto" w:fill="auto"/>
                  <w:vAlign w:val="center"/>
                </w:tcPr>
                <w:p w14:paraId="45E54DAF" w14:textId="77777777" w:rsidR="007B26F9" w:rsidRDefault="007B26F9" w:rsidP="007B26F9">
                  <w:pPr>
                    <w:keepNext/>
                    <w:keepLines/>
                    <w:spacing w:after="0"/>
                    <w:ind w:left="440"/>
                    <w:jc w:val="center"/>
                    <w:rPr>
                      <w:b/>
                      <w:color w:val="000000"/>
                      <w:sz w:val="18"/>
                      <w:szCs w:val="18"/>
                    </w:rPr>
                  </w:pPr>
                  <w:r>
                    <w:rPr>
                      <w:b/>
                      <w:color w:val="000000"/>
                      <w:sz w:val="18"/>
                      <w:szCs w:val="18"/>
                    </w:rPr>
                    <w:lastRenderedPageBreak/>
                    <w:t>SL_n47B</w:t>
                  </w:r>
                </w:p>
              </w:tc>
              <w:tc>
                <w:tcPr>
                  <w:tcW w:w="422" w:type="pct"/>
                  <w:tcBorders>
                    <w:left w:val="single" w:sz="4" w:space="0" w:color="000000"/>
                    <w:right w:val="single" w:sz="4" w:space="0" w:color="000000"/>
                  </w:tcBorders>
                  <w:vAlign w:val="center"/>
                </w:tcPr>
                <w:p w14:paraId="08E21C3A" w14:textId="77777777" w:rsidR="007B26F9" w:rsidRDefault="007B26F9" w:rsidP="007B26F9">
                  <w:pPr>
                    <w:keepNext/>
                    <w:keepLines/>
                    <w:spacing w:after="0"/>
                    <w:jc w:val="center"/>
                    <w:rPr>
                      <w:b/>
                      <w:color w:val="000000"/>
                      <w:sz w:val="18"/>
                      <w:szCs w:val="18"/>
                    </w:rPr>
                  </w:pPr>
                  <w:r>
                    <w:rPr>
                      <w:b/>
                      <w:color w:val="000000"/>
                      <w:sz w:val="18"/>
                      <w:szCs w:val="18"/>
                    </w:rPr>
                    <w:t>n47</w:t>
                  </w:r>
                </w:p>
              </w:tc>
              <w:tc>
                <w:tcPr>
                  <w:tcW w:w="530" w:type="pct"/>
                  <w:vMerge w:val="restart"/>
                  <w:tcBorders>
                    <w:left w:val="single" w:sz="4" w:space="0" w:color="000000"/>
                    <w:right w:val="single" w:sz="4" w:space="0" w:color="000000"/>
                  </w:tcBorders>
                </w:tcPr>
                <w:p w14:paraId="656194E4" w14:textId="77777777" w:rsidR="007B26F9" w:rsidRDefault="007B26F9" w:rsidP="007B26F9">
                  <w:pPr>
                    <w:keepNext/>
                    <w:keepLines/>
                    <w:spacing w:after="0"/>
                    <w:jc w:val="center"/>
                    <w:rPr>
                      <w:b/>
                      <w:color w:val="000000"/>
                      <w:sz w:val="18"/>
                      <w:szCs w:val="18"/>
                    </w:rPr>
                  </w:pPr>
                  <w:r>
                    <w:rPr>
                      <w:b/>
                      <w:color w:val="000000"/>
                      <w:sz w:val="18"/>
                      <w:szCs w:val="18"/>
                    </w:rPr>
                    <w:t>PC5</w:t>
                  </w:r>
                </w:p>
              </w:tc>
              <w:tc>
                <w:tcPr>
                  <w:tcW w:w="1829" w:type="pct"/>
                  <w:tcBorders>
                    <w:top w:val="single" w:sz="4" w:space="0" w:color="000000"/>
                    <w:left w:val="single" w:sz="4" w:space="0" w:color="000000"/>
                    <w:bottom w:val="single" w:sz="4" w:space="0" w:color="000000"/>
                    <w:right w:val="single" w:sz="4" w:space="0" w:color="000000"/>
                  </w:tcBorders>
                  <w:vAlign w:val="center"/>
                </w:tcPr>
                <w:p w14:paraId="6B99D507" w14:textId="77777777" w:rsidR="007B26F9" w:rsidRDefault="007B26F9" w:rsidP="007B26F9">
                  <w:pPr>
                    <w:keepNext/>
                    <w:keepLines/>
                    <w:spacing w:after="0"/>
                    <w:ind w:left="440"/>
                    <w:jc w:val="center"/>
                    <w:rPr>
                      <w:b/>
                      <w:color w:val="000000"/>
                      <w:sz w:val="18"/>
                      <w:szCs w:val="18"/>
                    </w:rPr>
                  </w:pPr>
                  <w:r>
                    <w:rPr>
                      <w:b/>
                      <w:color w:val="000000"/>
                      <w:sz w:val="18"/>
                      <w:szCs w:val="18"/>
                    </w:rPr>
                    <w:t>10, 20, 30, 40</w:t>
                  </w:r>
                </w:p>
              </w:tc>
              <w:tc>
                <w:tcPr>
                  <w:tcW w:w="613" w:type="pct"/>
                  <w:tcBorders>
                    <w:left w:val="single" w:sz="4" w:space="0" w:color="000000"/>
                    <w:bottom w:val="nil"/>
                    <w:right w:val="single" w:sz="4" w:space="0" w:color="000000"/>
                  </w:tcBorders>
                </w:tcPr>
                <w:p w14:paraId="078E6475" w14:textId="77777777" w:rsidR="007B26F9" w:rsidRDefault="007B26F9" w:rsidP="007B26F9">
                  <w:pPr>
                    <w:keepNext/>
                    <w:keepLines/>
                    <w:spacing w:after="0"/>
                    <w:ind w:left="440"/>
                    <w:rPr>
                      <w:b/>
                      <w:color w:val="000000"/>
                      <w:sz w:val="18"/>
                      <w:szCs w:val="18"/>
                    </w:rPr>
                  </w:pPr>
                  <w:r>
                    <w:rPr>
                      <w:b/>
                      <w:color w:val="000000"/>
                      <w:sz w:val="18"/>
                      <w:szCs w:val="18"/>
                    </w:rPr>
                    <w:t>70</w:t>
                  </w:r>
                </w:p>
              </w:tc>
              <w:tc>
                <w:tcPr>
                  <w:tcW w:w="704" w:type="pct"/>
                  <w:tcBorders>
                    <w:left w:val="single" w:sz="4" w:space="0" w:color="000000"/>
                    <w:bottom w:val="nil"/>
                    <w:right w:val="single" w:sz="4" w:space="0" w:color="000000"/>
                  </w:tcBorders>
                  <w:shd w:val="clear" w:color="auto" w:fill="auto"/>
                  <w:vAlign w:val="center"/>
                </w:tcPr>
                <w:p w14:paraId="7CB09A2B" w14:textId="77777777" w:rsidR="007B26F9" w:rsidRDefault="007B26F9" w:rsidP="007B26F9">
                  <w:pPr>
                    <w:keepNext/>
                    <w:keepLines/>
                    <w:spacing w:after="0"/>
                    <w:ind w:left="440"/>
                    <w:rPr>
                      <w:b/>
                      <w:color w:val="000000"/>
                      <w:sz w:val="18"/>
                      <w:szCs w:val="18"/>
                    </w:rPr>
                  </w:pPr>
                  <w:r>
                    <w:rPr>
                      <w:b/>
                      <w:color w:val="000000"/>
                      <w:sz w:val="18"/>
                      <w:szCs w:val="18"/>
                    </w:rPr>
                    <w:t>0</w:t>
                  </w:r>
                </w:p>
              </w:tc>
            </w:tr>
            <w:tr w:rsidR="007B26F9" w14:paraId="3A995CD5" w14:textId="77777777" w:rsidTr="007B26F9">
              <w:trPr>
                <w:trHeight w:val="187"/>
                <w:jc w:val="center"/>
              </w:trPr>
              <w:tc>
                <w:tcPr>
                  <w:tcW w:w="902" w:type="pct"/>
                  <w:tcBorders>
                    <w:top w:val="nil"/>
                    <w:left w:val="single" w:sz="4" w:space="0" w:color="000000"/>
                    <w:bottom w:val="single" w:sz="4" w:space="0" w:color="000000"/>
                    <w:right w:val="single" w:sz="4" w:space="0" w:color="000000"/>
                  </w:tcBorders>
                  <w:shd w:val="clear" w:color="auto" w:fill="auto"/>
                  <w:vAlign w:val="center"/>
                </w:tcPr>
                <w:p w14:paraId="7F6F2939" w14:textId="77777777" w:rsidR="007B26F9" w:rsidRDefault="007B26F9" w:rsidP="007B26F9">
                  <w:pPr>
                    <w:keepNext/>
                    <w:keepLines/>
                    <w:spacing w:after="0"/>
                    <w:ind w:left="440"/>
                    <w:jc w:val="center"/>
                    <w:rPr>
                      <w:b/>
                      <w:color w:val="000000"/>
                      <w:sz w:val="18"/>
                      <w:szCs w:val="18"/>
                    </w:rPr>
                  </w:pPr>
                </w:p>
              </w:tc>
              <w:tc>
                <w:tcPr>
                  <w:tcW w:w="422" w:type="pct"/>
                  <w:tcBorders>
                    <w:left w:val="single" w:sz="4" w:space="0" w:color="000000"/>
                    <w:right w:val="single" w:sz="4" w:space="0" w:color="000000"/>
                  </w:tcBorders>
                  <w:vAlign w:val="center"/>
                </w:tcPr>
                <w:p w14:paraId="668D7ED1" w14:textId="77777777" w:rsidR="007B26F9" w:rsidRDefault="007B26F9" w:rsidP="007B26F9">
                  <w:pPr>
                    <w:keepNext/>
                    <w:keepLines/>
                    <w:spacing w:after="0"/>
                    <w:jc w:val="center"/>
                    <w:rPr>
                      <w:b/>
                      <w:color w:val="000000"/>
                      <w:sz w:val="18"/>
                      <w:szCs w:val="18"/>
                    </w:rPr>
                  </w:pPr>
                  <w:r>
                    <w:rPr>
                      <w:b/>
                      <w:color w:val="000000"/>
                      <w:sz w:val="18"/>
                      <w:szCs w:val="18"/>
                    </w:rPr>
                    <w:t>n47</w:t>
                  </w:r>
                </w:p>
              </w:tc>
              <w:tc>
                <w:tcPr>
                  <w:tcW w:w="530" w:type="pct"/>
                  <w:vMerge/>
                  <w:tcBorders>
                    <w:left w:val="single" w:sz="4" w:space="0" w:color="000000"/>
                    <w:right w:val="single" w:sz="4" w:space="0" w:color="000000"/>
                  </w:tcBorders>
                </w:tcPr>
                <w:p w14:paraId="5D4715BB" w14:textId="77777777" w:rsidR="007B26F9" w:rsidRDefault="007B26F9" w:rsidP="007B26F9">
                  <w:pPr>
                    <w:spacing w:after="0" w:line="276" w:lineRule="auto"/>
                    <w:rPr>
                      <w:b/>
                      <w:color w:val="000000"/>
                      <w:sz w:val="18"/>
                      <w:szCs w:val="18"/>
                    </w:rPr>
                  </w:pPr>
                </w:p>
              </w:tc>
              <w:tc>
                <w:tcPr>
                  <w:tcW w:w="1829" w:type="pct"/>
                  <w:tcBorders>
                    <w:top w:val="single" w:sz="4" w:space="0" w:color="000000"/>
                    <w:left w:val="single" w:sz="4" w:space="0" w:color="000000"/>
                    <w:bottom w:val="single" w:sz="4" w:space="0" w:color="000000"/>
                    <w:right w:val="single" w:sz="4" w:space="0" w:color="000000"/>
                  </w:tcBorders>
                  <w:vAlign w:val="center"/>
                </w:tcPr>
                <w:p w14:paraId="0B197FCD" w14:textId="77777777" w:rsidR="007B26F9" w:rsidRDefault="007B26F9" w:rsidP="007B26F9">
                  <w:pPr>
                    <w:keepNext/>
                    <w:keepLines/>
                    <w:spacing w:after="0"/>
                    <w:ind w:left="440"/>
                    <w:jc w:val="center"/>
                    <w:rPr>
                      <w:b/>
                      <w:color w:val="000000"/>
                      <w:sz w:val="18"/>
                      <w:szCs w:val="18"/>
                    </w:rPr>
                  </w:pPr>
                  <w:r>
                    <w:rPr>
                      <w:b/>
                      <w:color w:val="000000"/>
                      <w:sz w:val="18"/>
                      <w:szCs w:val="18"/>
                    </w:rPr>
                    <w:t>10, 20, 30</w:t>
                  </w:r>
                </w:p>
              </w:tc>
              <w:tc>
                <w:tcPr>
                  <w:tcW w:w="613" w:type="pct"/>
                  <w:tcBorders>
                    <w:top w:val="nil"/>
                    <w:left w:val="single" w:sz="4" w:space="0" w:color="000000"/>
                    <w:bottom w:val="single" w:sz="4" w:space="0" w:color="000000"/>
                    <w:right w:val="single" w:sz="4" w:space="0" w:color="000000"/>
                  </w:tcBorders>
                </w:tcPr>
                <w:p w14:paraId="6C489F48" w14:textId="77777777" w:rsidR="007B26F9" w:rsidRDefault="007B26F9" w:rsidP="007B26F9">
                  <w:pPr>
                    <w:keepNext/>
                    <w:keepLines/>
                    <w:spacing w:after="0"/>
                    <w:ind w:left="440"/>
                    <w:jc w:val="center"/>
                    <w:rPr>
                      <w:b/>
                      <w:color w:val="000000"/>
                      <w:sz w:val="18"/>
                      <w:szCs w:val="18"/>
                    </w:rPr>
                  </w:pPr>
                </w:p>
              </w:tc>
              <w:tc>
                <w:tcPr>
                  <w:tcW w:w="704" w:type="pct"/>
                  <w:tcBorders>
                    <w:top w:val="nil"/>
                    <w:left w:val="single" w:sz="4" w:space="0" w:color="000000"/>
                    <w:bottom w:val="single" w:sz="4" w:space="0" w:color="000000"/>
                    <w:right w:val="single" w:sz="4" w:space="0" w:color="000000"/>
                  </w:tcBorders>
                  <w:shd w:val="clear" w:color="auto" w:fill="auto"/>
                  <w:vAlign w:val="center"/>
                </w:tcPr>
                <w:p w14:paraId="391375C2" w14:textId="77777777" w:rsidR="007B26F9" w:rsidRDefault="007B26F9" w:rsidP="007B26F9">
                  <w:pPr>
                    <w:keepNext/>
                    <w:keepLines/>
                    <w:spacing w:after="0"/>
                    <w:ind w:left="440"/>
                    <w:jc w:val="center"/>
                    <w:rPr>
                      <w:b/>
                      <w:color w:val="000000"/>
                      <w:sz w:val="18"/>
                      <w:szCs w:val="18"/>
                    </w:rPr>
                  </w:pPr>
                </w:p>
              </w:tc>
            </w:tr>
            <w:tr w:rsidR="007B26F9" w14:paraId="7DEC2E86" w14:textId="77777777" w:rsidTr="007B26F9">
              <w:trPr>
                <w:trHeight w:val="187"/>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88B2A8D" w14:textId="77777777" w:rsidR="007B26F9" w:rsidRDefault="007B26F9" w:rsidP="007B26F9">
                  <w:pPr>
                    <w:keepNext/>
                    <w:keepLines/>
                    <w:spacing w:after="0"/>
                    <w:ind w:left="851" w:hanging="851"/>
                    <w:rPr>
                      <w:b/>
                      <w:color w:val="000000"/>
                      <w:sz w:val="18"/>
                      <w:szCs w:val="18"/>
                    </w:rPr>
                  </w:pPr>
                  <w:r>
                    <w:rPr>
                      <w:b/>
                      <w:color w:val="000000"/>
                      <w:sz w:val="18"/>
                      <w:szCs w:val="18"/>
                    </w:rPr>
                    <w:t xml:space="preserve">NOTE 1: </w:t>
                  </w:r>
                  <w:r>
                    <w:rPr>
                      <w:b/>
                      <w:color w:val="000000"/>
                      <w:sz w:val="18"/>
                      <w:szCs w:val="18"/>
                    </w:rPr>
                    <w:tab/>
                    <w:t>The SCS of each channel bandwidth for NR band refers to Table 5.3.5-1 in TS38.101-1.</w:t>
                  </w:r>
                </w:p>
              </w:tc>
            </w:tr>
          </w:tbl>
          <w:p w14:paraId="45CF2913" w14:textId="77777777" w:rsidR="007B26F9" w:rsidRPr="007B26F9" w:rsidRDefault="007B26F9" w:rsidP="007B26F9">
            <w:pPr>
              <w:rPr>
                <w:rFonts w:eastAsia="等线"/>
                <w:lang w:val="en-US" w:eastAsia="zh-CN"/>
              </w:rPr>
            </w:pPr>
          </w:p>
          <w:p w14:paraId="32E71F9C" w14:textId="77777777" w:rsidR="007B26F9" w:rsidRPr="007B26F9" w:rsidRDefault="007B26F9" w:rsidP="007B26F9">
            <w:pPr>
              <w:rPr>
                <w:rFonts w:eastAsia="等线"/>
                <w:lang w:val="en-US" w:eastAsia="zh-CN"/>
              </w:rPr>
            </w:pPr>
            <w:r w:rsidRPr="007B26F9">
              <w:rPr>
                <w:rFonts w:eastAsia="等线"/>
                <w:lang w:val="en-US" w:eastAsia="zh-CN"/>
              </w:rPr>
              <w:t>Proposal 2: Focus on PC3 intra-band contiguous SL CA in Rel-18.</w:t>
            </w:r>
          </w:p>
          <w:p w14:paraId="67B46023" w14:textId="77777777" w:rsidR="007B26F9" w:rsidRPr="007B26F9" w:rsidRDefault="007B26F9" w:rsidP="007B26F9">
            <w:pPr>
              <w:rPr>
                <w:rFonts w:eastAsia="等线"/>
                <w:lang w:val="en-US" w:eastAsia="zh-CN"/>
              </w:rPr>
            </w:pPr>
            <w:r w:rsidRPr="007B26F9">
              <w:rPr>
                <w:rFonts w:eastAsia="等线"/>
                <w:lang w:val="en-US" w:eastAsia="zh-CN"/>
              </w:rPr>
              <w:t>Proposal 3: Further discuss the NR SL CA requirement based on existing NR intra-band contiguous CA requirement while the principle can follow LTE SL CA.</w:t>
            </w:r>
          </w:p>
          <w:p w14:paraId="126EEDC6" w14:textId="0DD90EF6" w:rsidR="007B26F9" w:rsidRPr="004E298E" w:rsidRDefault="007B26F9" w:rsidP="007B26F9">
            <w:pPr>
              <w:rPr>
                <w:rFonts w:eastAsia="等线"/>
                <w:lang w:val="en-US" w:eastAsia="zh-CN"/>
              </w:rPr>
            </w:pPr>
            <w:r w:rsidRPr="007B26F9">
              <w:rPr>
                <w:rFonts w:eastAsia="等线"/>
                <w:lang w:val="en-US" w:eastAsia="zh-CN"/>
              </w:rPr>
              <w:t>Proposal 4: For REFSENS requirement, NR SL CA can follow the LTE SL CA that the requirement apply for each CC with all CC active and specific RB configurations to be defined.</w:t>
            </w:r>
          </w:p>
        </w:tc>
      </w:tr>
      <w:tr w:rsidR="00086739" w14:paraId="1629C24B" w14:textId="77777777" w:rsidTr="00BE6FB4">
        <w:trPr>
          <w:trHeight w:val="468"/>
        </w:trPr>
        <w:tc>
          <w:tcPr>
            <w:tcW w:w="1622" w:type="dxa"/>
          </w:tcPr>
          <w:p w14:paraId="7B62FAB6" w14:textId="1212C469" w:rsidR="00086739" w:rsidRDefault="00086739" w:rsidP="00EF70A2">
            <w:pPr>
              <w:spacing w:before="120" w:after="120"/>
            </w:pPr>
            <w:r w:rsidRPr="00086739">
              <w:lastRenderedPageBreak/>
              <w:t>Qualcomm Incorporated</w:t>
            </w:r>
          </w:p>
        </w:tc>
        <w:tc>
          <w:tcPr>
            <w:tcW w:w="1424" w:type="dxa"/>
          </w:tcPr>
          <w:p w14:paraId="1F3923DC" w14:textId="61739DB3" w:rsidR="00086739" w:rsidRDefault="00086739" w:rsidP="00EF70A2">
            <w:pPr>
              <w:spacing w:before="120" w:after="120"/>
            </w:pPr>
            <w:r w:rsidRPr="00086739">
              <w:t>R4-2309023</w:t>
            </w:r>
          </w:p>
        </w:tc>
        <w:tc>
          <w:tcPr>
            <w:tcW w:w="6585" w:type="dxa"/>
          </w:tcPr>
          <w:p w14:paraId="6E217F9E" w14:textId="3B71B211" w:rsidR="00086739" w:rsidRPr="007B26F9" w:rsidRDefault="00086739" w:rsidP="007B26F9">
            <w:pPr>
              <w:rPr>
                <w:rFonts w:eastAsia="等线"/>
                <w:lang w:val="en-US" w:eastAsia="zh-CN"/>
              </w:rPr>
            </w:pPr>
            <w:r w:rsidRPr="00086739">
              <w:rPr>
                <w:rFonts w:eastAsia="等线"/>
                <w:lang w:val="en-US" w:eastAsia="zh-CN"/>
              </w:rPr>
              <w:t>Proposal: Re-use the NR approach as the basis for SL CA as much as possible, for both the TX and the RX requirements. This will result in more consistency between the SL-CA and other CA requirements than taking LTE as the basis.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40E517B"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605E6">
        <w:rPr>
          <w:rFonts w:hint="eastAsia"/>
          <w:sz w:val="24"/>
          <w:szCs w:val="16"/>
        </w:rPr>
        <w:t>:</w:t>
      </w:r>
      <w:r w:rsidR="001605E6">
        <w:rPr>
          <w:sz w:val="24"/>
          <w:szCs w:val="16"/>
        </w:rPr>
        <w:t xml:space="preserve"> System parameter</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D479A94" w14:textId="40BF26C4" w:rsidR="009975E2" w:rsidRPr="0025583F" w:rsidRDefault="009975E2"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2-1-1:</w:t>
      </w:r>
      <w:r w:rsidR="00690513" w:rsidRPr="0025583F">
        <w:rPr>
          <w:rFonts w:ascii="Times New Roman" w:hAnsi="Times New Roman"/>
          <w:b/>
          <w:color w:val="0070C0"/>
          <w:sz w:val="20"/>
          <w:u w:val="single"/>
          <w:lang w:eastAsia="ko-KR"/>
        </w:rPr>
        <w:t xml:space="preserve"> The SCS for SL CA.</w:t>
      </w:r>
    </w:p>
    <w:p w14:paraId="4CD70918" w14:textId="2727BDDF" w:rsidR="00350A57" w:rsidRDefault="009975E2" w:rsidP="009975E2">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Proposal 1: </w:t>
      </w:r>
      <w:r w:rsidR="00350A57" w:rsidRPr="00316C0F">
        <w:rPr>
          <w:rFonts w:eastAsia="宋体"/>
          <w:color w:val="0070C0"/>
          <w:szCs w:val="24"/>
          <w:lang w:eastAsia="zh-CN"/>
        </w:rPr>
        <w:t>Huawei</w:t>
      </w:r>
    </w:p>
    <w:p w14:paraId="24F63112" w14:textId="77777777" w:rsidR="00350A57" w:rsidRDefault="009975E2"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A32A1">
        <w:rPr>
          <w:rFonts w:eastAsia="宋体"/>
          <w:color w:val="0070C0"/>
          <w:szCs w:val="24"/>
          <w:lang w:eastAsia="zh-CN"/>
        </w:rPr>
        <w:t xml:space="preserve">Capture the restriction on the same SCS among SL CA carriers in section </w:t>
      </w:r>
      <w:r>
        <w:rPr>
          <w:rFonts w:eastAsia="宋体"/>
          <w:color w:val="0070C0"/>
          <w:szCs w:val="24"/>
          <w:lang w:eastAsia="zh-CN"/>
        </w:rPr>
        <w:t xml:space="preserve">TS 38.101-1 section </w:t>
      </w:r>
      <w:r w:rsidRPr="009A32A1">
        <w:rPr>
          <w:rFonts w:eastAsia="宋体"/>
          <w:color w:val="0070C0"/>
          <w:szCs w:val="24"/>
          <w:lang w:eastAsia="zh-CN"/>
        </w:rPr>
        <w:t>4.2</w:t>
      </w:r>
    </w:p>
    <w:p w14:paraId="510026E9" w14:textId="35BC4B92" w:rsidR="009975E2" w:rsidRPr="00F10A15" w:rsidRDefault="009975E2"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 </w:t>
      </w:r>
      <w:r w:rsidRPr="00F10A15">
        <w:rPr>
          <w:rFonts w:eastAsia="宋体"/>
          <w:color w:val="0070C0"/>
          <w:szCs w:val="24"/>
          <w:lang w:eastAsia="zh-CN"/>
        </w:rPr>
        <w:t>f) All the requirements for intra-band contiguous CA apply under the assumption of the same subcarrier spacing in the PCell and SCells for SL SA.</w:t>
      </w:r>
    </w:p>
    <w:p w14:paraId="06B7430C" w14:textId="77777777" w:rsidR="000A369F" w:rsidRDefault="000A369F" w:rsidP="000A369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93CB4C" w14:textId="77777777" w:rsidR="000A369F" w:rsidRDefault="000A369F" w:rsidP="000A369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5939756" w14:textId="77777777" w:rsidR="009975E2" w:rsidRDefault="009975E2" w:rsidP="00DD19DE">
      <w:pPr>
        <w:rPr>
          <w:b/>
          <w:color w:val="0070C0"/>
          <w:u w:val="single"/>
          <w:lang w:eastAsia="ko-KR"/>
        </w:rPr>
      </w:pPr>
    </w:p>
    <w:p w14:paraId="381D58B1" w14:textId="4603095D" w:rsidR="00690513" w:rsidRPr="0025583F" w:rsidRDefault="00690513"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2-1-2: Channel BW and Channel raster for SL CA</w:t>
      </w:r>
    </w:p>
    <w:p w14:paraId="5B51BA04" w14:textId="5EEF55CB" w:rsidR="00350A57" w:rsidRDefault="00690513" w:rsidP="00690513">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Proposals</w:t>
      </w:r>
      <w:r w:rsidRPr="00FF4A5E">
        <w:rPr>
          <w:rFonts w:eastAsia="宋体"/>
          <w:color w:val="0070C0"/>
          <w:szCs w:val="24"/>
          <w:lang w:eastAsia="zh-CN"/>
        </w:rPr>
        <w:t xml:space="preserve"> </w:t>
      </w:r>
      <w:r>
        <w:rPr>
          <w:rFonts w:eastAsia="宋体"/>
          <w:color w:val="0070C0"/>
          <w:szCs w:val="24"/>
          <w:lang w:eastAsia="zh-CN"/>
        </w:rPr>
        <w:t>1</w:t>
      </w:r>
      <w:r w:rsidRPr="00FF4A5E">
        <w:rPr>
          <w:rFonts w:eastAsia="宋体"/>
          <w:color w:val="0070C0"/>
          <w:szCs w:val="24"/>
          <w:lang w:eastAsia="zh-CN"/>
        </w:rPr>
        <w:t xml:space="preserve">: </w:t>
      </w:r>
      <w:r w:rsidR="00350A57" w:rsidRPr="00316C0F">
        <w:rPr>
          <w:rFonts w:eastAsia="宋体"/>
          <w:color w:val="0070C0"/>
          <w:szCs w:val="24"/>
          <w:lang w:eastAsia="zh-CN"/>
        </w:rPr>
        <w:t>Huawei</w:t>
      </w:r>
    </w:p>
    <w:p w14:paraId="58E03F6A" w14:textId="695A2030" w:rsidR="00690513" w:rsidRDefault="00690513"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t</w:t>
      </w:r>
      <w:r w:rsidRPr="00FF4A5E">
        <w:rPr>
          <w:rFonts w:eastAsia="宋体"/>
          <w:color w:val="0070C0"/>
          <w:szCs w:val="24"/>
          <w:lang w:eastAsia="zh-CN"/>
        </w:rPr>
        <w:t>he restrictions on the channel spacing for SL CA, to maintain the orthogonality for the intra-band two carriers with LTE-V</w:t>
      </w:r>
    </w:p>
    <w:p w14:paraId="0F23D539" w14:textId="77777777" w:rsidR="00690513" w:rsidRPr="00F10A15" w:rsidRDefault="00690513" w:rsidP="00F10A15">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F10A15">
        <w:rPr>
          <w:rFonts w:eastAsia="宋体"/>
          <w:color w:val="0070C0"/>
          <w:szCs w:val="24"/>
          <w:lang w:eastAsia="zh-CN"/>
        </w:rPr>
        <w:t>Proposals 2: Intra-band CA configurations and bandwidth combination sets defined for sidelink</w:t>
      </w:r>
    </w:p>
    <w:p w14:paraId="6CB7B163" w14:textId="1BA27D75" w:rsidR="00690513" w:rsidRDefault="00690513" w:rsidP="00690513">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Pr="00FF4A5E">
        <w:rPr>
          <w:rFonts w:eastAsia="宋体"/>
          <w:color w:val="0070C0"/>
          <w:szCs w:val="24"/>
          <w:lang w:eastAsia="zh-CN"/>
        </w:rPr>
        <w:t xml:space="preserve"> </w:t>
      </w:r>
      <w:r>
        <w:rPr>
          <w:rFonts w:eastAsia="宋体"/>
          <w:color w:val="0070C0"/>
          <w:szCs w:val="24"/>
          <w:lang w:eastAsia="zh-CN"/>
        </w:rPr>
        <w:t>Huawei</w:t>
      </w:r>
    </w:p>
    <w:p w14:paraId="5E1D2052" w14:textId="77777777" w:rsidR="00690513" w:rsidRDefault="00690513" w:rsidP="0069051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F4A5E">
        <w:rPr>
          <w:rFonts w:eastAsia="宋体"/>
          <w:color w:val="0070C0"/>
          <w:szCs w:val="24"/>
          <w:lang w:eastAsia="zh-CN"/>
        </w:rPr>
        <w:t>The specific channel bandwidths for SL_n47B should be considered according to operators’ demand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62"/>
        <w:gridCol w:w="1162"/>
        <w:gridCol w:w="1039"/>
        <w:gridCol w:w="1039"/>
        <w:gridCol w:w="1039"/>
        <w:gridCol w:w="1039"/>
        <w:gridCol w:w="1039"/>
        <w:gridCol w:w="1015"/>
        <w:gridCol w:w="1097"/>
      </w:tblGrid>
      <w:tr w:rsidR="00690513" w:rsidRPr="0058222C" w14:paraId="735010A9" w14:textId="77777777" w:rsidTr="000A369F">
        <w:trPr>
          <w:trHeight w:val="20"/>
          <w:jc w:val="center"/>
        </w:trPr>
        <w:tc>
          <w:tcPr>
            <w:tcW w:w="5000" w:type="pct"/>
            <w:gridSpan w:val="9"/>
          </w:tcPr>
          <w:p w14:paraId="1E6DBF49" w14:textId="77777777" w:rsidR="00690513" w:rsidRPr="0058222C" w:rsidRDefault="00690513" w:rsidP="000A369F">
            <w:pPr>
              <w:pStyle w:val="TAH"/>
              <w:tabs>
                <w:tab w:val="left" w:pos="1300"/>
                <w:tab w:val="center" w:pos="4707"/>
              </w:tabs>
              <w:jc w:val="left"/>
              <w:rPr>
                <w:rFonts w:cs="Arial"/>
                <w:sz w:val="16"/>
                <w:lang w:val="en-US" w:eastAsia="ko-KR"/>
              </w:rPr>
            </w:pPr>
            <w:r>
              <w:rPr>
                <w:rFonts w:cs="Arial"/>
                <w:sz w:val="16"/>
              </w:rPr>
              <w:lastRenderedPageBreak/>
              <w:tab/>
            </w:r>
            <w:r>
              <w:rPr>
                <w:rFonts w:cs="Arial"/>
                <w:sz w:val="16"/>
              </w:rPr>
              <w:tab/>
            </w:r>
            <w:r w:rsidRPr="0058222C">
              <w:rPr>
                <w:rFonts w:cs="Arial"/>
                <w:sz w:val="16"/>
              </w:rPr>
              <w:t>Sidelink</w:t>
            </w:r>
            <w:r w:rsidRPr="0058222C">
              <w:rPr>
                <w:rFonts w:hint="eastAsia"/>
                <w:sz w:val="16"/>
              </w:rPr>
              <w:t xml:space="preserve"> CA</w:t>
            </w:r>
            <w:r w:rsidRPr="0058222C">
              <w:rPr>
                <w:rFonts w:cs="Arial"/>
                <w:sz w:val="16"/>
                <w:lang w:eastAsia="ko-KR"/>
              </w:rPr>
              <w:t xml:space="preserve"> configuration / Bandwidth combination set</w:t>
            </w:r>
          </w:p>
        </w:tc>
      </w:tr>
      <w:tr w:rsidR="00690513" w:rsidRPr="0058222C" w14:paraId="56E67250" w14:textId="77777777" w:rsidTr="000A369F">
        <w:trPr>
          <w:trHeight w:val="20"/>
          <w:jc w:val="center"/>
        </w:trPr>
        <w:tc>
          <w:tcPr>
            <w:tcW w:w="603" w:type="pct"/>
            <w:vMerge w:val="restart"/>
            <w:vAlign w:val="center"/>
          </w:tcPr>
          <w:p w14:paraId="619C05A0" w14:textId="77777777" w:rsidR="00690513" w:rsidRPr="0058222C" w:rsidRDefault="00690513" w:rsidP="00A427C0">
            <w:pPr>
              <w:pStyle w:val="TAH"/>
              <w:snapToGrid w:val="0"/>
              <w:rPr>
                <w:rFonts w:cs="Arial"/>
                <w:sz w:val="16"/>
                <w:lang w:val="en-US" w:eastAsia="ko-KR"/>
              </w:rPr>
            </w:pPr>
            <w:r w:rsidRPr="0058222C">
              <w:rPr>
                <w:rFonts w:cs="Arial"/>
                <w:sz w:val="16"/>
                <w:lang w:val="en-US"/>
              </w:rPr>
              <w:t>Sidelink</w:t>
            </w:r>
            <w:r w:rsidRPr="0058222C">
              <w:rPr>
                <w:rFonts w:cs="Arial" w:hint="eastAsia"/>
                <w:sz w:val="16"/>
                <w:lang w:val="en-US"/>
              </w:rPr>
              <w:t xml:space="preserve"> CA</w:t>
            </w:r>
            <w:r w:rsidRPr="0058222C">
              <w:rPr>
                <w:rFonts w:cs="Arial"/>
                <w:sz w:val="16"/>
                <w:lang w:val="en-US" w:eastAsia="ko-KR"/>
              </w:rPr>
              <w:t xml:space="preserve"> </w:t>
            </w:r>
            <w:r w:rsidRPr="0058222C">
              <w:rPr>
                <w:rFonts w:cs="Arial"/>
                <w:sz w:val="16"/>
                <w:lang w:val="en-US"/>
              </w:rPr>
              <w:t xml:space="preserve">configuration </w:t>
            </w:r>
          </w:p>
        </w:tc>
        <w:tc>
          <w:tcPr>
            <w:tcW w:w="603" w:type="pct"/>
            <w:vMerge w:val="restart"/>
            <w:vAlign w:val="center"/>
          </w:tcPr>
          <w:p w14:paraId="3990AA0F" w14:textId="77777777" w:rsidR="00690513" w:rsidRPr="0058222C" w:rsidRDefault="00690513" w:rsidP="00A427C0">
            <w:pPr>
              <w:pStyle w:val="TAH"/>
              <w:snapToGrid w:val="0"/>
              <w:rPr>
                <w:rFonts w:cs="Arial"/>
                <w:sz w:val="16"/>
                <w:lang w:val="en-US" w:eastAsia="ko-KR"/>
              </w:rPr>
            </w:pPr>
            <w:r w:rsidRPr="0058222C">
              <w:rPr>
                <w:rFonts w:cs="Arial"/>
                <w:sz w:val="16"/>
                <w:lang w:val="en-US"/>
              </w:rPr>
              <w:t>Sidelink CA configuration</w:t>
            </w:r>
            <w:r w:rsidRPr="0058222C">
              <w:rPr>
                <w:rFonts w:cs="Arial" w:hint="eastAsia"/>
                <w:sz w:val="16"/>
                <w:lang w:val="en-US"/>
              </w:rPr>
              <w:t xml:space="preserve"> for TX</w:t>
            </w:r>
          </w:p>
        </w:tc>
        <w:tc>
          <w:tcPr>
            <w:tcW w:w="2697" w:type="pct"/>
            <w:gridSpan w:val="5"/>
            <w:shd w:val="clear" w:color="auto" w:fill="auto"/>
            <w:vAlign w:val="center"/>
          </w:tcPr>
          <w:p w14:paraId="7DD8E09B" w14:textId="77777777" w:rsidR="00690513" w:rsidRPr="0058222C" w:rsidRDefault="00690513" w:rsidP="00A427C0">
            <w:pPr>
              <w:pStyle w:val="TAH"/>
              <w:snapToGrid w:val="0"/>
              <w:rPr>
                <w:rFonts w:cs="Arial"/>
                <w:sz w:val="16"/>
                <w:lang w:val="en-US" w:eastAsia="ko-KR"/>
              </w:rPr>
            </w:pPr>
            <w:r w:rsidRPr="0058222C">
              <w:rPr>
                <w:rFonts w:cs="Arial"/>
                <w:sz w:val="16"/>
                <w:lang w:val="en-US" w:eastAsia="ko-KR"/>
              </w:rPr>
              <w:t>Component carriers in order of increasing carrier frequency</w:t>
            </w:r>
          </w:p>
        </w:tc>
        <w:tc>
          <w:tcPr>
            <w:tcW w:w="527" w:type="pct"/>
            <w:vMerge w:val="restart"/>
            <w:vAlign w:val="center"/>
          </w:tcPr>
          <w:p w14:paraId="042D8E60" w14:textId="77777777" w:rsidR="00690513" w:rsidRPr="0058222C" w:rsidRDefault="00690513" w:rsidP="00A427C0">
            <w:pPr>
              <w:pStyle w:val="TAH"/>
              <w:snapToGrid w:val="0"/>
              <w:rPr>
                <w:rFonts w:cs="Arial"/>
                <w:sz w:val="16"/>
                <w:lang w:val="en-US" w:eastAsia="ko-KR"/>
              </w:rPr>
            </w:pPr>
            <w:r w:rsidRPr="0058222C">
              <w:rPr>
                <w:rFonts w:cs="Arial"/>
                <w:sz w:val="16"/>
                <w:lang w:val="en-US" w:eastAsia="ko-KR"/>
              </w:rPr>
              <w:t xml:space="preserve">Maximum aggregated </w:t>
            </w:r>
            <w:r w:rsidRPr="0058222C">
              <w:rPr>
                <w:rFonts w:cs="Arial"/>
                <w:sz w:val="16"/>
                <w:lang w:val="en-US" w:eastAsia="ko-KR"/>
              </w:rPr>
              <w:br/>
              <w:t>bandwidth [MHz]</w:t>
            </w:r>
          </w:p>
        </w:tc>
        <w:tc>
          <w:tcPr>
            <w:tcW w:w="570" w:type="pct"/>
            <w:vMerge w:val="restart"/>
            <w:vAlign w:val="center"/>
          </w:tcPr>
          <w:p w14:paraId="62BBBA49" w14:textId="77777777" w:rsidR="00690513" w:rsidRPr="0058222C" w:rsidRDefault="00690513" w:rsidP="00A427C0">
            <w:pPr>
              <w:pStyle w:val="TAH"/>
              <w:snapToGrid w:val="0"/>
              <w:rPr>
                <w:rFonts w:cs="Arial"/>
                <w:sz w:val="16"/>
                <w:lang w:val="en-US" w:eastAsia="ko-KR"/>
              </w:rPr>
            </w:pPr>
            <w:r w:rsidRPr="0058222C">
              <w:rPr>
                <w:rFonts w:cs="Arial"/>
                <w:sz w:val="16"/>
                <w:lang w:val="en-US" w:eastAsia="ko-KR"/>
              </w:rPr>
              <w:t>Bandwidth combination set</w:t>
            </w:r>
          </w:p>
        </w:tc>
      </w:tr>
      <w:tr w:rsidR="00690513" w:rsidRPr="0058222C" w14:paraId="180E69AB" w14:textId="77777777" w:rsidTr="00A427C0">
        <w:trPr>
          <w:trHeight w:val="1011"/>
          <w:jc w:val="center"/>
        </w:trPr>
        <w:tc>
          <w:tcPr>
            <w:tcW w:w="603" w:type="pct"/>
            <w:vMerge/>
            <w:vAlign w:val="center"/>
          </w:tcPr>
          <w:p w14:paraId="61BC4133" w14:textId="77777777" w:rsidR="00690513" w:rsidRPr="0058222C" w:rsidRDefault="00690513" w:rsidP="00A427C0">
            <w:pPr>
              <w:pStyle w:val="TAH"/>
              <w:snapToGrid w:val="0"/>
              <w:rPr>
                <w:rFonts w:cs="Arial"/>
                <w:sz w:val="16"/>
                <w:lang w:val="en-US" w:eastAsia="ko-KR"/>
              </w:rPr>
            </w:pPr>
          </w:p>
        </w:tc>
        <w:tc>
          <w:tcPr>
            <w:tcW w:w="603" w:type="pct"/>
            <w:vMerge/>
            <w:vAlign w:val="center"/>
          </w:tcPr>
          <w:p w14:paraId="0E1E2F13" w14:textId="77777777" w:rsidR="00690513" w:rsidRPr="0058222C" w:rsidRDefault="00690513" w:rsidP="00A427C0">
            <w:pPr>
              <w:pStyle w:val="TAH"/>
              <w:snapToGrid w:val="0"/>
              <w:rPr>
                <w:rFonts w:cs="Arial"/>
                <w:sz w:val="16"/>
                <w:lang w:val="en-US" w:eastAsia="ko-KR"/>
              </w:rPr>
            </w:pPr>
          </w:p>
        </w:tc>
        <w:tc>
          <w:tcPr>
            <w:tcW w:w="539" w:type="pct"/>
            <w:shd w:val="clear" w:color="auto" w:fill="auto"/>
            <w:vAlign w:val="center"/>
          </w:tcPr>
          <w:p w14:paraId="3700B4CF" w14:textId="77777777" w:rsidR="00690513" w:rsidRPr="0058222C" w:rsidRDefault="00690513" w:rsidP="00A427C0">
            <w:pPr>
              <w:pStyle w:val="TAH"/>
              <w:snapToGrid w:val="0"/>
              <w:rPr>
                <w:rFonts w:cs="Arial"/>
                <w:sz w:val="16"/>
                <w:lang w:val="en-US" w:eastAsia="ko-KR"/>
              </w:rPr>
            </w:pPr>
            <w:r w:rsidRPr="0058222C">
              <w:rPr>
                <w:rFonts w:cs="Arial"/>
                <w:sz w:val="16"/>
                <w:lang w:val="en-US" w:eastAsia="ko-KR"/>
              </w:rPr>
              <w:t>Channel bandwidths for carrier [MHz]</w:t>
            </w:r>
          </w:p>
        </w:tc>
        <w:tc>
          <w:tcPr>
            <w:tcW w:w="539" w:type="pct"/>
            <w:shd w:val="clear" w:color="auto" w:fill="auto"/>
            <w:vAlign w:val="center"/>
          </w:tcPr>
          <w:p w14:paraId="312538ED" w14:textId="77777777" w:rsidR="00690513" w:rsidRPr="0058222C" w:rsidRDefault="00690513" w:rsidP="00A427C0">
            <w:pPr>
              <w:pStyle w:val="TAH"/>
              <w:snapToGrid w:val="0"/>
              <w:rPr>
                <w:rFonts w:cs="Arial"/>
                <w:sz w:val="16"/>
                <w:lang w:val="en-US" w:eastAsia="ko-KR"/>
              </w:rPr>
            </w:pPr>
            <w:r w:rsidRPr="0058222C">
              <w:rPr>
                <w:rFonts w:cs="Arial"/>
                <w:sz w:val="16"/>
                <w:lang w:val="en-US" w:eastAsia="ko-KR"/>
              </w:rPr>
              <w:t>Channel bandwidths for carrier [MHz]</w:t>
            </w:r>
          </w:p>
        </w:tc>
        <w:tc>
          <w:tcPr>
            <w:tcW w:w="539" w:type="pct"/>
            <w:vAlign w:val="center"/>
          </w:tcPr>
          <w:p w14:paraId="7C0599C3" w14:textId="77777777" w:rsidR="00690513" w:rsidRPr="0058222C" w:rsidRDefault="00690513" w:rsidP="00A427C0">
            <w:pPr>
              <w:pStyle w:val="TAH"/>
              <w:snapToGrid w:val="0"/>
              <w:rPr>
                <w:rFonts w:cs="Arial"/>
                <w:sz w:val="16"/>
                <w:lang w:val="en-US" w:eastAsia="ko-KR"/>
              </w:rPr>
            </w:pPr>
            <w:r w:rsidRPr="0058222C">
              <w:rPr>
                <w:rFonts w:cs="Arial"/>
                <w:sz w:val="16"/>
                <w:lang w:val="en-US" w:eastAsia="ko-KR"/>
              </w:rPr>
              <w:t>Channel bandwidths for carrier [MHz]</w:t>
            </w:r>
          </w:p>
        </w:tc>
        <w:tc>
          <w:tcPr>
            <w:tcW w:w="539" w:type="pct"/>
            <w:vAlign w:val="center"/>
          </w:tcPr>
          <w:p w14:paraId="7DE8BA7C" w14:textId="77777777" w:rsidR="00690513" w:rsidRPr="0058222C" w:rsidRDefault="00690513" w:rsidP="00A427C0">
            <w:pPr>
              <w:snapToGrid w:val="0"/>
              <w:spacing w:after="0"/>
              <w:jc w:val="center"/>
              <w:rPr>
                <w:rFonts w:ascii="Arial" w:hAnsi="Arial" w:cs="Arial"/>
                <w:b/>
                <w:bCs/>
                <w:sz w:val="16"/>
                <w:szCs w:val="18"/>
                <w:lang w:val="en-US"/>
              </w:rPr>
            </w:pPr>
            <w:r w:rsidRPr="0058222C">
              <w:rPr>
                <w:rFonts w:ascii="Arial" w:hAnsi="Arial" w:cs="Arial"/>
                <w:b/>
                <w:bCs/>
                <w:sz w:val="16"/>
                <w:szCs w:val="18"/>
                <w:lang w:val="en-US"/>
              </w:rPr>
              <w:t>Channel bandwidths for carrier [MHz]</w:t>
            </w:r>
          </w:p>
        </w:tc>
        <w:tc>
          <w:tcPr>
            <w:tcW w:w="539" w:type="pct"/>
            <w:vAlign w:val="center"/>
          </w:tcPr>
          <w:p w14:paraId="64470F92" w14:textId="77777777" w:rsidR="00690513" w:rsidRPr="0058222C" w:rsidRDefault="00690513" w:rsidP="00A427C0">
            <w:pPr>
              <w:snapToGrid w:val="0"/>
              <w:spacing w:after="0"/>
              <w:jc w:val="center"/>
              <w:rPr>
                <w:rFonts w:ascii="Arial" w:hAnsi="Arial" w:cs="Arial"/>
                <w:b/>
                <w:bCs/>
                <w:sz w:val="16"/>
                <w:szCs w:val="18"/>
                <w:lang w:val="en-US"/>
              </w:rPr>
            </w:pPr>
            <w:r w:rsidRPr="0058222C">
              <w:rPr>
                <w:rFonts w:ascii="Arial" w:hAnsi="Arial" w:cs="Arial"/>
                <w:b/>
                <w:bCs/>
                <w:sz w:val="16"/>
                <w:szCs w:val="18"/>
                <w:lang w:val="en-US"/>
              </w:rPr>
              <w:t>Channel bandwidths for carrier [MHz]</w:t>
            </w:r>
          </w:p>
        </w:tc>
        <w:tc>
          <w:tcPr>
            <w:tcW w:w="527" w:type="pct"/>
            <w:vMerge/>
            <w:vAlign w:val="center"/>
          </w:tcPr>
          <w:p w14:paraId="152D3CDE" w14:textId="77777777" w:rsidR="00690513" w:rsidRPr="0058222C" w:rsidRDefault="00690513" w:rsidP="00A427C0">
            <w:pPr>
              <w:snapToGrid w:val="0"/>
              <w:spacing w:after="0"/>
              <w:rPr>
                <w:rFonts w:ascii="Arial" w:hAnsi="Arial" w:cs="Arial"/>
                <w:b/>
                <w:bCs/>
                <w:sz w:val="16"/>
                <w:szCs w:val="18"/>
                <w:lang w:val="en-US"/>
              </w:rPr>
            </w:pPr>
          </w:p>
        </w:tc>
        <w:tc>
          <w:tcPr>
            <w:tcW w:w="570" w:type="pct"/>
            <w:vMerge/>
            <w:vAlign w:val="center"/>
          </w:tcPr>
          <w:p w14:paraId="0384C88D" w14:textId="77777777" w:rsidR="00690513" w:rsidRPr="0058222C" w:rsidRDefault="00690513" w:rsidP="00A427C0">
            <w:pPr>
              <w:snapToGrid w:val="0"/>
              <w:spacing w:after="0"/>
              <w:rPr>
                <w:rFonts w:ascii="Arial" w:hAnsi="Arial" w:cs="Arial"/>
                <w:b/>
                <w:bCs/>
                <w:sz w:val="16"/>
                <w:szCs w:val="18"/>
                <w:lang w:val="en-US"/>
              </w:rPr>
            </w:pPr>
          </w:p>
        </w:tc>
      </w:tr>
      <w:tr w:rsidR="00690513" w:rsidRPr="0058222C" w14:paraId="6057B6B1" w14:textId="77777777" w:rsidTr="000A369F">
        <w:trPr>
          <w:trHeight w:val="290"/>
          <w:jc w:val="center"/>
        </w:trPr>
        <w:tc>
          <w:tcPr>
            <w:tcW w:w="603" w:type="pct"/>
            <w:vMerge w:val="restart"/>
            <w:vAlign w:val="center"/>
          </w:tcPr>
          <w:p w14:paraId="7BF8918B" w14:textId="77777777" w:rsidR="00690513" w:rsidRPr="0058222C" w:rsidRDefault="00690513" w:rsidP="00A427C0">
            <w:pPr>
              <w:pStyle w:val="TAC"/>
              <w:snapToGrid w:val="0"/>
              <w:rPr>
                <w:rFonts w:cs="Arial"/>
                <w:sz w:val="16"/>
              </w:rPr>
            </w:pPr>
            <w:r w:rsidRPr="0058222C">
              <w:rPr>
                <w:rFonts w:cs="Arial"/>
                <w:sz w:val="16"/>
              </w:rPr>
              <w:t>SL</w:t>
            </w:r>
            <w:r w:rsidRPr="0058222C">
              <w:rPr>
                <w:rFonts w:cs="Arial"/>
                <w:sz w:val="16"/>
                <w:lang w:eastAsia="ko-KR"/>
              </w:rPr>
              <w:t>_n</w:t>
            </w:r>
            <w:r w:rsidRPr="0058222C">
              <w:rPr>
                <w:rFonts w:cs="Arial" w:hint="eastAsia"/>
                <w:sz w:val="16"/>
              </w:rPr>
              <w:t>47</w:t>
            </w:r>
            <w:r w:rsidRPr="0058222C">
              <w:rPr>
                <w:rFonts w:cs="Arial"/>
                <w:sz w:val="16"/>
              </w:rPr>
              <w:t>B</w:t>
            </w:r>
          </w:p>
        </w:tc>
        <w:tc>
          <w:tcPr>
            <w:tcW w:w="603" w:type="pct"/>
            <w:vMerge w:val="restart"/>
            <w:shd w:val="clear" w:color="auto" w:fill="auto"/>
            <w:vAlign w:val="center"/>
          </w:tcPr>
          <w:p w14:paraId="09F48C31" w14:textId="77777777" w:rsidR="00690513" w:rsidRPr="0058222C" w:rsidRDefault="00690513" w:rsidP="00A427C0">
            <w:pPr>
              <w:pStyle w:val="TAC"/>
              <w:snapToGrid w:val="0"/>
              <w:rPr>
                <w:rFonts w:cs="Arial"/>
                <w:sz w:val="16"/>
              </w:rPr>
            </w:pPr>
            <w:r w:rsidRPr="0058222C">
              <w:rPr>
                <w:rFonts w:cs="Arial"/>
                <w:sz w:val="16"/>
                <w:lang w:eastAsia="ko-KR"/>
              </w:rPr>
              <w:t>SL_n</w:t>
            </w:r>
            <w:r w:rsidRPr="0058222C">
              <w:rPr>
                <w:rFonts w:cs="Arial" w:hint="eastAsia"/>
                <w:sz w:val="16"/>
              </w:rPr>
              <w:t>47</w:t>
            </w:r>
            <w:r w:rsidRPr="0058222C">
              <w:rPr>
                <w:rFonts w:cs="Arial"/>
                <w:sz w:val="16"/>
              </w:rPr>
              <w:t>B</w:t>
            </w:r>
          </w:p>
        </w:tc>
        <w:tc>
          <w:tcPr>
            <w:tcW w:w="539" w:type="pct"/>
            <w:shd w:val="clear" w:color="auto" w:fill="auto"/>
            <w:vAlign w:val="center"/>
          </w:tcPr>
          <w:p w14:paraId="05B2EFAC" w14:textId="77777777" w:rsidR="00690513" w:rsidRPr="0058222C" w:rsidRDefault="00690513" w:rsidP="00A427C0">
            <w:pPr>
              <w:pStyle w:val="TAC"/>
              <w:snapToGrid w:val="0"/>
              <w:rPr>
                <w:rFonts w:cs="Arial"/>
                <w:sz w:val="16"/>
              </w:rPr>
            </w:pPr>
            <w:r w:rsidRPr="0058222C">
              <w:rPr>
                <w:rFonts w:cs="Arial"/>
                <w:sz w:val="16"/>
                <w:lang w:eastAsia="ko-KR"/>
              </w:rPr>
              <w:t>[10]</w:t>
            </w:r>
          </w:p>
        </w:tc>
        <w:tc>
          <w:tcPr>
            <w:tcW w:w="539" w:type="pct"/>
            <w:shd w:val="clear" w:color="auto" w:fill="auto"/>
            <w:vAlign w:val="center"/>
          </w:tcPr>
          <w:p w14:paraId="3CA151FB" w14:textId="77777777" w:rsidR="00690513" w:rsidRPr="0058222C" w:rsidRDefault="00690513" w:rsidP="00A427C0">
            <w:pPr>
              <w:pStyle w:val="TAC"/>
              <w:snapToGrid w:val="0"/>
              <w:rPr>
                <w:rFonts w:cs="Arial"/>
                <w:sz w:val="16"/>
              </w:rPr>
            </w:pPr>
            <w:r w:rsidRPr="0058222C">
              <w:rPr>
                <w:rFonts w:cs="Arial"/>
                <w:sz w:val="16"/>
              </w:rPr>
              <w:t>[20,30]</w:t>
            </w:r>
          </w:p>
        </w:tc>
        <w:tc>
          <w:tcPr>
            <w:tcW w:w="539" w:type="pct"/>
          </w:tcPr>
          <w:p w14:paraId="13D2E261" w14:textId="77777777" w:rsidR="00690513" w:rsidRPr="0058222C" w:rsidRDefault="00690513" w:rsidP="00A427C0">
            <w:pPr>
              <w:pStyle w:val="TAC"/>
              <w:snapToGrid w:val="0"/>
              <w:rPr>
                <w:rFonts w:cs="Arial"/>
                <w:sz w:val="16"/>
                <w:lang w:eastAsia="ko-KR"/>
              </w:rPr>
            </w:pPr>
          </w:p>
        </w:tc>
        <w:tc>
          <w:tcPr>
            <w:tcW w:w="539" w:type="pct"/>
          </w:tcPr>
          <w:p w14:paraId="1C434EB3" w14:textId="77777777" w:rsidR="00690513" w:rsidRPr="0058222C" w:rsidRDefault="00690513" w:rsidP="00A427C0">
            <w:pPr>
              <w:pStyle w:val="TAC"/>
              <w:snapToGrid w:val="0"/>
              <w:rPr>
                <w:rFonts w:cs="Arial"/>
                <w:sz w:val="16"/>
              </w:rPr>
            </w:pPr>
          </w:p>
        </w:tc>
        <w:tc>
          <w:tcPr>
            <w:tcW w:w="539" w:type="pct"/>
          </w:tcPr>
          <w:p w14:paraId="5D2EE9FD" w14:textId="77777777" w:rsidR="00690513" w:rsidRPr="0058222C" w:rsidRDefault="00690513" w:rsidP="00A427C0">
            <w:pPr>
              <w:pStyle w:val="TAC"/>
              <w:snapToGrid w:val="0"/>
              <w:rPr>
                <w:rFonts w:cs="Arial"/>
                <w:sz w:val="16"/>
              </w:rPr>
            </w:pPr>
          </w:p>
        </w:tc>
        <w:tc>
          <w:tcPr>
            <w:tcW w:w="527" w:type="pct"/>
            <w:vMerge w:val="restart"/>
            <w:shd w:val="clear" w:color="auto" w:fill="auto"/>
            <w:vAlign w:val="center"/>
          </w:tcPr>
          <w:p w14:paraId="6BD37B41" w14:textId="77777777" w:rsidR="00690513" w:rsidRPr="0058222C" w:rsidRDefault="00690513" w:rsidP="00A427C0">
            <w:pPr>
              <w:pStyle w:val="TAC"/>
              <w:snapToGrid w:val="0"/>
              <w:rPr>
                <w:rFonts w:cs="Arial"/>
                <w:sz w:val="16"/>
              </w:rPr>
            </w:pPr>
            <w:r w:rsidRPr="0058222C">
              <w:rPr>
                <w:rFonts w:cs="Arial"/>
                <w:sz w:val="16"/>
              </w:rPr>
              <w:t>70</w:t>
            </w:r>
          </w:p>
        </w:tc>
        <w:tc>
          <w:tcPr>
            <w:tcW w:w="570" w:type="pct"/>
            <w:vMerge w:val="restart"/>
            <w:shd w:val="clear" w:color="auto" w:fill="auto"/>
            <w:vAlign w:val="center"/>
          </w:tcPr>
          <w:p w14:paraId="2B2C5F7B" w14:textId="77777777" w:rsidR="00690513" w:rsidRPr="0058222C" w:rsidRDefault="00690513" w:rsidP="00A427C0">
            <w:pPr>
              <w:pStyle w:val="TAC"/>
              <w:snapToGrid w:val="0"/>
              <w:rPr>
                <w:rFonts w:cs="Arial"/>
                <w:sz w:val="16"/>
              </w:rPr>
            </w:pPr>
            <w:r w:rsidRPr="0058222C">
              <w:rPr>
                <w:rFonts w:cs="Arial"/>
                <w:sz w:val="16"/>
                <w:lang w:eastAsia="ko-KR"/>
              </w:rPr>
              <w:t>0</w:t>
            </w:r>
          </w:p>
        </w:tc>
      </w:tr>
      <w:tr w:rsidR="00690513" w:rsidRPr="0058222C" w14:paraId="19458B5F" w14:textId="77777777" w:rsidTr="000A369F">
        <w:trPr>
          <w:trHeight w:val="290"/>
          <w:jc w:val="center"/>
        </w:trPr>
        <w:tc>
          <w:tcPr>
            <w:tcW w:w="603" w:type="pct"/>
            <w:vMerge/>
            <w:vAlign w:val="center"/>
          </w:tcPr>
          <w:p w14:paraId="2008894E" w14:textId="77777777" w:rsidR="00690513" w:rsidRPr="0058222C" w:rsidRDefault="00690513" w:rsidP="00A427C0">
            <w:pPr>
              <w:pStyle w:val="TAC"/>
              <w:snapToGrid w:val="0"/>
              <w:rPr>
                <w:rFonts w:cs="Arial"/>
                <w:sz w:val="16"/>
              </w:rPr>
            </w:pPr>
          </w:p>
        </w:tc>
        <w:tc>
          <w:tcPr>
            <w:tcW w:w="603" w:type="pct"/>
            <w:vMerge/>
            <w:shd w:val="clear" w:color="auto" w:fill="auto"/>
            <w:vAlign w:val="center"/>
          </w:tcPr>
          <w:p w14:paraId="0288497C" w14:textId="77777777" w:rsidR="00690513" w:rsidRPr="0058222C" w:rsidRDefault="00690513" w:rsidP="00A427C0">
            <w:pPr>
              <w:pStyle w:val="TAC"/>
              <w:snapToGrid w:val="0"/>
              <w:rPr>
                <w:rFonts w:cs="Arial"/>
                <w:sz w:val="16"/>
              </w:rPr>
            </w:pPr>
          </w:p>
        </w:tc>
        <w:tc>
          <w:tcPr>
            <w:tcW w:w="539" w:type="pct"/>
            <w:shd w:val="clear" w:color="auto" w:fill="auto"/>
            <w:vAlign w:val="center"/>
          </w:tcPr>
          <w:p w14:paraId="4177CCD9" w14:textId="77777777" w:rsidR="00690513" w:rsidRPr="0058222C" w:rsidRDefault="00690513" w:rsidP="00A427C0">
            <w:pPr>
              <w:pStyle w:val="TAC"/>
              <w:snapToGrid w:val="0"/>
              <w:rPr>
                <w:rFonts w:cs="Arial"/>
                <w:sz w:val="16"/>
              </w:rPr>
            </w:pPr>
            <w:r w:rsidRPr="0058222C">
              <w:rPr>
                <w:rFonts w:cs="Arial"/>
                <w:sz w:val="16"/>
              </w:rPr>
              <w:t>[20]</w:t>
            </w:r>
          </w:p>
        </w:tc>
        <w:tc>
          <w:tcPr>
            <w:tcW w:w="539" w:type="pct"/>
            <w:shd w:val="clear" w:color="auto" w:fill="auto"/>
            <w:vAlign w:val="center"/>
          </w:tcPr>
          <w:p w14:paraId="2BFA8085" w14:textId="77777777" w:rsidR="00690513" w:rsidRPr="0058222C" w:rsidRDefault="00690513" w:rsidP="00A427C0">
            <w:pPr>
              <w:pStyle w:val="TAC"/>
              <w:snapToGrid w:val="0"/>
              <w:rPr>
                <w:rFonts w:cs="Arial"/>
                <w:sz w:val="16"/>
              </w:rPr>
            </w:pPr>
            <w:r w:rsidRPr="0058222C">
              <w:rPr>
                <w:rFonts w:cs="Arial"/>
                <w:sz w:val="16"/>
              </w:rPr>
              <w:t>[20,30]</w:t>
            </w:r>
          </w:p>
        </w:tc>
        <w:tc>
          <w:tcPr>
            <w:tcW w:w="539" w:type="pct"/>
          </w:tcPr>
          <w:p w14:paraId="44213712" w14:textId="77777777" w:rsidR="00690513" w:rsidRPr="0058222C" w:rsidRDefault="00690513" w:rsidP="00A427C0">
            <w:pPr>
              <w:pStyle w:val="TAC"/>
              <w:snapToGrid w:val="0"/>
              <w:rPr>
                <w:rFonts w:cs="Arial"/>
                <w:sz w:val="16"/>
                <w:lang w:eastAsia="ko-KR"/>
              </w:rPr>
            </w:pPr>
          </w:p>
        </w:tc>
        <w:tc>
          <w:tcPr>
            <w:tcW w:w="539" w:type="pct"/>
          </w:tcPr>
          <w:p w14:paraId="494A95B0" w14:textId="77777777" w:rsidR="00690513" w:rsidRPr="0058222C" w:rsidRDefault="00690513" w:rsidP="00A427C0">
            <w:pPr>
              <w:pStyle w:val="TAC"/>
              <w:snapToGrid w:val="0"/>
              <w:rPr>
                <w:rFonts w:cs="Arial"/>
                <w:sz w:val="16"/>
                <w:lang w:eastAsia="ko-KR"/>
              </w:rPr>
            </w:pPr>
          </w:p>
        </w:tc>
        <w:tc>
          <w:tcPr>
            <w:tcW w:w="539" w:type="pct"/>
          </w:tcPr>
          <w:p w14:paraId="4D5D6D35" w14:textId="77777777" w:rsidR="00690513" w:rsidRPr="0058222C" w:rsidRDefault="00690513" w:rsidP="00A427C0">
            <w:pPr>
              <w:pStyle w:val="TAC"/>
              <w:snapToGrid w:val="0"/>
              <w:rPr>
                <w:rFonts w:cs="Arial"/>
                <w:sz w:val="16"/>
                <w:lang w:eastAsia="ko-KR"/>
              </w:rPr>
            </w:pPr>
          </w:p>
        </w:tc>
        <w:tc>
          <w:tcPr>
            <w:tcW w:w="527" w:type="pct"/>
            <w:vMerge/>
            <w:shd w:val="clear" w:color="auto" w:fill="auto"/>
            <w:vAlign w:val="center"/>
          </w:tcPr>
          <w:p w14:paraId="14337627" w14:textId="77777777" w:rsidR="00690513" w:rsidRPr="0058222C" w:rsidRDefault="00690513" w:rsidP="00A427C0">
            <w:pPr>
              <w:pStyle w:val="TAC"/>
              <w:snapToGrid w:val="0"/>
              <w:rPr>
                <w:rFonts w:cs="Arial"/>
                <w:sz w:val="16"/>
                <w:lang w:eastAsia="ko-KR"/>
              </w:rPr>
            </w:pPr>
          </w:p>
        </w:tc>
        <w:tc>
          <w:tcPr>
            <w:tcW w:w="570" w:type="pct"/>
            <w:vMerge/>
            <w:shd w:val="clear" w:color="auto" w:fill="auto"/>
            <w:vAlign w:val="center"/>
          </w:tcPr>
          <w:p w14:paraId="15487F3A" w14:textId="77777777" w:rsidR="00690513" w:rsidRPr="0058222C" w:rsidRDefault="00690513" w:rsidP="00A427C0">
            <w:pPr>
              <w:pStyle w:val="TAC"/>
              <w:snapToGrid w:val="0"/>
              <w:rPr>
                <w:rFonts w:cs="Arial"/>
                <w:sz w:val="16"/>
                <w:lang w:eastAsia="ko-KR"/>
              </w:rPr>
            </w:pPr>
          </w:p>
        </w:tc>
      </w:tr>
      <w:tr w:rsidR="00690513" w:rsidRPr="0058222C" w14:paraId="182C82A6" w14:textId="77777777" w:rsidTr="000A369F">
        <w:trPr>
          <w:trHeight w:val="290"/>
          <w:jc w:val="center"/>
        </w:trPr>
        <w:tc>
          <w:tcPr>
            <w:tcW w:w="603" w:type="pct"/>
            <w:vMerge/>
            <w:vAlign w:val="center"/>
          </w:tcPr>
          <w:p w14:paraId="1C0070F0" w14:textId="77777777" w:rsidR="00690513" w:rsidRPr="0058222C" w:rsidRDefault="00690513" w:rsidP="00A427C0">
            <w:pPr>
              <w:pStyle w:val="TAC"/>
              <w:snapToGrid w:val="0"/>
              <w:rPr>
                <w:rFonts w:cs="Arial"/>
                <w:sz w:val="16"/>
              </w:rPr>
            </w:pPr>
          </w:p>
        </w:tc>
        <w:tc>
          <w:tcPr>
            <w:tcW w:w="603" w:type="pct"/>
            <w:vMerge/>
            <w:shd w:val="clear" w:color="auto" w:fill="auto"/>
            <w:vAlign w:val="center"/>
          </w:tcPr>
          <w:p w14:paraId="57F96E38" w14:textId="77777777" w:rsidR="00690513" w:rsidRPr="0058222C" w:rsidRDefault="00690513" w:rsidP="00A427C0">
            <w:pPr>
              <w:pStyle w:val="TAC"/>
              <w:snapToGrid w:val="0"/>
              <w:rPr>
                <w:rFonts w:cs="Arial"/>
                <w:sz w:val="16"/>
                <w:lang w:eastAsia="ko-KR"/>
              </w:rPr>
            </w:pPr>
          </w:p>
        </w:tc>
        <w:tc>
          <w:tcPr>
            <w:tcW w:w="539" w:type="pct"/>
            <w:shd w:val="clear" w:color="auto" w:fill="auto"/>
            <w:vAlign w:val="center"/>
          </w:tcPr>
          <w:p w14:paraId="17063BAE" w14:textId="77777777" w:rsidR="00690513" w:rsidRPr="0058222C" w:rsidRDefault="00690513" w:rsidP="00A427C0">
            <w:pPr>
              <w:pStyle w:val="TAC"/>
              <w:snapToGrid w:val="0"/>
              <w:rPr>
                <w:rFonts w:cs="Arial"/>
                <w:sz w:val="16"/>
                <w:lang w:eastAsia="ko-KR"/>
              </w:rPr>
            </w:pPr>
            <w:r w:rsidRPr="0058222C">
              <w:rPr>
                <w:rFonts w:cs="Arial"/>
                <w:sz w:val="16"/>
                <w:lang w:eastAsia="ko-KR"/>
              </w:rPr>
              <w:t>30</w:t>
            </w:r>
          </w:p>
        </w:tc>
        <w:tc>
          <w:tcPr>
            <w:tcW w:w="539" w:type="pct"/>
            <w:shd w:val="clear" w:color="auto" w:fill="auto"/>
            <w:vAlign w:val="center"/>
          </w:tcPr>
          <w:p w14:paraId="652C33D0" w14:textId="77777777" w:rsidR="00690513" w:rsidRPr="0058222C" w:rsidRDefault="00690513" w:rsidP="00A427C0">
            <w:pPr>
              <w:pStyle w:val="TAC"/>
              <w:snapToGrid w:val="0"/>
              <w:rPr>
                <w:rFonts w:cs="Arial"/>
                <w:sz w:val="16"/>
                <w:lang w:eastAsia="ko-KR"/>
              </w:rPr>
            </w:pPr>
            <w:r w:rsidRPr="0058222C">
              <w:rPr>
                <w:rFonts w:cs="Arial"/>
                <w:sz w:val="16"/>
                <w:lang w:eastAsia="ko-KR"/>
              </w:rPr>
              <w:t>[30,]40</w:t>
            </w:r>
          </w:p>
        </w:tc>
        <w:tc>
          <w:tcPr>
            <w:tcW w:w="539" w:type="pct"/>
            <w:vAlign w:val="center"/>
          </w:tcPr>
          <w:p w14:paraId="6BCC95D7" w14:textId="77777777" w:rsidR="00690513" w:rsidRPr="0058222C" w:rsidRDefault="00690513" w:rsidP="00A427C0">
            <w:pPr>
              <w:pStyle w:val="TAC"/>
              <w:snapToGrid w:val="0"/>
              <w:rPr>
                <w:rFonts w:cs="Arial"/>
                <w:sz w:val="16"/>
                <w:highlight w:val="yellow"/>
              </w:rPr>
            </w:pPr>
          </w:p>
        </w:tc>
        <w:tc>
          <w:tcPr>
            <w:tcW w:w="539" w:type="pct"/>
          </w:tcPr>
          <w:p w14:paraId="229D4CCC" w14:textId="77777777" w:rsidR="00690513" w:rsidRPr="0058222C" w:rsidRDefault="00690513" w:rsidP="00A427C0">
            <w:pPr>
              <w:pStyle w:val="TAC"/>
              <w:snapToGrid w:val="0"/>
              <w:rPr>
                <w:rFonts w:cs="Arial"/>
                <w:sz w:val="16"/>
              </w:rPr>
            </w:pPr>
          </w:p>
        </w:tc>
        <w:tc>
          <w:tcPr>
            <w:tcW w:w="539" w:type="pct"/>
          </w:tcPr>
          <w:p w14:paraId="0797F2F9" w14:textId="77777777" w:rsidR="00690513" w:rsidRPr="0058222C" w:rsidRDefault="00690513" w:rsidP="00A427C0">
            <w:pPr>
              <w:pStyle w:val="TAC"/>
              <w:snapToGrid w:val="0"/>
              <w:rPr>
                <w:rFonts w:cs="Arial"/>
                <w:sz w:val="16"/>
              </w:rPr>
            </w:pPr>
          </w:p>
        </w:tc>
        <w:tc>
          <w:tcPr>
            <w:tcW w:w="527" w:type="pct"/>
            <w:vMerge/>
            <w:shd w:val="clear" w:color="auto" w:fill="auto"/>
            <w:vAlign w:val="center"/>
          </w:tcPr>
          <w:p w14:paraId="6B50EB28" w14:textId="77777777" w:rsidR="00690513" w:rsidRPr="0058222C" w:rsidRDefault="00690513" w:rsidP="00A427C0">
            <w:pPr>
              <w:pStyle w:val="TAC"/>
              <w:snapToGrid w:val="0"/>
              <w:rPr>
                <w:rFonts w:cs="Arial"/>
                <w:sz w:val="16"/>
              </w:rPr>
            </w:pPr>
          </w:p>
        </w:tc>
        <w:tc>
          <w:tcPr>
            <w:tcW w:w="570" w:type="pct"/>
            <w:vMerge/>
            <w:shd w:val="clear" w:color="auto" w:fill="auto"/>
            <w:vAlign w:val="center"/>
          </w:tcPr>
          <w:p w14:paraId="1A5A6049" w14:textId="77777777" w:rsidR="00690513" w:rsidRPr="0058222C" w:rsidRDefault="00690513" w:rsidP="00A427C0">
            <w:pPr>
              <w:pStyle w:val="TAC"/>
              <w:snapToGrid w:val="0"/>
              <w:rPr>
                <w:rFonts w:cs="Arial"/>
                <w:sz w:val="16"/>
                <w:lang w:eastAsia="ko-KR"/>
              </w:rPr>
            </w:pPr>
          </w:p>
        </w:tc>
      </w:tr>
    </w:tbl>
    <w:p w14:paraId="7E9CE1A2" w14:textId="77777777" w:rsidR="00690513" w:rsidRPr="004E298E" w:rsidRDefault="00690513" w:rsidP="00A427C0">
      <w:pPr>
        <w:snapToGrid w:val="0"/>
        <w:spacing w:after="0"/>
        <w:rPr>
          <w:color w:val="0070C0"/>
          <w:szCs w:val="24"/>
          <w:lang w:eastAsia="zh-CN"/>
        </w:rPr>
      </w:pPr>
    </w:p>
    <w:p w14:paraId="6389010E" w14:textId="5A020A34" w:rsidR="00690513" w:rsidRDefault="00690513" w:rsidP="00690513">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F10A15">
        <w:rPr>
          <w:rFonts w:eastAsia="宋体"/>
          <w:color w:val="0070C0"/>
          <w:szCs w:val="24"/>
          <w:lang w:eastAsia="zh-CN"/>
        </w:rPr>
        <w:t xml:space="preserve"> </w:t>
      </w:r>
      <w:r>
        <w:rPr>
          <w:rFonts w:eastAsia="宋体"/>
          <w:color w:val="0070C0"/>
          <w:szCs w:val="24"/>
          <w:lang w:eastAsia="zh-CN"/>
        </w:rPr>
        <w:t>OPPO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813"/>
        <w:gridCol w:w="1021"/>
        <w:gridCol w:w="3523"/>
        <w:gridCol w:w="1181"/>
        <w:gridCol w:w="1356"/>
      </w:tblGrid>
      <w:tr w:rsidR="00690513" w:rsidRPr="0002488A" w14:paraId="520F8FC9" w14:textId="77777777" w:rsidTr="000A369F">
        <w:trPr>
          <w:trHeight w:val="187"/>
          <w:jc w:val="center"/>
        </w:trPr>
        <w:tc>
          <w:tcPr>
            <w:tcW w:w="902" w:type="pct"/>
            <w:tcBorders>
              <w:left w:val="single" w:sz="4" w:space="0" w:color="000000"/>
              <w:bottom w:val="nil"/>
              <w:right w:val="single" w:sz="4" w:space="0" w:color="000000"/>
            </w:tcBorders>
            <w:shd w:val="clear" w:color="auto" w:fill="auto"/>
            <w:vAlign w:val="center"/>
          </w:tcPr>
          <w:p w14:paraId="19FA6402" w14:textId="77777777" w:rsidR="00690513" w:rsidRPr="0002488A" w:rsidRDefault="00690513" w:rsidP="000A369F">
            <w:pPr>
              <w:keepNext/>
              <w:keepLines/>
              <w:spacing w:after="0"/>
              <w:jc w:val="center"/>
              <w:rPr>
                <w:rFonts w:ascii="Arial" w:hAnsi="Arial" w:cs="Arial"/>
                <w:b/>
                <w:color w:val="000000"/>
                <w:sz w:val="16"/>
                <w:szCs w:val="18"/>
              </w:rPr>
            </w:pPr>
            <w:r w:rsidRPr="0002488A">
              <w:rPr>
                <w:rFonts w:ascii="Arial" w:hAnsi="Arial" w:cs="Arial"/>
                <w:b/>
                <w:color w:val="000000"/>
                <w:sz w:val="16"/>
                <w:szCs w:val="18"/>
              </w:rPr>
              <w:t>NR V2X intra-band con-current operating configuration</w:t>
            </w:r>
          </w:p>
        </w:tc>
        <w:tc>
          <w:tcPr>
            <w:tcW w:w="422" w:type="pct"/>
            <w:tcBorders>
              <w:left w:val="single" w:sz="4" w:space="0" w:color="000000"/>
              <w:right w:val="single" w:sz="4" w:space="0" w:color="000000"/>
            </w:tcBorders>
            <w:vAlign w:val="center"/>
          </w:tcPr>
          <w:p w14:paraId="35DB661C" w14:textId="77777777" w:rsidR="00690513" w:rsidRPr="0002488A" w:rsidRDefault="00690513" w:rsidP="000A369F">
            <w:pPr>
              <w:keepNext/>
              <w:keepLines/>
              <w:spacing w:after="0"/>
              <w:jc w:val="center"/>
              <w:rPr>
                <w:rFonts w:ascii="Arial" w:hAnsi="Arial" w:cs="Arial"/>
                <w:b/>
                <w:color w:val="000000"/>
                <w:sz w:val="16"/>
                <w:szCs w:val="18"/>
              </w:rPr>
            </w:pPr>
            <w:r w:rsidRPr="0002488A">
              <w:rPr>
                <w:rFonts w:ascii="Arial" w:hAnsi="Arial" w:cs="Arial"/>
                <w:b/>
                <w:color w:val="000000"/>
                <w:sz w:val="16"/>
                <w:szCs w:val="18"/>
              </w:rPr>
              <w:t>NR Band</w:t>
            </w:r>
          </w:p>
        </w:tc>
        <w:tc>
          <w:tcPr>
            <w:tcW w:w="530" w:type="pct"/>
            <w:tcBorders>
              <w:left w:val="single" w:sz="4" w:space="0" w:color="000000"/>
              <w:right w:val="single" w:sz="4" w:space="0" w:color="000000"/>
            </w:tcBorders>
            <w:vAlign w:val="center"/>
          </w:tcPr>
          <w:p w14:paraId="3CE921A7" w14:textId="77777777" w:rsidR="00690513" w:rsidRPr="0002488A" w:rsidRDefault="00690513" w:rsidP="000A369F">
            <w:pPr>
              <w:keepNext/>
              <w:keepLines/>
              <w:spacing w:after="0"/>
              <w:jc w:val="center"/>
              <w:rPr>
                <w:rFonts w:ascii="Arial" w:hAnsi="Arial" w:cs="Arial"/>
                <w:b/>
                <w:color w:val="000000"/>
                <w:sz w:val="16"/>
                <w:szCs w:val="18"/>
              </w:rPr>
            </w:pPr>
            <w:r w:rsidRPr="0002488A">
              <w:rPr>
                <w:rFonts w:ascii="Arial" w:hAnsi="Arial" w:cs="Arial"/>
                <w:b/>
                <w:color w:val="000000"/>
                <w:sz w:val="16"/>
                <w:szCs w:val="18"/>
              </w:rPr>
              <w:t>Interface</w:t>
            </w:r>
          </w:p>
        </w:tc>
        <w:tc>
          <w:tcPr>
            <w:tcW w:w="1829" w:type="pct"/>
            <w:tcBorders>
              <w:top w:val="single" w:sz="4" w:space="0" w:color="000000"/>
              <w:left w:val="single" w:sz="4" w:space="0" w:color="000000"/>
              <w:bottom w:val="single" w:sz="4" w:space="0" w:color="000000"/>
              <w:right w:val="single" w:sz="4" w:space="0" w:color="000000"/>
            </w:tcBorders>
            <w:vAlign w:val="center"/>
          </w:tcPr>
          <w:p w14:paraId="56BCE992" w14:textId="77777777" w:rsidR="00690513" w:rsidRPr="0002488A" w:rsidRDefault="00690513" w:rsidP="000A369F">
            <w:pPr>
              <w:keepNext/>
              <w:keepLines/>
              <w:spacing w:after="0"/>
              <w:jc w:val="center"/>
              <w:rPr>
                <w:rFonts w:ascii="Arial" w:hAnsi="Arial" w:cs="Arial"/>
                <w:b/>
                <w:color w:val="000000"/>
                <w:sz w:val="16"/>
                <w:szCs w:val="18"/>
              </w:rPr>
            </w:pPr>
            <w:r w:rsidRPr="0002488A">
              <w:rPr>
                <w:rFonts w:ascii="Arial" w:hAnsi="Arial" w:cs="Arial"/>
                <w:b/>
                <w:color w:val="000000"/>
                <w:sz w:val="16"/>
                <w:szCs w:val="18"/>
              </w:rPr>
              <w:t>Channel bandwidth (MHz) (NOTE 1)</w:t>
            </w:r>
          </w:p>
        </w:tc>
        <w:tc>
          <w:tcPr>
            <w:tcW w:w="613" w:type="pct"/>
            <w:tcBorders>
              <w:left w:val="single" w:sz="4" w:space="0" w:color="000000"/>
              <w:bottom w:val="nil"/>
              <w:right w:val="single" w:sz="4" w:space="0" w:color="000000"/>
            </w:tcBorders>
          </w:tcPr>
          <w:p w14:paraId="28596114" w14:textId="77777777" w:rsidR="00690513" w:rsidRPr="0002488A" w:rsidRDefault="00690513" w:rsidP="000A369F">
            <w:pPr>
              <w:keepNext/>
              <w:keepLines/>
              <w:spacing w:after="0"/>
              <w:jc w:val="center"/>
              <w:rPr>
                <w:rFonts w:ascii="Arial" w:hAnsi="Arial" w:cs="Arial"/>
                <w:b/>
                <w:color w:val="000000"/>
                <w:sz w:val="16"/>
                <w:szCs w:val="18"/>
              </w:rPr>
            </w:pPr>
            <w:r w:rsidRPr="0002488A">
              <w:rPr>
                <w:rFonts w:ascii="Arial" w:hAnsi="Arial" w:cs="Arial"/>
                <w:b/>
                <w:color w:val="000000"/>
                <w:sz w:val="16"/>
                <w:szCs w:val="18"/>
              </w:rPr>
              <w:t>Maximum aggregated bandwidth (MHz)</w:t>
            </w:r>
          </w:p>
        </w:tc>
        <w:tc>
          <w:tcPr>
            <w:tcW w:w="704" w:type="pct"/>
            <w:tcBorders>
              <w:left w:val="single" w:sz="4" w:space="0" w:color="000000"/>
              <w:bottom w:val="nil"/>
              <w:right w:val="single" w:sz="4" w:space="0" w:color="000000"/>
            </w:tcBorders>
            <w:shd w:val="clear" w:color="auto" w:fill="auto"/>
            <w:vAlign w:val="center"/>
          </w:tcPr>
          <w:p w14:paraId="07EE0A58" w14:textId="77777777" w:rsidR="00690513" w:rsidRPr="0002488A" w:rsidRDefault="00690513" w:rsidP="000A369F">
            <w:pPr>
              <w:keepNext/>
              <w:keepLines/>
              <w:spacing w:after="0"/>
              <w:jc w:val="center"/>
              <w:rPr>
                <w:rFonts w:ascii="Arial" w:hAnsi="Arial" w:cs="Arial"/>
                <w:b/>
                <w:color w:val="000000"/>
                <w:sz w:val="16"/>
                <w:szCs w:val="18"/>
              </w:rPr>
            </w:pPr>
            <w:r w:rsidRPr="0002488A">
              <w:rPr>
                <w:rFonts w:ascii="Arial" w:hAnsi="Arial" w:cs="Arial"/>
                <w:b/>
                <w:color w:val="000000"/>
                <w:sz w:val="16"/>
                <w:szCs w:val="18"/>
              </w:rPr>
              <w:t>Bandwidth combination set</w:t>
            </w:r>
          </w:p>
        </w:tc>
      </w:tr>
      <w:tr w:rsidR="00690513" w:rsidRPr="0002488A" w14:paraId="5770258D" w14:textId="77777777" w:rsidTr="000A369F">
        <w:trPr>
          <w:trHeight w:val="187"/>
          <w:jc w:val="center"/>
        </w:trPr>
        <w:tc>
          <w:tcPr>
            <w:tcW w:w="902" w:type="pct"/>
            <w:tcBorders>
              <w:left w:val="single" w:sz="4" w:space="0" w:color="000000"/>
              <w:bottom w:val="nil"/>
              <w:right w:val="single" w:sz="4" w:space="0" w:color="000000"/>
            </w:tcBorders>
            <w:shd w:val="clear" w:color="auto" w:fill="auto"/>
            <w:vAlign w:val="center"/>
          </w:tcPr>
          <w:p w14:paraId="3A0BE63D" w14:textId="77777777" w:rsidR="00690513" w:rsidRPr="0002488A" w:rsidRDefault="00690513" w:rsidP="000A369F">
            <w:pPr>
              <w:keepNext/>
              <w:keepLines/>
              <w:spacing w:after="0"/>
              <w:ind w:left="440"/>
              <w:jc w:val="center"/>
              <w:rPr>
                <w:rFonts w:ascii="Arial" w:hAnsi="Arial" w:cs="Arial"/>
                <w:color w:val="000000"/>
                <w:sz w:val="16"/>
                <w:szCs w:val="18"/>
              </w:rPr>
            </w:pPr>
            <w:r w:rsidRPr="0002488A">
              <w:rPr>
                <w:rFonts w:ascii="Arial" w:hAnsi="Arial" w:cs="Arial"/>
                <w:color w:val="000000"/>
                <w:sz w:val="16"/>
                <w:szCs w:val="18"/>
              </w:rPr>
              <w:t>SL_n47B</w:t>
            </w:r>
          </w:p>
        </w:tc>
        <w:tc>
          <w:tcPr>
            <w:tcW w:w="422" w:type="pct"/>
            <w:tcBorders>
              <w:left w:val="single" w:sz="4" w:space="0" w:color="000000"/>
              <w:right w:val="single" w:sz="4" w:space="0" w:color="000000"/>
            </w:tcBorders>
            <w:vAlign w:val="center"/>
          </w:tcPr>
          <w:p w14:paraId="758C924A" w14:textId="77777777" w:rsidR="00690513" w:rsidRPr="0002488A" w:rsidRDefault="00690513" w:rsidP="000A369F">
            <w:pPr>
              <w:keepNext/>
              <w:keepLines/>
              <w:spacing w:after="0"/>
              <w:jc w:val="center"/>
              <w:rPr>
                <w:rFonts w:ascii="Arial" w:hAnsi="Arial" w:cs="Arial"/>
                <w:color w:val="000000"/>
                <w:sz w:val="16"/>
                <w:szCs w:val="18"/>
              </w:rPr>
            </w:pPr>
            <w:r w:rsidRPr="0002488A">
              <w:rPr>
                <w:rFonts w:ascii="Arial" w:hAnsi="Arial" w:cs="Arial"/>
                <w:color w:val="000000"/>
                <w:sz w:val="16"/>
                <w:szCs w:val="18"/>
              </w:rPr>
              <w:t>n47</w:t>
            </w:r>
          </w:p>
        </w:tc>
        <w:tc>
          <w:tcPr>
            <w:tcW w:w="530" w:type="pct"/>
            <w:vMerge w:val="restart"/>
            <w:tcBorders>
              <w:left w:val="single" w:sz="4" w:space="0" w:color="000000"/>
              <w:right w:val="single" w:sz="4" w:space="0" w:color="000000"/>
            </w:tcBorders>
          </w:tcPr>
          <w:p w14:paraId="2CD522CF" w14:textId="77777777" w:rsidR="00690513" w:rsidRPr="0002488A" w:rsidRDefault="00690513" w:rsidP="000A369F">
            <w:pPr>
              <w:keepNext/>
              <w:keepLines/>
              <w:spacing w:after="0"/>
              <w:jc w:val="center"/>
              <w:rPr>
                <w:rFonts w:ascii="Arial" w:hAnsi="Arial" w:cs="Arial"/>
                <w:color w:val="000000"/>
                <w:sz w:val="16"/>
                <w:szCs w:val="18"/>
              </w:rPr>
            </w:pPr>
            <w:r w:rsidRPr="0002488A">
              <w:rPr>
                <w:rFonts w:ascii="Arial" w:hAnsi="Arial" w:cs="Arial"/>
                <w:color w:val="000000"/>
                <w:sz w:val="16"/>
                <w:szCs w:val="18"/>
              </w:rPr>
              <w:t>PC5</w:t>
            </w:r>
          </w:p>
        </w:tc>
        <w:tc>
          <w:tcPr>
            <w:tcW w:w="1829" w:type="pct"/>
            <w:tcBorders>
              <w:top w:val="single" w:sz="4" w:space="0" w:color="000000"/>
              <w:left w:val="single" w:sz="4" w:space="0" w:color="000000"/>
              <w:bottom w:val="single" w:sz="4" w:space="0" w:color="000000"/>
              <w:right w:val="single" w:sz="4" w:space="0" w:color="000000"/>
            </w:tcBorders>
            <w:vAlign w:val="center"/>
          </w:tcPr>
          <w:p w14:paraId="07A537D8" w14:textId="77777777" w:rsidR="00690513" w:rsidRPr="0002488A" w:rsidRDefault="00690513" w:rsidP="000A369F">
            <w:pPr>
              <w:keepNext/>
              <w:keepLines/>
              <w:spacing w:after="0"/>
              <w:ind w:left="440"/>
              <w:jc w:val="center"/>
              <w:rPr>
                <w:rFonts w:ascii="Arial" w:hAnsi="Arial" w:cs="Arial"/>
                <w:color w:val="000000"/>
                <w:sz w:val="16"/>
                <w:szCs w:val="18"/>
              </w:rPr>
            </w:pPr>
            <w:r w:rsidRPr="0002488A">
              <w:rPr>
                <w:rFonts w:ascii="Arial" w:hAnsi="Arial" w:cs="Arial"/>
                <w:color w:val="000000"/>
                <w:sz w:val="16"/>
                <w:szCs w:val="18"/>
              </w:rPr>
              <w:t>10, 20, 30, 40</w:t>
            </w:r>
          </w:p>
        </w:tc>
        <w:tc>
          <w:tcPr>
            <w:tcW w:w="613" w:type="pct"/>
            <w:tcBorders>
              <w:left w:val="single" w:sz="4" w:space="0" w:color="000000"/>
              <w:bottom w:val="nil"/>
              <w:right w:val="single" w:sz="4" w:space="0" w:color="000000"/>
            </w:tcBorders>
          </w:tcPr>
          <w:p w14:paraId="685C085F" w14:textId="77777777" w:rsidR="00690513" w:rsidRPr="0002488A" w:rsidRDefault="00690513" w:rsidP="000A369F">
            <w:pPr>
              <w:keepNext/>
              <w:keepLines/>
              <w:spacing w:after="0"/>
              <w:ind w:left="440"/>
              <w:rPr>
                <w:rFonts w:ascii="Arial" w:hAnsi="Arial" w:cs="Arial"/>
                <w:color w:val="000000"/>
                <w:sz w:val="16"/>
                <w:szCs w:val="18"/>
              </w:rPr>
            </w:pPr>
            <w:r w:rsidRPr="0002488A">
              <w:rPr>
                <w:rFonts w:ascii="Arial" w:hAnsi="Arial" w:cs="Arial"/>
                <w:color w:val="000000"/>
                <w:sz w:val="16"/>
                <w:szCs w:val="18"/>
              </w:rPr>
              <w:t>70</w:t>
            </w:r>
          </w:p>
        </w:tc>
        <w:tc>
          <w:tcPr>
            <w:tcW w:w="704" w:type="pct"/>
            <w:tcBorders>
              <w:left w:val="single" w:sz="4" w:space="0" w:color="000000"/>
              <w:bottom w:val="nil"/>
              <w:right w:val="single" w:sz="4" w:space="0" w:color="000000"/>
            </w:tcBorders>
            <w:shd w:val="clear" w:color="auto" w:fill="auto"/>
            <w:vAlign w:val="center"/>
          </w:tcPr>
          <w:p w14:paraId="2DBA197A" w14:textId="77777777" w:rsidR="00690513" w:rsidRPr="0002488A" w:rsidRDefault="00690513" w:rsidP="000A369F">
            <w:pPr>
              <w:keepNext/>
              <w:keepLines/>
              <w:spacing w:after="0"/>
              <w:ind w:left="440"/>
              <w:rPr>
                <w:rFonts w:ascii="Arial" w:hAnsi="Arial" w:cs="Arial"/>
                <w:color w:val="000000"/>
                <w:sz w:val="16"/>
                <w:szCs w:val="18"/>
              </w:rPr>
            </w:pPr>
            <w:r w:rsidRPr="0002488A">
              <w:rPr>
                <w:rFonts w:ascii="Arial" w:hAnsi="Arial" w:cs="Arial"/>
                <w:color w:val="000000"/>
                <w:sz w:val="16"/>
                <w:szCs w:val="18"/>
              </w:rPr>
              <w:t>0</w:t>
            </w:r>
          </w:p>
        </w:tc>
      </w:tr>
      <w:tr w:rsidR="00690513" w:rsidRPr="0002488A" w14:paraId="65469DD6" w14:textId="77777777" w:rsidTr="000A369F">
        <w:trPr>
          <w:trHeight w:val="187"/>
          <w:jc w:val="center"/>
        </w:trPr>
        <w:tc>
          <w:tcPr>
            <w:tcW w:w="902" w:type="pct"/>
            <w:tcBorders>
              <w:top w:val="nil"/>
              <w:left w:val="single" w:sz="4" w:space="0" w:color="000000"/>
              <w:bottom w:val="single" w:sz="4" w:space="0" w:color="000000"/>
              <w:right w:val="single" w:sz="4" w:space="0" w:color="000000"/>
            </w:tcBorders>
            <w:shd w:val="clear" w:color="auto" w:fill="auto"/>
            <w:vAlign w:val="center"/>
          </w:tcPr>
          <w:p w14:paraId="045D6FF6" w14:textId="77777777" w:rsidR="00690513" w:rsidRPr="0002488A" w:rsidRDefault="00690513" w:rsidP="000A369F">
            <w:pPr>
              <w:keepNext/>
              <w:keepLines/>
              <w:spacing w:after="0"/>
              <w:ind w:left="440"/>
              <w:jc w:val="center"/>
              <w:rPr>
                <w:rFonts w:ascii="Arial" w:hAnsi="Arial" w:cs="Arial"/>
                <w:color w:val="000000"/>
                <w:sz w:val="16"/>
                <w:szCs w:val="18"/>
              </w:rPr>
            </w:pPr>
          </w:p>
        </w:tc>
        <w:tc>
          <w:tcPr>
            <w:tcW w:w="422" w:type="pct"/>
            <w:tcBorders>
              <w:left w:val="single" w:sz="4" w:space="0" w:color="000000"/>
              <w:right w:val="single" w:sz="4" w:space="0" w:color="000000"/>
            </w:tcBorders>
            <w:vAlign w:val="center"/>
          </w:tcPr>
          <w:p w14:paraId="0F9CECC3" w14:textId="77777777" w:rsidR="00690513" w:rsidRPr="0002488A" w:rsidRDefault="00690513" w:rsidP="000A369F">
            <w:pPr>
              <w:keepNext/>
              <w:keepLines/>
              <w:spacing w:after="0"/>
              <w:jc w:val="center"/>
              <w:rPr>
                <w:rFonts w:ascii="Arial" w:hAnsi="Arial" w:cs="Arial"/>
                <w:color w:val="000000"/>
                <w:sz w:val="16"/>
                <w:szCs w:val="18"/>
              </w:rPr>
            </w:pPr>
            <w:r w:rsidRPr="0002488A">
              <w:rPr>
                <w:rFonts w:ascii="Arial" w:hAnsi="Arial" w:cs="Arial"/>
                <w:color w:val="000000"/>
                <w:sz w:val="16"/>
                <w:szCs w:val="18"/>
              </w:rPr>
              <w:t>n47</w:t>
            </w:r>
          </w:p>
        </w:tc>
        <w:tc>
          <w:tcPr>
            <w:tcW w:w="530" w:type="pct"/>
            <w:vMerge/>
            <w:tcBorders>
              <w:left w:val="single" w:sz="4" w:space="0" w:color="000000"/>
              <w:right w:val="single" w:sz="4" w:space="0" w:color="000000"/>
            </w:tcBorders>
          </w:tcPr>
          <w:p w14:paraId="1233B7C1" w14:textId="77777777" w:rsidR="00690513" w:rsidRPr="0002488A" w:rsidRDefault="00690513" w:rsidP="000A369F">
            <w:pPr>
              <w:spacing w:after="0" w:line="276" w:lineRule="auto"/>
              <w:rPr>
                <w:rFonts w:ascii="Arial" w:hAnsi="Arial" w:cs="Arial"/>
                <w:color w:val="000000"/>
                <w:sz w:val="16"/>
                <w:szCs w:val="18"/>
              </w:rPr>
            </w:pPr>
          </w:p>
        </w:tc>
        <w:tc>
          <w:tcPr>
            <w:tcW w:w="1829" w:type="pct"/>
            <w:tcBorders>
              <w:top w:val="single" w:sz="4" w:space="0" w:color="000000"/>
              <w:left w:val="single" w:sz="4" w:space="0" w:color="000000"/>
              <w:bottom w:val="single" w:sz="4" w:space="0" w:color="000000"/>
              <w:right w:val="single" w:sz="4" w:space="0" w:color="000000"/>
            </w:tcBorders>
            <w:vAlign w:val="center"/>
          </w:tcPr>
          <w:p w14:paraId="651D2274" w14:textId="77777777" w:rsidR="00690513" w:rsidRPr="0002488A" w:rsidRDefault="00690513" w:rsidP="000A369F">
            <w:pPr>
              <w:keepNext/>
              <w:keepLines/>
              <w:spacing w:after="0"/>
              <w:ind w:left="440"/>
              <w:jc w:val="center"/>
              <w:rPr>
                <w:rFonts w:ascii="Arial" w:hAnsi="Arial" w:cs="Arial"/>
                <w:color w:val="000000"/>
                <w:sz w:val="16"/>
                <w:szCs w:val="18"/>
              </w:rPr>
            </w:pPr>
            <w:r w:rsidRPr="0002488A">
              <w:rPr>
                <w:rFonts w:ascii="Arial" w:hAnsi="Arial" w:cs="Arial"/>
                <w:color w:val="000000"/>
                <w:sz w:val="16"/>
                <w:szCs w:val="18"/>
              </w:rPr>
              <w:t>10, 20, 30</w:t>
            </w:r>
          </w:p>
        </w:tc>
        <w:tc>
          <w:tcPr>
            <w:tcW w:w="613" w:type="pct"/>
            <w:tcBorders>
              <w:top w:val="nil"/>
              <w:left w:val="single" w:sz="4" w:space="0" w:color="000000"/>
              <w:bottom w:val="single" w:sz="4" w:space="0" w:color="000000"/>
              <w:right w:val="single" w:sz="4" w:space="0" w:color="000000"/>
            </w:tcBorders>
          </w:tcPr>
          <w:p w14:paraId="29BFB6F3" w14:textId="77777777" w:rsidR="00690513" w:rsidRPr="0002488A" w:rsidRDefault="00690513" w:rsidP="000A369F">
            <w:pPr>
              <w:keepNext/>
              <w:keepLines/>
              <w:spacing w:after="0"/>
              <w:ind w:left="440"/>
              <w:jc w:val="center"/>
              <w:rPr>
                <w:rFonts w:ascii="Arial" w:hAnsi="Arial" w:cs="Arial"/>
                <w:color w:val="000000"/>
                <w:sz w:val="16"/>
                <w:szCs w:val="18"/>
              </w:rPr>
            </w:pPr>
          </w:p>
        </w:tc>
        <w:tc>
          <w:tcPr>
            <w:tcW w:w="704" w:type="pct"/>
            <w:tcBorders>
              <w:top w:val="nil"/>
              <w:left w:val="single" w:sz="4" w:space="0" w:color="000000"/>
              <w:bottom w:val="single" w:sz="4" w:space="0" w:color="000000"/>
              <w:right w:val="single" w:sz="4" w:space="0" w:color="000000"/>
            </w:tcBorders>
            <w:shd w:val="clear" w:color="auto" w:fill="auto"/>
            <w:vAlign w:val="center"/>
          </w:tcPr>
          <w:p w14:paraId="3ADA56F4" w14:textId="77777777" w:rsidR="00690513" w:rsidRPr="0002488A" w:rsidRDefault="00690513" w:rsidP="000A369F">
            <w:pPr>
              <w:keepNext/>
              <w:keepLines/>
              <w:spacing w:after="0"/>
              <w:ind w:left="440"/>
              <w:jc w:val="center"/>
              <w:rPr>
                <w:rFonts w:ascii="Arial" w:hAnsi="Arial" w:cs="Arial"/>
                <w:color w:val="000000"/>
                <w:sz w:val="16"/>
                <w:szCs w:val="18"/>
              </w:rPr>
            </w:pPr>
          </w:p>
        </w:tc>
      </w:tr>
      <w:tr w:rsidR="00690513" w:rsidRPr="0002488A" w14:paraId="7467E7F9" w14:textId="77777777" w:rsidTr="000A369F">
        <w:trPr>
          <w:trHeight w:val="187"/>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1221AB8" w14:textId="77777777" w:rsidR="00690513" w:rsidRPr="0002488A" w:rsidRDefault="00690513" w:rsidP="000A369F">
            <w:pPr>
              <w:keepNext/>
              <w:keepLines/>
              <w:spacing w:after="0"/>
              <w:ind w:left="851" w:hanging="851"/>
              <w:rPr>
                <w:rFonts w:ascii="Arial" w:hAnsi="Arial" w:cs="Arial"/>
                <w:color w:val="000000"/>
                <w:sz w:val="16"/>
                <w:szCs w:val="18"/>
              </w:rPr>
            </w:pPr>
            <w:r w:rsidRPr="0002488A">
              <w:rPr>
                <w:rFonts w:ascii="Arial" w:hAnsi="Arial" w:cs="Arial"/>
                <w:color w:val="000000"/>
                <w:sz w:val="16"/>
                <w:szCs w:val="18"/>
              </w:rPr>
              <w:t xml:space="preserve">NOTE 1: </w:t>
            </w:r>
            <w:r w:rsidRPr="0002488A">
              <w:rPr>
                <w:rFonts w:ascii="Arial" w:hAnsi="Arial" w:cs="Arial"/>
                <w:color w:val="000000"/>
                <w:sz w:val="16"/>
                <w:szCs w:val="18"/>
              </w:rPr>
              <w:tab/>
              <w:t>The SCS of each channel bandwidth for NR band refers to Table 5.3.5-1 in TS38.101-1.</w:t>
            </w:r>
          </w:p>
        </w:tc>
      </w:tr>
    </w:tbl>
    <w:p w14:paraId="513B2135" w14:textId="77777777" w:rsidR="00690513" w:rsidRDefault="00690513" w:rsidP="00690513">
      <w:pPr>
        <w:pStyle w:val="afe"/>
        <w:overflowPunct/>
        <w:autoSpaceDE/>
        <w:autoSpaceDN/>
        <w:adjustRightInd/>
        <w:spacing w:after="120"/>
        <w:ind w:left="936" w:firstLineChars="0" w:firstLine="0"/>
        <w:textAlignment w:val="auto"/>
        <w:rPr>
          <w:rFonts w:eastAsia="宋体"/>
          <w:color w:val="0070C0"/>
          <w:szCs w:val="24"/>
          <w:lang w:eastAsia="zh-CN"/>
        </w:rPr>
      </w:pPr>
    </w:p>
    <w:p w14:paraId="4994BF87" w14:textId="77777777" w:rsidR="00EE1A83" w:rsidRDefault="00EE1A83" w:rsidP="00F10A15">
      <w:pPr>
        <w:pStyle w:val="afe"/>
        <w:numPr>
          <w:ilvl w:val="0"/>
          <w:numId w:val="4"/>
        </w:numPr>
        <w:overflowPunct/>
        <w:autoSpaceDE/>
        <w:autoSpaceDN/>
        <w:adjustRightInd/>
        <w:spacing w:after="120"/>
        <w:ind w:left="993" w:firstLineChars="0"/>
        <w:textAlignment w:val="auto"/>
        <w:rPr>
          <w:rFonts w:eastAsia="宋体"/>
          <w:color w:val="0070C0"/>
          <w:szCs w:val="24"/>
          <w:lang w:eastAsia="zh-CN"/>
        </w:rPr>
      </w:pPr>
      <w:r w:rsidRPr="00805BE8">
        <w:rPr>
          <w:rFonts w:eastAsia="宋体"/>
          <w:color w:val="0070C0"/>
          <w:szCs w:val="24"/>
          <w:lang w:eastAsia="zh-CN"/>
        </w:rPr>
        <w:t>Recommended WF</w:t>
      </w:r>
    </w:p>
    <w:p w14:paraId="6A846F0A" w14:textId="77777777" w:rsidR="00EE1A83" w:rsidRDefault="00EE1A83" w:rsidP="00EE1A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F29D0AA" w14:textId="6665BAC8" w:rsidR="00EF70A2" w:rsidRPr="00805BE8" w:rsidRDefault="00EF70A2" w:rsidP="00EF70A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r w:rsidR="001605E6">
        <w:rPr>
          <w:sz w:val="24"/>
          <w:szCs w:val="16"/>
        </w:rPr>
        <w:t>: Tx requirements for SL CA</w:t>
      </w:r>
    </w:p>
    <w:p w14:paraId="386542D5" w14:textId="1B4E45AF" w:rsidR="000A369F" w:rsidRPr="0025583F" w:rsidRDefault="000A369F"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w:t>
      </w:r>
      <w:r w:rsidR="00EE1A83" w:rsidRPr="0025583F">
        <w:rPr>
          <w:rFonts w:ascii="Times New Roman" w:hAnsi="Times New Roman"/>
          <w:b/>
          <w:color w:val="0070C0"/>
          <w:sz w:val="20"/>
          <w:u w:val="single"/>
          <w:lang w:eastAsia="ko-KR"/>
        </w:rPr>
        <w:t>2-1</w:t>
      </w:r>
      <w:r w:rsidRPr="0025583F">
        <w:rPr>
          <w:rFonts w:ascii="Times New Roman" w:hAnsi="Times New Roman"/>
          <w:b/>
          <w:color w:val="0070C0"/>
          <w:sz w:val="20"/>
          <w:u w:val="single"/>
          <w:lang w:eastAsia="ko-KR"/>
        </w:rPr>
        <w:t>: Methodology on Tx requirements for SL intra-band contiguous CA</w:t>
      </w:r>
    </w:p>
    <w:p w14:paraId="1FC1B22F" w14:textId="77777777" w:rsidR="000A369F" w:rsidRPr="00045592" w:rsidRDefault="000A369F" w:rsidP="00F10A15">
      <w:pPr>
        <w:pStyle w:val="afe"/>
        <w:numPr>
          <w:ilvl w:val="0"/>
          <w:numId w:val="4"/>
        </w:numPr>
        <w:overflowPunct/>
        <w:autoSpaceDE/>
        <w:autoSpaceDN/>
        <w:adjustRightInd/>
        <w:spacing w:after="120"/>
        <w:ind w:left="993" w:firstLineChars="0"/>
        <w:textAlignment w:val="auto"/>
        <w:rPr>
          <w:rFonts w:eastAsia="宋体"/>
          <w:color w:val="0070C0"/>
          <w:szCs w:val="24"/>
          <w:lang w:eastAsia="zh-CN"/>
        </w:rPr>
      </w:pPr>
      <w:r w:rsidRPr="00045592">
        <w:rPr>
          <w:rFonts w:eastAsia="宋体"/>
          <w:color w:val="0070C0"/>
          <w:szCs w:val="24"/>
          <w:lang w:eastAsia="zh-CN"/>
        </w:rPr>
        <w:t>Proposals</w:t>
      </w:r>
    </w:p>
    <w:p w14:paraId="03C3CC1A" w14:textId="0076B07A" w:rsidR="00052F12" w:rsidRDefault="000A369F" w:rsidP="000A369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052F12">
        <w:rPr>
          <w:rFonts w:eastAsia="宋体"/>
          <w:color w:val="0070C0"/>
          <w:szCs w:val="24"/>
          <w:lang w:eastAsia="zh-CN"/>
        </w:rPr>
        <w:t>Meta, LGE(Start MPR simulation for PSSCH and PSCCH with the agreed assumption), Nokia, OPPO, QCOM</w:t>
      </w:r>
    </w:p>
    <w:p w14:paraId="64DD6F84" w14:textId="0979A62A" w:rsidR="000A369F" w:rsidRDefault="000A369F"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requirements for NR intra-band contiguous CA as baseline.</w:t>
      </w:r>
    </w:p>
    <w:p w14:paraId="2F967A07" w14:textId="77777777" w:rsidR="00297FD8" w:rsidRDefault="000A369F" w:rsidP="000A369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4FA33469" w14:textId="3AD4390F" w:rsidR="000A369F" w:rsidRDefault="000A369F" w:rsidP="00297F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requirements for LTE intra-band contiguous CA as baseline.</w:t>
      </w:r>
    </w:p>
    <w:p w14:paraId="12CA3FA3" w14:textId="1ADA72E1" w:rsidR="00052F12" w:rsidRDefault="000A369F" w:rsidP="000A369F">
      <w:pPr>
        <w:pStyle w:val="afe"/>
        <w:numPr>
          <w:ilvl w:val="1"/>
          <w:numId w:val="4"/>
        </w:numPr>
        <w:overflowPunct/>
        <w:autoSpaceDE/>
        <w:autoSpaceDN/>
        <w:adjustRightInd/>
        <w:spacing w:after="120"/>
        <w:ind w:left="1418" w:firstLineChars="0"/>
        <w:textAlignment w:val="auto"/>
        <w:rPr>
          <w:rFonts w:eastAsia="宋体"/>
          <w:color w:val="0070C0"/>
          <w:szCs w:val="24"/>
          <w:lang w:eastAsia="zh-CN"/>
        </w:rPr>
      </w:pPr>
      <w:r>
        <w:rPr>
          <w:rFonts w:eastAsia="宋体"/>
          <w:color w:val="0070C0"/>
          <w:szCs w:val="24"/>
          <w:lang w:eastAsia="zh-CN"/>
        </w:rPr>
        <w:t xml:space="preserve">Option 3: </w:t>
      </w:r>
      <w:r w:rsidR="00052F12">
        <w:rPr>
          <w:rFonts w:eastAsia="宋体"/>
          <w:color w:val="0070C0"/>
          <w:szCs w:val="24"/>
          <w:lang w:eastAsia="zh-CN"/>
        </w:rPr>
        <w:t>vivo</w:t>
      </w:r>
    </w:p>
    <w:p w14:paraId="06B5A222" w14:textId="1A23259A" w:rsidR="000A369F" w:rsidRDefault="00EE1A83"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sidR="000A369F" w:rsidRPr="000E025C">
        <w:rPr>
          <w:rFonts w:eastAsia="宋体"/>
          <w:color w:val="0070C0"/>
          <w:szCs w:val="24"/>
          <w:lang w:eastAsia="zh-CN"/>
        </w:rPr>
        <w:t>tudy the Tx requirements case by case</w:t>
      </w:r>
    </w:p>
    <w:p w14:paraId="3AF4C3AF" w14:textId="77777777" w:rsidR="00EE1A83" w:rsidRDefault="00EE1A83" w:rsidP="00EE1A83">
      <w:pPr>
        <w:pStyle w:val="afe"/>
        <w:numPr>
          <w:ilvl w:val="0"/>
          <w:numId w:val="4"/>
        </w:numPr>
        <w:overflowPunct/>
        <w:autoSpaceDE/>
        <w:autoSpaceDN/>
        <w:adjustRightInd/>
        <w:spacing w:after="120"/>
        <w:ind w:left="993" w:firstLineChars="0"/>
        <w:textAlignment w:val="auto"/>
        <w:rPr>
          <w:rFonts w:eastAsia="宋体"/>
          <w:color w:val="0070C0"/>
          <w:szCs w:val="24"/>
          <w:lang w:eastAsia="zh-CN"/>
        </w:rPr>
      </w:pPr>
      <w:r w:rsidRPr="00805BE8">
        <w:rPr>
          <w:rFonts w:eastAsia="宋体"/>
          <w:color w:val="0070C0"/>
          <w:szCs w:val="24"/>
          <w:lang w:eastAsia="zh-CN"/>
        </w:rPr>
        <w:t>Recommended WF</w:t>
      </w:r>
    </w:p>
    <w:p w14:paraId="5B03E611" w14:textId="77777777" w:rsidR="00EE1A83" w:rsidRDefault="00EE1A83" w:rsidP="00EE1A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BD79469" w14:textId="01EA8A76" w:rsidR="000A369F" w:rsidRDefault="000A369F" w:rsidP="00EF70A2">
      <w:pPr>
        <w:rPr>
          <w:rFonts w:eastAsia="Malgun Gothic"/>
          <w:b/>
          <w:color w:val="0070C0"/>
          <w:u w:val="single"/>
          <w:lang w:eastAsia="ko-KR"/>
        </w:rPr>
      </w:pPr>
    </w:p>
    <w:p w14:paraId="15C3A0A3" w14:textId="65088DEC" w:rsidR="0025583F" w:rsidRPr="0025583F" w:rsidRDefault="0025583F"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2-2-</w:t>
      </w:r>
      <w:r>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Overview of </w:t>
      </w:r>
      <w:r w:rsidRPr="0025583F">
        <w:rPr>
          <w:rFonts w:ascii="Times New Roman" w:hAnsi="Times New Roman"/>
          <w:b/>
          <w:color w:val="0070C0"/>
          <w:sz w:val="20"/>
          <w:u w:val="single"/>
          <w:lang w:eastAsia="ko-KR"/>
        </w:rPr>
        <w:t>Tx RF requirements for NR SL intra-band contiguous CA</w:t>
      </w:r>
    </w:p>
    <w:p w14:paraId="0CF65C45" w14:textId="77777777" w:rsidR="0025583F" w:rsidRPr="00045592" w:rsidRDefault="0025583F" w:rsidP="0025583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3E6861" w14:textId="77777777" w:rsidR="0025583F" w:rsidRDefault="0025583F" w:rsidP="0025583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Meta</w:t>
      </w:r>
    </w:p>
    <w:tbl>
      <w:tblPr>
        <w:tblStyle w:val="afd"/>
        <w:tblW w:w="0" w:type="auto"/>
        <w:jc w:val="center"/>
        <w:tblLook w:val="04A0" w:firstRow="1" w:lastRow="0" w:firstColumn="1" w:lastColumn="0" w:noHBand="0" w:noVBand="1"/>
      </w:tblPr>
      <w:tblGrid>
        <w:gridCol w:w="3861"/>
        <w:gridCol w:w="4404"/>
      </w:tblGrid>
      <w:tr w:rsidR="0025583F" w:rsidRPr="00782BD2" w14:paraId="573BEDFE" w14:textId="77777777" w:rsidTr="006D2272">
        <w:trPr>
          <w:trHeight w:val="682"/>
          <w:jc w:val="center"/>
        </w:trPr>
        <w:tc>
          <w:tcPr>
            <w:tcW w:w="3861" w:type="dxa"/>
          </w:tcPr>
          <w:p w14:paraId="0F373C9D" w14:textId="77777777" w:rsidR="0025583F" w:rsidRPr="00782BD2" w:rsidRDefault="0025583F" w:rsidP="006D2272">
            <w:pPr>
              <w:rPr>
                <w:color w:val="000000"/>
                <w:sz w:val="18"/>
              </w:rPr>
            </w:pPr>
            <w:r w:rsidRPr="00782BD2">
              <w:rPr>
                <w:color w:val="000000"/>
                <w:sz w:val="18"/>
              </w:rPr>
              <w:t>Tx requirements for SL CA in n47</w:t>
            </w:r>
          </w:p>
        </w:tc>
        <w:tc>
          <w:tcPr>
            <w:tcW w:w="4404" w:type="dxa"/>
          </w:tcPr>
          <w:p w14:paraId="551D11AD" w14:textId="77777777" w:rsidR="0025583F" w:rsidRPr="00782BD2" w:rsidRDefault="0025583F" w:rsidP="006D2272">
            <w:pPr>
              <w:jc w:val="center"/>
              <w:rPr>
                <w:color w:val="000000"/>
                <w:sz w:val="18"/>
              </w:rPr>
            </w:pPr>
            <w:r w:rsidRPr="00782BD2">
              <w:rPr>
                <w:color w:val="000000"/>
                <w:sz w:val="18"/>
              </w:rPr>
              <w:t>Comments for Requirements</w:t>
            </w:r>
          </w:p>
        </w:tc>
      </w:tr>
      <w:tr w:rsidR="0025583F" w:rsidRPr="00782BD2" w14:paraId="4D922157" w14:textId="77777777" w:rsidTr="006D2272">
        <w:trPr>
          <w:trHeight w:val="399"/>
          <w:jc w:val="center"/>
        </w:trPr>
        <w:tc>
          <w:tcPr>
            <w:tcW w:w="3861" w:type="dxa"/>
          </w:tcPr>
          <w:p w14:paraId="31260270" w14:textId="77777777" w:rsidR="0025583F" w:rsidRPr="00782BD2" w:rsidRDefault="0025583F" w:rsidP="006D2272">
            <w:pPr>
              <w:rPr>
                <w:color w:val="000000"/>
                <w:sz w:val="18"/>
              </w:rPr>
            </w:pPr>
            <w:r w:rsidRPr="00782BD2">
              <w:rPr>
                <w:color w:val="000000"/>
                <w:sz w:val="18"/>
              </w:rPr>
              <w:t>6.2E.1A MOP</w:t>
            </w:r>
          </w:p>
        </w:tc>
        <w:tc>
          <w:tcPr>
            <w:tcW w:w="4404" w:type="dxa"/>
          </w:tcPr>
          <w:p w14:paraId="1A386260" w14:textId="77777777" w:rsidR="0025583F" w:rsidRPr="00782BD2" w:rsidRDefault="0025583F" w:rsidP="006D2272">
            <w:pPr>
              <w:rPr>
                <w:color w:val="000000"/>
                <w:sz w:val="18"/>
              </w:rPr>
            </w:pPr>
            <w:r w:rsidRPr="00782BD2">
              <w:rPr>
                <w:color w:val="000000"/>
                <w:sz w:val="18"/>
              </w:rPr>
              <w:t>Define CA MOP as total transmitted power (Per UE) for both PC3/PC2 SL CA UE</w:t>
            </w:r>
          </w:p>
          <w:p w14:paraId="0022AEA2" w14:textId="77777777" w:rsidR="0025583F" w:rsidRPr="00782BD2" w:rsidRDefault="0025583F" w:rsidP="006D2272">
            <w:pPr>
              <w:rPr>
                <w:color w:val="000000"/>
                <w:sz w:val="18"/>
              </w:rPr>
            </w:pPr>
            <w:r w:rsidRPr="00782BD2">
              <w:rPr>
                <w:color w:val="000000"/>
                <w:sz w:val="18"/>
              </w:rPr>
              <w:t>PC2 SL CA is 2</w:t>
            </w:r>
            <w:r w:rsidRPr="00782BD2">
              <w:rPr>
                <w:color w:val="000000"/>
                <w:sz w:val="18"/>
                <w:vertAlign w:val="superscript"/>
              </w:rPr>
              <w:t>nd</w:t>
            </w:r>
            <w:r w:rsidRPr="00782BD2">
              <w:rPr>
                <w:color w:val="000000"/>
                <w:sz w:val="18"/>
              </w:rPr>
              <w:t xml:space="preserve"> priority</w:t>
            </w:r>
          </w:p>
        </w:tc>
      </w:tr>
      <w:tr w:rsidR="0025583F" w:rsidRPr="00782BD2" w14:paraId="438F0BEF" w14:textId="77777777" w:rsidTr="006D2272">
        <w:trPr>
          <w:trHeight w:val="399"/>
          <w:jc w:val="center"/>
        </w:trPr>
        <w:tc>
          <w:tcPr>
            <w:tcW w:w="3861" w:type="dxa"/>
          </w:tcPr>
          <w:p w14:paraId="7A15F20D" w14:textId="77777777" w:rsidR="0025583F" w:rsidRPr="00782BD2" w:rsidRDefault="0025583F" w:rsidP="006D2272">
            <w:pPr>
              <w:rPr>
                <w:color w:val="000000"/>
                <w:sz w:val="18"/>
              </w:rPr>
            </w:pPr>
            <w:r w:rsidRPr="00782BD2">
              <w:rPr>
                <w:color w:val="000000"/>
                <w:sz w:val="18"/>
              </w:rPr>
              <w:t>6.2E.2A MPR</w:t>
            </w:r>
          </w:p>
        </w:tc>
        <w:tc>
          <w:tcPr>
            <w:tcW w:w="4404" w:type="dxa"/>
          </w:tcPr>
          <w:p w14:paraId="36F3D715" w14:textId="77777777" w:rsidR="0025583F" w:rsidRPr="00782BD2" w:rsidRDefault="0025583F" w:rsidP="006D2272">
            <w:pPr>
              <w:rPr>
                <w:color w:val="000000"/>
                <w:sz w:val="18"/>
              </w:rPr>
            </w:pPr>
            <w:r w:rsidRPr="00782BD2">
              <w:rPr>
                <w:color w:val="000000"/>
                <w:sz w:val="18"/>
              </w:rPr>
              <w:t>Need to MPR simulation campaign</w:t>
            </w:r>
          </w:p>
        </w:tc>
      </w:tr>
      <w:tr w:rsidR="0025583F" w:rsidRPr="00782BD2" w14:paraId="65B9B89B" w14:textId="77777777" w:rsidTr="006D2272">
        <w:trPr>
          <w:trHeight w:val="399"/>
          <w:jc w:val="center"/>
        </w:trPr>
        <w:tc>
          <w:tcPr>
            <w:tcW w:w="3861" w:type="dxa"/>
          </w:tcPr>
          <w:p w14:paraId="61C9985A" w14:textId="77777777" w:rsidR="0025583F" w:rsidRPr="00782BD2" w:rsidRDefault="0025583F" w:rsidP="006D2272">
            <w:pPr>
              <w:rPr>
                <w:color w:val="000000"/>
                <w:sz w:val="18"/>
              </w:rPr>
            </w:pPr>
            <w:r w:rsidRPr="00782BD2">
              <w:rPr>
                <w:color w:val="000000"/>
                <w:sz w:val="18"/>
              </w:rPr>
              <w:t>6.2E.3A A-MPR</w:t>
            </w:r>
          </w:p>
        </w:tc>
        <w:tc>
          <w:tcPr>
            <w:tcW w:w="4404" w:type="dxa"/>
          </w:tcPr>
          <w:p w14:paraId="0DE6AE4F" w14:textId="77777777" w:rsidR="0025583F" w:rsidRPr="00782BD2" w:rsidRDefault="0025583F" w:rsidP="006D2272">
            <w:pPr>
              <w:rPr>
                <w:color w:val="000000"/>
                <w:sz w:val="18"/>
              </w:rPr>
            </w:pPr>
            <w:r w:rsidRPr="00782BD2">
              <w:rPr>
                <w:color w:val="000000"/>
                <w:sz w:val="18"/>
              </w:rPr>
              <w:t>Need to A-MPR simulation campaign for Europe. FFS in US until FCC final release the additional emission limits</w:t>
            </w:r>
          </w:p>
        </w:tc>
      </w:tr>
      <w:tr w:rsidR="0025583F" w:rsidRPr="00782BD2" w14:paraId="24EC8000" w14:textId="77777777" w:rsidTr="006D2272">
        <w:trPr>
          <w:trHeight w:val="399"/>
          <w:jc w:val="center"/>
        </w:trPr>
        <w:tc>
          <w:tcPr>
            <w:tcW w:w="3861" w:type="dxa"/>
          </w:tcPr>
          <w:p w14:paraId="20EBFD15" w14:textId="77777777" w:rsidR="0025583F" w:rsidRPr="00782BD2" w:rsidRDefault="0025583F" w:rsidP="006D2272">
            <w:pPr>
              <w:rPr>
                <w:color w:val="000000"/>
                <w:sz w:val="18"/>
              </w:rPr>
            </w:pPr>
            <w:r w:rsidRPr="00782BD2">
              <w:rPr>
                <w:color w:val="000000"/>
                <w:sz w:val="18"/>
              </w:rPr>
              <w:lastRenderedPageBreak/>
              <w:t xml:space="preserve">6.2E.4A Configured Tx power </w:t>
            </w:r>
          </w:p>
        </w:tc>
        <w:tc>
          <w:tcPr>
            <w:tcW w:w="4404" w:type="dxa"/>
          </w:tcPr>
          <w:p w14:paraId="1858E240" w14:textId="77777777" w:rsidR="0025583F" w:rsidRPr="00782BD2" w:rsidRDefault="0025583F" w:rsidP="006D2272">
            <w:pPr>
              <w:rPr>
                <w:color w:val="000000"/>
                <w:sz w:val="18"/>
              </w:rPr>
            </w:pPr>
            <w:r w:rsidRPr="00782BD2">
              <w:rPr>
                <w:color w:val="000000"/>
                <w:sz w:val="18"/>
              </w:rPr>
              <w:t xml:space="preserve">NR V2X intra-band con-current operation can be referred to define the configured Tx power </w:t>
            </w:r>
          </w:p>
        </w:tc>
      </w:tr>
      <w:tr w:rsidR="0025583F" w:rsidRPr="00782BD2" w14:paraId="2B4C8D0B" w14:textId="77777777" w:rsidTr="006D2272">
        <w:trPr>
          <w:trHeight w:val="399"/>
          <w:jc w:val="center"/>
        </w:trPr>
        <w:tc>
          <w:tcPr>
            <w:tcW w:w="3861" w:type="dxa"/>
          </w:tcPr>
          <w:p w14:paraId="1FF7562B" w14:textId="77777777" w:rsidR="0025583F" w:rsidRPr="00782BD2" w:rsidRDefault="0025583F" w:rsidP="006D2272">
            <w:pPr>
              <w:rPr>
                <w:color w:val="000000"/>
                <w:sz w:val="18"/>
              </w:rPr>
            </w:pPr>
            <w:r w:rsidRPr="00782BD2">
              <w:rPr>
                <w:color w:val="000000"/>
                <w:sz w:val="18"/>
              </w:rPr>
              <w:t>6.3E.1A minimum output power</w:t>
            </w:r>
          </w:p>
        </w:tc>
        <w:tc>
          <w:tcPr>
            <w:tcW w:w="4404" w:type="dxa"/>
          </w:tcPr>
          <w:p w14:paraId="6EB1851D" w14:textId="77777777" w:rsidR="0025583F" w:rsidRPr="00782BD2" w:rsidRDefault="0025583F" w:rsidP="006D2272">
            <w:pPr>
              <w:rPr>
                <w:color w:val="000000"/>
                <w:sz w:val="18"/>
              </w:rPr>
            </w:pPr>
            <w:r w:rsidRPr="00782BD2">
              <w:rPr>
                <w:color w:val="000000"/>
                <w:sz w:val="18"/>
              </w:rPr>
              <w:t xml:space="preserve">The min power of NR SL in single carrier will be applied to each SL CC </w:t>
            </w:r>
          </w:p>
        </w:tc>
      </w:tr>
      <w:tr w:rsidR="0025583F" w:rsidRPr="00782BD2" w14:paraId="66E336A1" w14:textId="77777777" w:rsidTr="006D2272">
        <w:trPr>
          <w:trHeight w:val="399"/>
          <w:jc w:val="center"/>
        </w:trPr>
        <w:tc>
          <w:tcPr>
            <w:tcW w:w="3861" w:type="dxa"/>
          </w:tcPr>
          <w:p w14:paraId="32CB9ADD" w14:textId="77777777" w:rsidR="0025583F" w:rsidRPr="00782BD2" w:rsidRDefault="0025583F" w:rsidP="006D2272">
            <w:pPr>
              <w:rPr>
                <w:color w:val="000000"/>
                <w:sz w:val="18"/>
              </w:rPr>
            </w:pPr>
            <w:r w:rsidRPr="00782BD2">
              <w:rPr>
                <w:color w:val="000000"/>
                <w:sz w:val="18"/>
              </w:rPr>
              <w:t>6.3E.2A Transmit OFF power</w:t>
            </w:r>
          </w:p>
        </w:tc>
        <w:tc>
          <w:tcPr>
            <w:tcW w:w="4404" w:type="dxa"/>
          </w:tcPr>
          <w:p w14:paraId="4800EF25" w14:textId="77777777" w:rsidR="0025583F" w:rsidRPr="00782BD2" w:rsidRDefault="0025583F" w:rsidP="006D2272">
            <w:pPr>
              <w:rPr>
                <w:color w:val="000000"/>
                <w:sz w:val="18"/>
              </w:rPr>
            </w:pPr>
            <w:r w:rsidRPr="00782BD2">
              <w:rPr>
                <w:color w:val="000000"/>
                <w:sz w:val="18"/>
              </w:rPr>
              <w:t>The transmit off power of NR SL in single carrier will be applied to each SL CC</w:t>
            </w:r>
          </w:p>
        </w:tc>
      </w:tr>
      <w:tr w:rsidR="0025583F" w:rsidRPr="00782BD2" w14:paraId="575EB08B" w14:textId="77777777" w:rsidTr="006D2272">
        <w:trPr>
          <w:trHeight w:val="399"/>
          <w:jc w:val="center"/>
        </w:trPr>
        <w:tc>
          <w:tcPr>
            <w:tcW w:w="3861" w:type="dxa"/>
          </w:tcPr>
          <w:p w14:paraId="35B3B6AD" w14:textId="77777777" w:rsidR="0025583F" w:rsidRPr="00782BD2" w:rsidRDefault="0025583F" w:rsidP="006D2272">
            <w:pPr>
              <w:rPr>
                <w:color w:val="000000"/>
                <w:sz w:val="18"/>
              </w:rPr>
            </w:pPr>
            <w:r w:rsidRPr="00782BD2">
              <w:rPr>
                <w:color w:val="000000"/>
                <w:sz w:val="18"/>
              </w:rPr>
              <w:t xml:space="preserve">6.3E.3A Transmit On/OFF time mask </w:t>
            </w:r>
          </w:p>
        </w:tc>
        <w:tc>
          <w:tcPr>
            <w:tcW w:w="4404" w:type="dxa"/>
          </w:tcPr>
          <w:p w14:paraId="4A73CBCF" w14:textId="77777777" w:rsidR="0025583F" w:rsidRPr="00782BD2" w:rsidRDefault="0025583F" w:rsidP="006D2272">
            <w:pPr>
              <w:rPr>
                <w:color w:val="000000"/>
                <w:sz w:val="18"/>
              </w:rPr>
            </w:pPr>
            <w:r w:rsidRPr="00782BD2">
              <w:rPr>
                <w:color w:val="000000"/>
                <w:sz w:val="18"/>
              </w:rPr>
              <w:t xml:space="preserve">The transit on/off time mask of NR SL in single carrier will be applied to the aggregated CBW.  </w:t>
            </w:r>
          </w:p>
        </w:tc>
      </w:tr>
      <w:tr w:rsidR="0025583F" w:rsidRPr="00782BD2" w14:paraId="5F5D83E1" w14:textId="77777777" w:rsidTr="006D2272">
        <w:trPr>
          <w:trHeight w:val="399"/>
          <w:jc w:val="center"/>
        </w:trPr>
        <w:tc>
          <w:tcPr>
            <w:tcW w:w="3861" w:type="dxa"/>
          </w:tcPr>
          <w:p w14:paraId="66A7B75C" w14:textId="77777777" w:rsidR="0025583F" w:rsidRPr="00782BD2" w:rsidRDefault="0025583F" w:rsidP="006D2272">
            <w:pPr>
              <w:rPr>
                <w:color w:val="000000"/>
                <w:sz w:val="18"/>
              </w:rPr>
            </w:pPr>
            <w:r w:rsidRPr="00782BD2">
              <w:rPr>
                <w:color w:val="000000"/>
                <w:sz w:val="18"/>
              </w:rPr>
              <w:t>6.3E.4A. Power control</w:t>
            </w:r>
          </w:p>
        </w:tc>
        <w:tc>
          <w:tcPr>
            <w:tcW w:w="4404" w:type="dxa"/>
          </w:tcPr>
          <w:p w14:paraId="4B322FB8" w14:textId="77777777" w:rsidR="0025583F" w:rsidRPr="00782BD2" w:rsidRDefault="0025583F" w:rsidP="006D2272">
            <w:pPr>
              <w:rPr>
                <w:color w:val="000000"/>
                <w:sz w:val="18"/>
              </w:rPr>
            </w:pPr>
            <w:r w:rsidRPr="00782BD2">
              <w:rPr>
                <w:color w:val="000000"/>
                <w:sz w:val="18"/>
              </w:rPr>
              <w:t xml:space="preserve">Absolute power tolerance of NR SL in single carrier will be applied to each SL CC.  </w:t>
            </w:r>
          </w:p>
        </w:tc>
      </w:tr>
      <w:tr w:rsidR="0025583F" w:rsidRPr="00782BD2" w14:paraId="68AFFD5F" w14:textId="77777777" w:rsidTr="006D2272">
        <w:trPr>
          <w:trHeight w:val="399"/>
          <w:jc w:val="center"/>
        </w:trPr>
        <w:tc>
          <w:tcPr>
            <w:tcW w:w="3861" w:type="dxa"/>
          </w:tcPr>
          <w:p w14:paraId="21992702" w14:textId="77777777" w:rsidR="0025583F" w:rsidRPr="00782BD2" w:rsidRDefault="0025583F" w:rsidP="006D2272">
            <w:pPr>
              <w:rPr>
                <w:color w:val="000000"/>
                <w:sz w:val="18"/>
              </w:rPr>
            </w:pPr>
            <w:r w:rsidRPr="00782BD2">
              <w:rPr>
                <w:color w:val="000000"/>
                <w:sz w:val="18"/>
              </w:rPr>
              <w:t>6.4E.1A Frequency error</w:t>
            </w:r>
          </w:p>
        </w:tc>
        <w:tc>
          <w:tcPr>
            <w:tcW w:w="4404" w:type="dxa"/>
          </w:tcPr>
          <w:p w14:paraId="0B7A2A28" w14:textId="77777777" w:rsidR="0025583F" w:rsidRPr="00782BD2" w:rsidRDefault="0025583F" w:rsidP="006D2272">
            <w:pPr>
              <w:rPr>
                <w:color w:val="000000"/>
                <w:sz w:val="18"/>
              </w:rPr>
            </w:pPr>
            <w:r w:rsidRPr="00782BD2">
              <w:rPr>
                <w:sz w:val="18"/>
                <w:lang w:eastAsia="zh-CN"/>
              </w:rPr>
              <w:t>±0.1 PPM observed over a period of 1 ms will be applied for the primary CC for all SL synchronous reference sources.</w:t>
            </w:r>
          </w:p>
        </w:tc>
      </w:tr>
      <w:tr w:rsidR="0025583F" w:rsidRPr="00782BD2" w14:paraId="34BCFE2A" w14:textId="77777777" w:rsidTr="006D2272">
        <w:trPr>
          <w:trHeight w:val="399"/>
          <w:jc w:val="center"/>
        </w:trPr>
        <w:tc>
          <w:tcPr>
            <w:tcW w:w="3861" w:type="dxa"/>
          </w:tcPr>
          <w:p w14:paraId="4298123C" w14:textId="77777777" w:rsidR="0025583F" w:rsidRPr="00782BD2" w:rsidRDefault="0025583F" w:rsidP="006D2272">
            <w:pPr>
              <w:rPr>
                <w:color w:val="000000"/>
                <w:sz w:val="18"/>
              </w:rPr>
            </w:pPr>
            <w:r w:rsidRPr="00782BD2">
              <w:rPr>
                <w:color w:val="000000"/>
                <w:sz w:val="18"/>
              </w:rPr>
              <w:t>6.4E.2A Transmit modulation quality</w:t>
            </w:r>
          </w:p>
        </w:tc>
        <w:tc>
          <w:tcPr>
            <w:tcW w:w="4404" w:type="dxa"/>
          </w:tcPr>
          <w:p w14:paraId="5F0050C7" w14:textId="77777777" w:rsidR="0025583F" w:rsidRPr="00782BD2" w:rsidRDefault="0025583F" w:rsidP="006D2272">
            <w:pPr>
              <w:rPr>
                <w:sz w:val="18"/>
                <w:lang w:eastAsia="zh-CN"/>
              </w:rPr>
            </w:pPr>
            <w:r w:rsidRPr="00782BD2">
              <w:rPr>
                <w:sz w:val="18"/>
                <w:lang w:eastAsia="zh-CN"/>
              </w:rPr>
              <w:t>For EVM of  NR SL in single carrier will be applied to each SL CC.</w:t>
            </w:r>
          </w:p>
          <w:p w14:paraId="2A27B8FD" w14:textId="77777777" w:rsidR="0025583F" w:rsidRPr="00782BD2" w:rsidRDefault="0025583F" w:rsidP="006D2272">
            <w:pPr>
              <w:rPr>
                <w:sz w:val="18"/>
                <w:lang w:eastAsia="zh-CN"/>
              </w:rPr>
            </w:pPr>
            <w:r w:rsidRPr="00782BD2">
              <w:rPr>
                <w:sz w:val="18"/>
                <w:lang w:eastAsia="zh-CN"/>
              </w:rPr>
              <w:t>For In-band emission for NR intra-band contiguous CA will be applied to the aggregated transmission bandwidth.</w:t>
            </w:r>
          </w:p>
          <w:p w14:paraId="50F07B74" w14:textId="77777777" w:rsidR="0025583F" w:rsidRPr="00782BD2" w:rsidRDefault="0025583F" w:rsidP="006D2272">
            <w:pPr>
              <w:rPr>
                <w:sz w:val="18"/>
                <w:lang w:eastAsia="zh-CN"/>
              </w:rPr>
            </w:pPr>
            <w:r w:rsidRPr="00782BD2">
              <w:rPr>
                <w:sz w:val="18"/>
                <w:lang w:eastAsia="zh-CN"/>
              </w:rPr>
              <w:t>For carrier leakage, only one uplink carrier is activated, the applicable LO leakage in clause 6.4.2 will be applied per the activated carrier.</w:t>
            </w:r>
          </w:p>
        </w:tc>
      </w:tr>
      <w:tr w:rsidR="0025583F" w:rsidRPr="00782BD2" w14:paraId="32A31E69" w14:textId="77777777" w:rsidTr="006D2272">
        <w:trPr>
          <w:trHeight w:val="399"/>
          <w:jc w:val="center"/>
        </w:trPr>
        <w:tc>
          <w:tcPr>
            <w:tcW w:w="3861" w:type="dxa"/>
          </w:tcPr>
          <w:p w14:paraId="516F4FBF" w14:textId="77777777" w:rsidR="0025583F" w:rsidRPr="00782BD2" w:rsidRDefault="0025583F" w:rsidP="006D2272">
            <w:pPr>
              <w:rPr>
                <w:color w:val="000000"/>
                <w:sz w:val="18"/>
              </w:rPr>
            </w:pPr>
            <w:r w:rsidRPr="00782BD2">
              <w:rPr>
                <w:color w:val="000000"/>
                <w:sz w:val="18"/>
              </w:rPr>
              <w:t>6.5E.1A Occupied bandwidth</w:t>
            </w:r>
          </w:p>
        </w:tc>
        <w:tc>
          <w:tcPr>
            <w:tcW w:w="4404" w:type="dxa"/>
          </w:tcPr>
          <w:p w14:paraId="36533EF5" w14:textId="77777777" w:rsidR="0025583F" w:rsidRPr="00782BD2" w:rsidRDefault="0025583F" w:rsidP="006D2272">
            <w:pPr>
              <w:rPr>
                <w:sz w:val="18"/>
                <w:lang w:eastAsia="zh-CN"/>
              </w:rPr>
            </w:pPr>
            <w:r w:rsidRPr="00782BD2">
              <w:rPr>
                <w:sz w:val="18"/>
                <w:lang w:eastAsia="zh-CN"/>
              </w:rPr>
              <w:t xml:space="preserve">The </w:t>
            </w:r>
            <w:r w:rsidRPr="00782BD2">
              <w:rPr>
                <w:rFonts w:cs="v4.2.0"/>
                <w:sz w:val="18"/>
              </w:rPr>
              <w:t>occupied bandwidth is a measure of the bandwidth containing 99 % of the total integrated power of the aggregated CBW. The occupied bandwidth shall be less than</w:t>
            </w:r>
            <w:r w:rsidRPr="00782BD2">
              <w:rPr>
                <w:rFonts w:cs="v5.0.0"/>
                <w:sz w:val="18"/>
              </w:rPr>
              <w:t xml:space="preserve"> the aggregated channel bandwidth.</w:t>
            </w:r>
          </w:p>
        </w:tc>
      </w:tr>
      <w:tr w:rsidR="0025583F" w:rsidRPr="00782BD2" w14:paraId="7E59124B" w14:textId="77777777" w:rsidTr="006D2272">
        <w:trPr>
          <w:trHeight w:val="399"/>
          <w:jc w:val="center"/>
        </w:trPr>
        <w:tc>
          <w:tcPr>
            <w:tcW w:w="3861" w:type="dxa"/>
          </w:tcPr>
          <w:p w14:paraId="36D28114" w14:textId="77777777" w:rsidR="0025583F" w:rsidRPr="00782BD2" w:rsidRDefault="0025583F" w:rsidP="006D2272">
            <w:pPr>
              <w:rPr>
                <w:color w:val="000000"/>
                <w:sz w:val="18"/>
              </w:rPr>
            </w:pPr>
            <w:r w:rsidRPr="00782BD2">
              <w:rPr>
                <w:color w:val="000000"/>
                <w:sz w:val="18"/>
              </w:rPr>
              <w:t>6.5E.2A.2 out-of-band emission: General SEM</w:t>
            </w:r>
          </w:p>
        </w:tc>
        <w:tc>
          <w:tcPr>
            <w:tcW w:w="4404" w:type="dxa"/>
          </w:tcPr>
          <w:p w14:paraId="44AEBB6D" w14:textId="77777777" w:rsidR="0025583F" w:rsidRPr="00782BD2" w:rsidRDefault="0025583F" w:rsidP="006D2272">
            <w:pPr>
              <w:rPr>
                <w:sz w:val="18"/>
                <w:lang w:eastAsia="zh-CN"/>
              </w:rPr>
            </w:pPr>
            <w:r w:rsidRPr="00782BD2">
              <w:rPr>
                <w:sz w:val="18"/>
                <w:lang w:eastAsia="zh-CN"/>
              </w:rPr>
              <w:t xml:space="preserve">The </w:t>
            </w:r>
            <w:r w:rsidRPr="00782BD2">
              <w:rPr>
                <w:rFonts w:hint="eastAsia"/>
                <w:sz w:val="18"/>
                <w:lang w:eastAsia="zh-CN"/>
              </w:rPr>
              <w:t xml:space="preserve">general </w:t>
            </w:r>
            <w:r w:rsidRPr="00782BD2">
              <w:rPr>
                <w:sz w:val="18"/>
                <w:lang w:eastAsia="zh-CN"/>
              </w:rPr>
              <w:t xml:space="preserve">NR </w:t>
            </w:r>
            <w:r w:rsidRPr="00782BD2">
              <w:rPr>
                <w:rFonts w:hint="eastAsia"/>
                <w:sz w:val="18"/>
                <w:lang w:eastAsia="zh-CN"/>
              </w:rPr>
              <w:t xml:space="preserve">CA </w:t>
            </w:r>
            <w:r w:rsidRPr="00782BD2">
              <w:rPr>
                <w:sz w:val="18"/>
              </w:rPr>
              <w:t xml:space="preserve">spectrum emission mask </w:t>
            </w:r>
            <w:r w:rsidRPr="00782BD2">
              <w:rPr>
                <w:rFonts w:hint="eastAsia"/>
                <w:sz w:val="18"/>
                <w:lang w:eastAsia="zh-CN"/>
              </w:rPr>
              <w:t>for CA Bandwidth Class B specified in subclause 6.6.2.1A shall appl</w:t>
            </w:r>
            <w:r w:rsidRPr="00782BD2">
              <w:rPr>
                <w:sz w:val="18"/>
                <w:lang w:eastAsia="zh-CN"/>
              </w:rPr>
              <w:t>ied to SL aggregated CBW.</w:t>
            </w:r>
          </w:p>
        </w:tc>
      </w:tr>
      <w:tr w:rsidR="0025583F" w:rsidRPr="00782BD2" w14:paraId="768CEE81" w14:textId="77777777" w:rsidTr="006D2272">
        <w:trPr>
          <w:trHeight w:val="399"/>
          <w:jc w:val="center"/>
        </w:trPr>
        <w:tc>
          <w:tcPr>
            <w:tcW w:w="3861" w:type="dxa"/>
          </w:tcPr>
          <w:p w14:paraId="3A1FD550" w14:textId="77777777" w:rsidR="0025583F" w:rsidRPr="00782BD2" w:rsidRDefault="0025583F" w:rsidP="006D2272">
            <w:pPr>
              <w:rPr>
                <w:color w:val="000000"/>
                <w:sz w:val="18"/>
              </w:rPr>
            </w:pPr>
            <w:r w:rsidRPr="00782BD2">
              <w:rPr>
                <w:color w:val="000000"/>
                <w:sz w:val="18"/>
              </w:rPr>
              <w:t>6.5E.2A.3 out-of-band emission: A-SEM</w:t>
            </w:r>
          </w:p>
        </w:tc>
        <w:tc>
          <w:tcPr>
            <w:tcW w:w="4404" w:type="dxa"/>
          </w:tcPr>
          <w:p w14:paraId="72472085" w14:textId="77777777" w:rsidR="0025583F" w:rsidRPr="00782BD2" w:rsidRDefault="0025583F" w:rsidP="006D2272">
            <w:pPr>
              <w:rPr>
                <w:sz w:val="18"/>
                <w:lang w:eastAsia="zh-CN"/>
              </w:rPr>
            </w:pPr>
            <w:r w:rsidRPr="00782BD2">
              <w:rPr>
                <w:sz w:val="18"/>
                <w:lang w:eastAsia="zh-CN"/>
              </w:rPr>
              <w:t xml:space="preserve">Do not need consider the A-SEM in Europe since the A-SEM in </w:t>
            </w:r>
            <w:r w:rsidRPr="00782BD2">
              <w:rPr>
                <w:sz w:val="18"/>
              </w:rPr>
              <w:t>Table 6.5E.2.3.1-1 is only applied for the 10MHz CBW in Europe.</w:t>
            </w:r>
          </w:p>
          <w:p w14:paraId="2DB792F1" w14:textId="77777777" w:rsidR="0025583F" w:rsidRPr="00782BD2" w:rsidRDefault="0025583F" w:rsidP="006D2272">
            <w:pPr>
              <w:rPr>
                <w:sz w:val="18"/>
                <w:lang w:eastAsia="zh-CN"/>
              </w:rPr>
            </w:pPr>
            <w:r w:rsidRPr="00782BD2">
              <w:rPr>
                <w:sz w:val="18"/>
                <w:lang w:eastAsia="zh-CN"/>
              </w:rPr>
              <w:t>For US, RAN4 can reuse NS_52, the detail can be further discussed with the final A-SEM or A-SE requirements from FCC.</w:t>
            </w:r>
          </w:p>
        </w:tc>
      </w:tr>
      <w:tr w:rsidR="0025583F" w:rsidRPr="00782BD2" w14:paraId="66572F32" w14:textId="77777777" w:rsidTr="006D2272">
        <w:trPr>
          <w:trHeight w:val="399"/>
          <w:jc w:val="center"/>
        </w:trPr>
        <w:tc>
          <w:tcPr>
            <w:tcW w:w="3861" w:type="dxa"/>
          </w:tcPr>
          <w:p w14:paraId="17A6CB98" w14:textId="77777777" w:rsidR="0025583F" w:rsidRPr="00782BD2" w:rsidRDefault="0025583F" w:rsidP="006D2272">
            <w:pPr>
              <w:rPr>
                <w:color w:val="000000"/>
                <w:sz w:val="18"/>
              </w:rPr>
            </w:pPr>
            <w:r w:rsidRPr="00782BD2">
              <w:rPr>
                <w:color w:val="000000"/>
                <w:sz w:val="18"/>
              </w:rPr>
              <w:t xml:space="preserve">6.5E.2A.4 ACLR </w:t>
            </w:r>
          </w:p>
        </w:tc>
        <w:tc>
          <w:tcPr>
            <w:tcW w:w="4404" w:type="dxa"/>
          </w:tcPr>
          <w:p w14:paraId="74DD3C17" w14:textId="77777777" w:rsidR="0025583F" w:rsidRPr="00782BD2" w:rsidRDefault="0025583F" w:rsidP="006D2272">
            <w:pPr>
              <w:rPr>
                <w:sz w:val="18"/>
                <w:lang w:eastAsia="zh-CN"/>
              </w:rPr>
            </w:pPr>
            <w:r w:rsidRPr="00782BD2">
              <w:rPr>
                <w:sz w:val="18"/>
                <w:lang w:eastAsia="zh-CN"/>
              </w:rPr>
              <w:t xml:space="preserve">The </w:t>
            </w:r>
            <w:r w:rsidRPr="00782BD2">
              <w:rPr>
                <w:rFonts w:hint="eastAsia"/>
                <w:sz w:val="18"/>
                <w:lang w:eastAsia="zh-CN"/>
              </w:rPr>
              <w:t xml:space="preserve">general </w:t>
            </w:r>
            <w:r w:rsidRPr="00782BD2">
              <w:rPr>
                <w:sz w:val="18"/>
                <w:lang w:eastAsia="zh-CN"/>
              </w:rPr>
              <w:t xml:space="preserve">NR </w:t>
            </w:r>
            <w:r w:rsidRPr="00782BD2">
              <w:rPr>
                <w:rFonts w:hint="eastAsia"/>
                <w:sz w:val="18"/>
                <w:lang w:eastAsia="zh-CN"/>
              </w:rPr>
              <w:t xml:space="preserve">CA </w:t>
            </w:r>
            <w:r w:rsidRPr="00782BD2">
              <w:rPr>
                <w:sz w:val="18"/>
              </w:rPr>
              <w:t xml:space="preserve">ACLR requirements </w:t>
            </w:r>
            <w:r w:rsidRPr="00782BD2">
              <w:rPr>
                <w:rFonts w:hint="eastAsia"/>
                <w:sz w:val="18"/>
                <w:lang w:eastAsia="zh-CN"/>
              </w:rPr>
              <w:t>for CA Bandwidth Class B specified in subclause 6.</w:t>
            </w:r>
            <w:r w:rsidRPr="00782BD2">
              <w:rPr>
                <w:sz w:val="18"/>
                <w:lang w:eastAsia="zh-CN"/>
              </w:rPr>
              <w:t>5A.2.4.1</w:t>
            </w:r>
            <w:r w:rsidRPr="00782BD2">
              <w:rPr>
                <w:rFonts w:hint="eastAsia"/>
                <w:sz w:val="18"/>
                <w:lang w:eastAsia="zh-CN"/>
              </w:rPr>
              <w:t>.1</w:t>
            </w:r>
            <w:r w:rsidRPr="00782BD2">
              <w:rPr>
                <w:sz w:val="18"/>
                <w:lang w:eastAsia="zh-CN"/>
              </w:rPr>
              <w:t>-1</w:t>
            </w:r>
            <w:r w:rsidRPr="00782BD2">
              <w:rPr>
                <w:rFonts w:hint="eastAsia"/>
                <w:sz w:val="18"/>
                <w:lang w:eastAsia="zh-CN"/>
              </w:rPr>
              <w:t xml:space="preserve"> shall appl</w:t>
            </w:r>
            <w:r w:rsidRPr="00782BD2">
              <w:rPr>
                <w:sz w:val="18"/>
                <w:lang w:eastAsia="zh-CN"/>
              </w:rPr>
              <w:t>ied to SL aggregated CBW.</w:t>
            </w:r>
          </w:p>
        </w:tc>
      </w:tr>
      <w:tr w:rsidR="0025583F" w:rsidRPr="00782BD2" w14:paraId="7B0EC69B" w14:textId="77777777" w:rsidTr="006D2272">
        <w:trPr>
          <w:trHeight w:val="399"/>
          <w:jc w:val="center"/>
        </w:trPr>
        <w:tc>
          <w:tcPr>
            <w:tcW w:w="3861" w:type="dxa"/>
          </w:tcPr>
          <w:p w14:paraId="39BA8049" w14:textId="77777777" w:rsidR="0025583F" w:rsidRPr="00782BD2" w:rsidRDefault="0025583F" w:rsidP="006D2272">
            <w:pPr>
              <w:rPr>
                <w:color w:val="000000"/>
                <w:sz w:val="18"/>
              </w:rPr>
            </w:pPr>
            <w:r w:rsidRPr="00782BD2">
              <w:rPr>
                <w:color w:val="000000"/>
                <w:sz w:val="18"/>
              </w:rPr>
              <w:t>6.5E.3A.1 General SE</w:t>
            </w:r>
          </w:p>
        </w:tc>
        <w:tc>
          <w:tcPr>
            <w:tcW w:w="4404" w:type="dxa"/>
          </w:tcPr>
          <w:p w14:paraId="42D8324F" w14:textId="77777777" w:rsidR="0025583F" w:rsidRPr="00782BD2" w:rsidRDefault="0025583F" w:rsidP="006D2272">
            <w:pPr>
              <w:rPr>
                <w:sz w:val="18"/>
                <w:lang w:eastAsia="zh-CN"/>
              </w:rPr>
            </w:pPr>
            <w:r w:rsidRPr="00782BD2">
              <w:rPr>
                <w:sz w:val="18"/>
                <w:lang w:eastAsia="zh-CN"/>
              </w:rPr>
              <w:t xml:space="preserve">The </w:t>
            </w:r>
            <w:r w:rsidRPr="00782BD2">
              <w:rPr>
                <w:rFonts w:hint="eastAsia"/>
                <w:sz w:val="18"/>
                <w:lang w:eastAsia="zh-CN"/>
              </w:rPr>
              <w:t xml:space="preserve">general </w:t>
            </w:r>
            <w:r w:rsidRPr="00782BD2">
              <w:rPr>
                <w:sz w:val="18"/>
                <w:lang w:eastAsia="zh-CN"/>
              </w:rPr>
              <w:t xml:space="preserve">NR </w:t>
            </w:r>
            <w:r w:rsidRPr="00782BD2">
              <w:rPr>
                <w:rFonts w:hint="eastAsia"/>
                <w:sz w:val="18"/>
                <w:lang w:eastAsia="zh-CN"/>
              </w:rPr>
              <w:t xml:space="preserve">CA </w:t>
            </w:r>
            <w:r w:rsidRPr="00782BD2">
              <w:rPr>
                <w:sz w:val="18"/>
              </w:rPr>
              <w:t xml:space="preserve">general SE </w:t>
            </w:r>
            <w:r w:rsidRPr="00782BD2">
              <w:rPr>
                <w:rFonts w:hint="eastAsia"/>
                <w:sz w:val="18"/>
                <w:lang w:eastAsia="zh-CN"/>
              </w:rPr>
              <w:t>for CA Bandwidth specified in subclause 6.</w:t>
            </w:r>
            <w:r w:rsidRPr="00782BD2">
              <w:rPr>
                <w:sz w:val="18"/>
                <w:lang w:eastAsia="zh-CN"/>
              </w:rPr>
              <w:t>5A.3.1-1</w:t>
            </w:r>
            <w:r w:rsidRPr="00782BD2">
              <w:rPr>
                <w:rFonts w:hint="eastAsia"/>
                <w:sz w:val="18"/>
                <w:lang w:eastAsia="zh-CN"/>
              </w:rPr>
              <w:t xml:space="preserve"> shall appl</w:t>
            </w:r>
            <w:r w:rsidRPr="00782BD2">
              <w:rPr>
                <w:sz w:val="18"/>
                <w:lang w:eastAsia="zh-CN"/>
              </w:rPr>
              <w:t>ied to SL aggregated CBW.</w:t>
            </w:r>
          </w:p>
        </w:tc>
      </w:tr>
      <w:tr w:rsidR="0025583F" w:rsidRPr="00782BD2" w14:paraId="02A5FA5D" w14:textId="77777777" w:rsidTr="006D2272">
        <w:trPr>
          <w:trHeight w:val="399"/>
          <w:jc w:val="center"/>
        </w:trPr>
        <w:tc>
          <w:tcPr>
            <w:tcW w:w="3861" w:type="dxa"/>
          </w:tcPr>
          <w:p w14:paraId="00E61436" w14:textId="77777777" w:rsidR="0025583F" w:rsidRPr="00782BD2" w:rsidRDefault="0025583F" w:rsidP="006D2272">
            <w:pPr>
              <w:rPr>
                <w:color w:val="000000"/>
                <w:sz w:val="18"/>
              </w:rPr>
            </w:pPr>
            <w:r w:rsidRPr="00782BD2">
              <w:rPr>
                <w:color w:val="000000"/>
                <w:sz w:val="18"/>
              </w:rPr>
              <w:t>6.5E.3A.2 UE coexistence</w:t>
            </w:r>
          </w:p>
        </w:tc>
        <w:tc>
          <w:tcPr>
            <w:tcW w:w="4404" w:type="dxa"/>
          </w:tcPr>
          <w:p w14:paraId="15A1FE50" w14:textId="77777777" w:rsidR="0025583F" w:rsidRPr="00782BD2" w:rsidRDefault="0025583F" w:rsidP="006D2272">
            <w:pPr>
              <w:rPr>
                <w:sz w:val="18"/>
                <w:lang w:eastAsia="zh-CN"/>
              </w:rPr>
            </w:pPr>
            <w:r w:rsidRPr="00782BD2">
              <w:rPr>
                <w:sz w:val="18"/>
                <w:lang w:eastAsia="zh-CN"/>
              </w:rPr>
              <w:t xml:space="preserve">The n47 protected operating bands will be used in </w:t>
            </w:r>
            <w:r w:rsidRPr="00782BD2">
              <w:rPr>
                <w:sz w:val="18"/>
              </w:rPr>
              <w:t>Table 6.5.3.2-1</w:t>
            </w:r>
            <w:r w:rsidRPr="00782BD2">
              <w:rPr>
                <w:sz w:val="18"/>
                <w:lang w:eastAsia="zh-CN"/>
              </w:rPr>
              <w:t xml:space="preserve"> for UE coexistence for SL CA.</w:t>
            </w:r>
          </w:p>
        </w:tc>
      </w:tr>
      <w:tr w:rsidR="0025583F" w:rsidRPr="00782BD2" w14:paraId="7F316BDA" w14:textId="77777777" w:rsidTr="006D2272">
        <w:trPr>
          <w:trHeight w:val="399"/>
          <w:jc w:val="center"/>
        </w:trPr>
        <w:tc>
          <w:tcPr>
            <w:tcW w:w="3861" w:type="dxa"/>
          </w:tcPr>
          <w:p w14:paraId="348282B6" w14:textId="77777777" w:rsidR="0025583F" w:rsidRPr="00782BD2" w:rsidRDefault="0025583F" w:rsidP="006D2272">
            <w:pPr>
              <w:rPr>
                <w:color w:val="000000"/>
                <w:sz w:val="18"/>
              </w:rPr>
            </w:pPr>
            <w:r w:rsidRPr="00782BD2">
              <w:rPr>
                <w:color w:val="000000"/>
                <w:sz w:val="18"/>
              </w:rPr>
              <w:t>6.5E.3A.3 A-SE</w:t>
            </w:r>
          </w:p>
        </w:tc>
        <w:tc>
          <w:tcPr>
            <w:tcW w:w="4404" w:type="dxa"/>
          </w:tcPr>
          <w:p w14:paraId="0DDD55CE" w14:textId="77777777" w:rsidR="0025583F" w:rsidRPr="00782BD2" w:rsidRDefault="0025583F" w:rsidP="006D2272">
            <w:pPr>
              <w:rPr>
                <w:sz w:val="18"/>
                <w:lang w:eastAsia="zh-CN"/>
              </w:rPr>
            </w:pPr>
            <w:r w:rsidRPr="00782BD2">
              <w:rPr>
                <w:sz w:val="18"/>
                <w:lang w:eastAsia="zh-CN"/>
              </w:rPr>
              <w:t>The A-SE in Table 6.5E.3.4.2-1 and CEN DSRC protection requirements in Table 6.5E.3.4.2-2 will be reconsidered for NR CA UE.</w:t>
            </w:r>
          </w:p>
        </w:tc>
      </w:tr>
      <w:tr w:rsidR="0025583F" w:rsidRPr="00782BD2" w14:paraId="37061FCB" w14:textId="77777777" w:rsidTr="006D2272">
        <w:trPr>
          <w:trHeight w:val="399"/>
          <w:jc w:val="center"/>
        </w:trPr>
        <w:tc>
          <w:tcPr>
            <w:tcW w:w="3861" w:type="dxa"/>
          </w:tcPr>
          <w:p w14:paraId="2603929B" w14:textId="77777777" w:rsidR="0025583F" w:rsidRPr="00782BD2" w:rsidRDefault="0025583F" w:rsidP="006D2272">
            <w:pPr>
              <w:rPr>
                <w:color w:val="000000"/>
                <w:sz w:val="18"/>
              </w:rPr>
            </w:pPr>
            <w:r w:rsidRPr="00782BD2">
              <w:rPr>
                <w:color w:val="000000"/>
                <w:sz w:val="18"/>
              </w:rPr>
              <w:t xml:space="preserve">6.5E.4A Transmit intermodulation </w:t>
            </w:r>
          </w:p>
        </w:tc>
        <w:tc>
          <w:tcPr>
            <w:tcW w:w="4404" w:type="dxa"/>
          </w:tcPr>
          <w:p w14:paraId="721BFEAD" w14:textId="77777777" w:rsidR="0025583F" w:rsidRPr="00782BD2" w:rsidRDefault="0025583F" w:rsidP="006D2272">
            <w:pPr>
              <w:rPr>
                <w:sz w:val="18"/>
                <w:lang w:eastAsia="zh-CN"/>
              </w:rPr>
            </w:pPr>
            <w:r w:rsidRPr="00782BD2">
              <w:rPr>
                <w:sz w:val="18"/>
                <w:lang w:eastAsia="zh-CN"/>
              </w:rPr>
              <w:t xml:space="preserve">The </w:t>
            </w:r>
            <w:r w:rsidRPr="00782BD2">
              <w:rPr>
                <w:rFonts w:hint="eastAsia"/>
                <w:sz w:val="18"/>
                <w:lang w:eastAsia="zh-CN"/>
              </w:rPr>
              <w:t xml:space="preserve">general </w:t>
            </w:r>
            <w:r w:rsidRPr="00782BD2">
              <w:rPr>
                <w:sz w:val="18"/>
                <w:lang w:eastAsia="zh-CN"/>
              </w:rPr>
              <w:t xml:space="preserve">NR </w:t>
            </w:r>
            <w:r w:rsidRPr="00782BD2">
              <w:rPr>
                <w:rFonts w:hint="eastAsia"/>
                <w:sz w:val="18"/>
                <w:lang w:eastAsia="zh-CN"/>
              </w:rPr>
              <w:t xml:space="preserve">CA </w:t>
            </w:r>
            <w:r w:rsidRPr="00782BD2">
              <w:rPr>
                <w:sz w:val="18"/>
              </w:rPr>
              <w:t xml:space="preserve">TIM requirements </w:t>
            </w:r>
            <w:r w:rsidRPr="00782BD2">
              <w:rPr>
                <w:rFonts w:hint="eastAsia"/>
                <w:sz w:val="18"/>
                <w:lang w:eastAsia="zh-CN"/>
              </w:rPr>
              <w:t>for CA Bandwidth Class B specified in subclause 6.</w:t>
            </w:r>
            <w:r w:rsidRPr="00782BD2">
              <w:rPr>
                <w:sz w:val="18"/>
                <w:lang w:eastAsia="zh-CN"/>
              </w:rPr>
              <w:t>5A.4.2</w:t>
            </w:r>
            <w:r w:rsidRPr="00782BD2">
              <w:rPr>
                <w:rFonts w:hint="eastAsia"/>
                <w:sz w:val="18"/>
                <w:lang w:eastAsia="zh-CN"/>
              </w:rPr>
              <w:t>.1</w:t>
            </w:r>
            <w:r w:rsidRPr="00782BD2">
              <w:rPr>
                <w:sz w:val="18"/>
                <w:lang w:eastAsia="zh-CN"/>
              </w:rPr>
              <w:t>-1</w:t>
            </w:r>
            <w:r w:rsidRPr="00782BD2">
              <w:rPr>
                <w:rFonts w:hint="eastAsia"/>
                <w:sz w:val="18"/>
                <w:lang w:eastAsia="zh-CN"/>
              </w:rPr>
              <w:t xml:space="preserve"> shall </w:t>
            </w:r>
            <w:r w:rsidRPr="00782BD2">
              <w:rPr>
                <w:sz w:val="18"/>
                <w:lang w:eastAsia="zh-CN"/>
              </w:rPr>
              <w:t xml:space="preserve">be </w:t>
            </w:r>
            <w:r w:rsidRPr="00782BD2">
              <w:rPr>
                <w:rFonts w:hint="eastAsia"/>
                <w:sz w:val="18"/>
                <w:lang w:eastAsia="zh-CN"/>
              </w:rPr>
              <w:t>appl</w:t>
            </w:r>
            <w:r w:rsidRPr="00782BD2">
              <w:rPr>
                <w:sz w:val="18"/>
                <w:lang w:eastAsia="zh-CN"/>
              </w:rPr>
              <w:t>ied to SL aggregated CBW.</w:t>
            </w:r>
          </w:p>
        </w:tc>
      </w:tr>
    </w:tbl>
    <w:p w14:paraId="00FE8CC9" w14:textId="77777777" w:rsidR="0025583F" w:rsidRPr="00BE6FB4" w:rsidRDefault="0025583F" w:rsidP="0025583F">
      <w:pPr>
        <w:spacing w:after="120"/>
        <w:rPr>
          <w:color w:val="0070C0"/>
          <w:szCs w:val="24"/>
          <w:lang w:eastAsia="zh-CN"/>
        </w:rPr>
      </w:pPr>
    </w:p>
    <w:p w14:paraId="406BACEC" w14:textId="18A7DEB3" w:rsidR="0025583F" w:rsidRPr="00045592" w:rsidRDefault="0025583F" w:rsidP="0025583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Others</w:t>
      </w:r>
    </w:p>
    <w:p w14:paraId="7DD5B286" w14:textId="77777777" w:rsidR="0025583F" w:rsidRDefault="0025583F" w:rsidP="0025583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2EAD5A" w14:textId="77777777" w:rsidR="0025583F" w:rsidRPr="00F10A15" w:rsidRDefault="0025583F" w:rsidP="0025583F">
      <w:pPr>
        <w:pStyle w:val="afe"/>
        <w:numPr>
          <w:ilvl w:val="1"/>
          <w:numId w:val="4"/>
        </w:numPr>
        <w:overflowPunct/>
        <w:autoSpaceDE/>
        <w:autoSpaceDN/>
        <w:adjustRightInd/>
        <w:spacing w:after="120"/>
        <w:ind w:left="1418" w:firstLineChars="0"/>
        <w:textAlignment w:val="auto"/>
        <w:rPr>
          <w:rFonts w:eastAsia="宋体"/>
          <w:color w:val="0070C0"/>
          <w:szCs w:val="24"/>
          <w:lang w:eastAsia="zh-CN"/>
        </w:rPr>
      </w:pPr>
      <w:r>
        <w:rPr>
          <w:rFonts w:eastAsia="宋体"/>
          <w:color w:val="0070C0"/>
          <w:szCs w:val="24"/>
          <w:lang w:eastAsia="zh-CN"/>
        </w:rPr>
        <w:lastRenderedPageBreak/>
        <w:t>TBA</w:t>
      </w:r>
    </w:p>
    <w:p w14:paraId="1DCE7DFA" w14:textId="77777777" w:rsidR="0025583F" w:rsidRDefault="0025583F" w:rsidP="00EF70A2">
      <w:pPr>
        <w:rPr>
          <w:rFonts w:eastAsia="Malgun Gothic"/>
          <w:b/>
          <w:color w:val="0070C0"/>
          <w:u w:val="single"/>
          <w:lang w:eastAsia="ko-KR"/>
        </w:rPr>
      </w:pPr>
    </w:p>
    <w:p w14:paraId="146F039E" w14:textId="77777777" w:rsidR="0025583F" w:rsidRPr="0025583F" w:rsidRDefault="0025583F" w:rsidP="00EF70A2">
      <w:pPr>
        <w:rPr>
          <w:rFonts w:eastAsia="Malgun Gothic"/>
          <w:b/>
          <w:color w:val="0070C0"/>
          <w:u w:val="single"/>
          <w:lang w:eastAsia="ko-KR"/>
        </w:rPr>
      </w:pPr>
    </w:p>
    <w:p w14:paraId="6236F760" w14:textId="7F521303" w:rsidR="00EF70A2" w:rsidRPr="0025583F" w:rsidRDefault="00EF70A2"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2-2</w:t>
      </w:r>
      <w:r w:rsidR="00EE1A83" w:rsidRPr="0025583F">
        <w:rPr>
          <w:rFonts w:ascii="Times New Roman" w:hAnsi="Times New Roman"/>
          <w:b/>
          <w:color w:val="0070C0"/>
          <w:sz w:val="20"/>
          <w:u w:val="single"/>
          <w:lang w:eastAsia="ko-KR"/>
        </w:rPr>
        <w:t>-</w:t>
      </w:r>
      <w:r w:rsidR="0025583F">
        <w:rPr>
          <w:rFonts w:ascii="Times New Roman" w:hAnsi="Times New Roman"/>
          <w:b/>
          <w:color w:val="0070C0"/>
          <w:sz w:val="20"/>
          <w:u w:val="single"/>
          <w:lang w:eastAsia="ko-KR"/>
        </w:rPr>
        <w:t>3</w:t>
      </w:r>
      <w:r w:rsidRPr="0025583F">
        <w:rPr>
          <w:rFonts w:ascii="Times New Roman" w:hAnsi="Times New Roman"/>
          <w:b/>
          <w:color w:val="0070C0"/>
          <w:sz w:val="20"/>
          <w:u w:val="single"/>
          <w:lang w:eastAsia="ko-KR"/>
        </w:rPr>
        <w:t>: UE maximum output power for SL CA</w:t>
      </w:r>
    </w:p>
    <w:p w14:paraId="71BD141C" w14:textId="77777777" w:rsidR="00EF70A2" w:rsidRPr="00805BE8" w:rsidRDefault="00EF70A2" w:rsidP="00EF70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7DB805" w14:textId="030B0892" w:rsidR="00F10A15" w:rsidRDefault="00EF70A2" w:rsidP="00EF70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10A15">
        <w:rPr>
          <w:rFonts w:eastAsia="宋体"/>
          <w:color w:val="0070C0"/>
          <w:szCs w:val="24"/>
          <w:lang w:eastAsia="zh-CN"/>
        </w:rPr>
        <w:t>Huawei, OPPO</w:t>
      </w:r>
    </w:p>
    <w:p w14:paraId="7DB96822" w14:textId="17097422" w:rsidR="00EF70A2" w:rsidRDefault="00EF70A2"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Only support PC3 in Rel-18</w:t>
      </w:r>
    </w:p>
    <w:p w14:paraId="341C1B46" w14:textId="546B6937" w:rsidR="00F10A15" w:rsidRDefault="00EF70A2" w:rsidP="00F10A1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F10A15">
        <w:rPr>
          <w:rFonts w:eastAsia="宋体"/>
          <w:color w:val="0070C0"/>
          <w:szCs w:val="24"/>
          <w:lang w:eastAsia="zh-CN"/>
        </w:rPr>
        <w:t xml:space="preserve">Option 2: </w:t>
      </w:r>
      <w:r w:rsidR="00F10A15">
        <w:rPr>
          <w:rFonts w:eastAsia="宋体"/>
          <w:color w:val="0070C0"/>
          <w:szCs w:val="24"/>
          <w:lang w:eastAsia="zh-CN"/>
        </w:rPr>
        <w:t>LGE, vivo</w:t>
      </w:r>
    </w:p>
    <w:p w14:paraId="4CDCEB31" w14:textId="354F0AC5" w:rsidR="00EF70A2" w:rsidRPr="00F10A15" w:rsidRDefault="00EF70A2"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10A15">
        <w:rPr>
          <w:rFonts w:eastAsia="宋体"/>
          <w:color w:val="0070C0"/>
          <w:szCs w:val="24"/>
          <w:lang w:eastAsia="zh-CN"/>
        </w:rPr>
        <w:t>support PC2 in Rel-18</w:t>
      </w:r>
    </w:p>
    <w:p w14:paraId="6D9E695A" w14:textId="7BE003E3" w:rsidR="00F10A15" w:rsidRDefault="00EF70A2" w:rsidP="00EF70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10A15">
        <w:rPr>
          <w:rFonts w:eastAsia="宋体"/>
          <w:color w:val="0070C0"/>
          <w:szCs w:val="24"/>
          <w:lang w:eastAsia="zh-CN"/>
        </w:rPr>
        <w:t>Meta</w:t>
      </w:r>
    </w:p>
    <w:p w14:paraId="6591750E" w14:textId="58A75D58" w:rsidR="00EF70A2" w:rsidRPr="00F10A15" w:rsidRDefault="00EF70A2"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10A15">
        <w:rPr>
          <w:rFonts w:eastAsia="宋体"/>
          <w:color w:val="0070C0"/>
          <w:szCs w:val="24"/>
          <w:lang w:eastAsia="zh-CN"/>
        </w:rPr>
        <w:t>support PC2 as 2</w:t>
      </w:r>
      <w:r w:rsidRPr="00F10A15">
        <w:rPr>
          <w:rFonts w:eastAsia="宋体"/>
          <w:color w:val="0070C0"/>
          <w:szCs w:val="24"/>
          <w:vertAlign w:val="superscript"/>
          <w:lang w:eastAsia="zh-CN"/>
        </w:rPr>
        <w:t>nd</w:t>
      </w:r>
      <w:r w:rsidRPr="00F10A15">
        <w:rPr>
          <w:rFonts w:eastAsia="宋体"/>
          <w:color w:val="0070C0"/>
          <w:szCs w:val="24"/>
          <w:lang w:eastAsia="zh-CN"/>
        </w:rPr>
        <w:t xml:space="preserve"> priority in Rel-18</w:t>
      </w:r>
    </w:p>
    <w:p w14:paraId="18448B3B" w14:textId="77777777" w:rsidR="00EF70A2" w:rsidRDefault="00EF70A2" w:rsidP="00EF70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E07ED4" w14:textId="77777777" w:rsidR="00C04447" w:rsidRDefault="00C04447" w:rsidP="00C0444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2BA5110" w14:textId="77777777" w:rsidR="000A369F" w:rsidRDefault="000A369F" w:rsidP="009975E2">
      <w:pPr>
        <w:rPr>
          <w:b/>
          <w:color w:val="0070C0"/>
          <w:u w:val="single"/>
          <w:lang w:eastAsia="ko-KR"/>
        </w:rPr>
      </w:pPr>
    </w:p>
    <w:p w14:paraId="00490525" w14:textId="2B033B4E" w:rsidR="009975E2" w:rsidRPr="0025583F" w:rsidRDefault="009975E2"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w:t>
      </w:r>
      <w:r w:rsidR="00EE1A83" w:rsidRPr="0025583F">
        <w:rPr>
          <w:rFonts w:ascii="Times New Roman" w:hAnsi="Times New Roman"/>
          <w:b/>
          <w:color w:val="0070C0"/>
          <w:sz w:val="20"/>
          <w:u w:val="single"/>
          <w:lang w:eastAsia="ko-KR"/>
        </w:rPr>
        <w:t>2-</w:t>
      </w:r>
      <w:r w:rsidR="0025583F">
        <w:rPr>
          <w:rFonts w:ascii="Times New Roman" w:hAnsi="Times New Roman"/>
          <w:b/>
          <w:color w:val="0070C0"/>
          <w:sz w:val="20"/>
          <w:u w:val="single"/>
          <w:lang w:eastAsia="ko-KR"/>
        </w:rPr>
        <w:t>4</w:t>
      </w:r>
      <w:r w:rsidRPr="0025583F">
        <w:rPr>
          <w:rFonts w:ascii="Times New Roman" w:hAnsi="Times New Roman"/>
          <w:b/>
          <w:color w:val="0070C0"/>
          <w:sz w:val="20"/>
          <w:u w:val="single"/>
          <w:lang w:eastAsia="ko-KR"/>
        </w:rPr>
        <w:t>: Transmit ON/OFF time mask for SL con-current operation with CA</w:t>
      </w:r>
    </w:p>
    <w:p w14:paraId="53ED967B" w14:textId="19B61475" w:rsidR="00F10A15" w:rsidRDefault="009975E2" w:rsidP="00F10A15">
      <w:pPr>
        <w:pStyle w:val="afe"/>
        <w:numPr>
          <w:ilvl w:val="0"/>
          <w:numId w:val="4"/>
        </w:numPr>
        <w:overflowPunct/>
        <w:autoSpaceDE/>
        <w:autoSpaceDN/>
        <w:adjustRightInd/>
        <w:spacing w:after="120"/>
        <w:ind w:left="851" w:firstLineChars="0"/>
        <w:textAlignment w:val="auto"/>
        <w:rPr>
          <w:rFonts w:eastAsia="宋体"/>
          <w:color w:val="0070C0"/>
          <w:szCs w:val="24"/>
          <w:lang w:eastAsia="zh-CN"/>
        </w:rPr>
      </w:pPr>
      <w:r w:rsidRPr="00045592">
        <w:rPr>
          <w:rFonts w:eastAsia="宋体"/>
          <w:color w:val="0070C0"/>
          <w:szCs w:val="24"/>
          <w:lang w:eastAsia="zh-CN"/>
        </w:rPr>
        <w:t>Proposals</w:t>
      </w:r>
      <w:r w:rsidRPr="00FF4A5E">
        <w:rPr>
          <w:rFonts w:eastAsia="宋体"/>
          <w:color w:val="0070C0"/>
          <w:szCs w:val="24"/>
          <w:lang w:eastAsia="zh-CN"/>
        </w:rPr>
        <w:t xml:space="preserve"> 1: </w:t>
      </w:r>
      <w:r w:rsidR="00F10A15">
        <w:rPr>
          <w:rFonts w:eastAsia="宋体"/>
          <w:color w:val="0070C0"/>
          <w:szCs w:val="24"/>
          <w:lang w:eastAsia="zh-CN"/>
        </w:rPr>
        <w:t>Huawei</w:t>
      </w:r>
    </w:p>
    <w:p w14:paraId="0C5705CE" w14:textId="5CB2C3E6" w:rsidR="009975E2" w:rsidRDefault="009975E2"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t</w:t>
      </w:r>
      <w:r w:rsidRPr="0061358F">
        <w:rPr>
          <w:rFonts w:eastAsia="宋体"/>
          <w:color w:val="0070C0"/>
          <w:szCs w:val="24"/>
          <w:lang w:eastAsia="zh-CN"/>
        </w:rPr>
        <w:t>he switching between SL CA and LTE-V in Rel-18</w:t>
      </w:r>
      <w:r>
        <w:rPr>
          <w:rFonts w:eastAsia="宋体"/>
          <w:color w:val="0070C0"/>
          <w:szCs w:val="24"/>
          <w:lang w:eastAsia="zh-CN"/>
        </w:rPr>
        <w:t xml:space="preserve"> </w:t>
      </w:r>
    </w:p>
    <w:p w14:paraId="21E90FFE" w14:textId="39C627FC" w:rsidR="00F10A15" w:rsidRDefault="009975E2" w:rsidP="00F10A15">
      <w:pPr>
        <w:pStyle w:val="afe"/>
        <w:numPr>
          <w:ilvl w:val="0"/>
          <w:numId w:val="4"/>
        </w:numPr>
        <w:overflowPunct/>
        <w:autoSpaceDE/>
        <w:autoSpaceDN/>
        <w:adjustRightInd/>
        <w:spacing w:after="120"/>
        <w:ind w:left="851" w:firstLineChars="0"/>
        <w:textAlignment w:val="auto"/>
        <w:rPr>
          <w:rFonts w:eastAsia="宋体"/>
          <w:color w:val="0070C0"/>
          <w:szCs w:val="24"/>
          <w:lang w:eastAsia="zh-CN"/>
        </w:rPr>
      </w:pPr>
      <w:r w:rsidRPr="00045592">
        <w:rPr>
          <w:rFonts w:eastAsia="宋体"/>
          <w:color w:val="0070C0"/>
          <w:szCs w:val="24"/>
          <w:lang w:eastAsia="zh-CN"/>
        </w:rPr>
        <w:t>Proposals</w:t>
      </w:r>
      <w:r w:rsidRPr="00FF4A5E">
        <w:rPr>
          <w:rFonts w:eastAsia="宋体"/>
          <w:color w:val="0070C0"/>
          <w:szCs w:val="24"/>
          <w:lang w:eastAsia="zh-CN"/>
        </w:rPr>
        <w:t xml:space="preserve"> </w:t>
      </w:r>
      <w:r>
        <w:rPr>
          <w:rFonts w:eastAsia="宋体"/>
          <w:color w:val="0070C0"/>
          <w:szCs w:val="24"/>
          <w:lang w:eastAsia="zh-CN"/>
        </w:rPr>
        <w:t>2</w:t>
      </w:r>
      <w:r w:rsidRPr="00FF4A5E">
        <w:rPr>
          <w:rFonts w:eastAsia="宋体"/>
          <w:color w:val="0070C0"/>
          <w:szCs w:val="24"/>
          <w:lang w:eastAsia="zh-CN"/>
        </w:rPr>
        <w:t xml:space="preserve">: </w:t>
      </w:r>
      <w:r w:rsidR="00F10A15">
        <w:rPr>
          <w:rFonts w:eastAsia="宋体"/>
          <w:color w:val="0070C0"/>
          <w:szCs w:val="24"/>
          <w:lang w:eastAsia="zh-CN"/>
        </w:rPr>
        <w:t>Huawei</w:t>
      </w:r>
    </w:p>
    <w:p w14:paraId="1D23C286" w14:textId="051758B2" w:rsidR="009975E2" w:rsidRDefault="009975E2"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1C56FE">
        <w:rPr>
          <w:rFonts w:eastAsia="宋体"/>
          <w:color w:val="0070C0"/>
          <w:szCs w:val="24"/>
          <w:lang w:eastAsia="zh-CN"/>
        </w:rPr>
        <w:t>The optimization for symbol-level switching time similar to that of Tx switching for SL CA and uplink transmission can be considered.</w:t>
      </w:r>
      <w:r>
        <w:rPr>
          <w:rFonts w:eastAsia="宋体"/>
          <w:color w:val="0070C0"/>
          <w:szCs w:val="24"/>
          <w:lang w:eastAsia="zh-CN"/>
        </w:rPr>
        <w:t xml:space="preserve"> </w:t>
      </w:r>
    </w:p>
    <w:p w14:paraId="2F142C6D" w14:textId="057739F9" w:rsidR="000152ED" w:rsidRDefault="000152ED" w:rsidP="00F10A15">
      <w:pPr>
        <w:pStyle w:val="afe"/>
        <w:numPr>
          <w:ilvl w:val="0"/>
          <w:numId w:val="4"/>
        </w:numPr>
        <w:overflowPunct/>
        <w:autoSpaceDE/>
        <w:autoSpaceDN/>
        <w:adjustRightInd/>
        <w:spacing w:after="120"/>
        <w:ind w:left="851" w:firstLineChars="0"/>
        <w:textAlignment w:val="auto"/>
        <w:rPr>
          <w:rFonts w:eastAsia="宋体"/>
          <w:color w:val="0070C0"/>
          <w:szCs w:val="24"/>
          <w:lang w:eastAsia="zh-CN"/>
        </w:rPr>
      </w:pPr>
      <w:r w:rsidRPr="00805BE8">
        <w:rPr>
          <w:rFonts w:eastAsia="宋体"/>
          <w:color w:val="0070C0"/>
          <w:szCs w:val="24"/>
          <w:lang w:eastAsia="zh-CN"/>
        </w:rPr>
        <w:t>Recommended WF</w:t>
      </w:r>
    </w:p>
    <w:p w14:paraId="33F922F9" w14:textId="77777777" w:rsidR="000152ED" w:rsidRDefault="000152ED" w:rsidP="000152E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1D58D40" w14:textId="77777777" w:rsidR="009975E2" w:rsidRDefault="009975E2" w:rsidP="009975E2">
      <w:pPr>
        <w:spacing w:after="120"/>
        <w:rPr>
          <w:color w:val="0070C0"/>
          <w:szCs w:val="24"/>
          <w:lang w:eastAsia="zh-CN"/>
        </w:rPr>
      </w:pPr>
    </w:p>
    <w:p w14:paraId="4891C161" w14:textId="415EC9E1" w:rsidR="009975E2" w:rsidRPr="0025583F" w:rsidRDefault="009975E2"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w:t>
      </w:r>
      <w:r w:rsidR="00EE1A83" w:rsidRPr="0025583F">
        <w:rPr>
          <w:rFonts w:ascii="Times New Roman" w:hAnsi="Times New Roman"/>
          <w:b/>
          <w:color w:val="0070C0"/>
          <w:sz w:val="20"/>
          <w:u w:val="single"/>
          <w:lang w:eastAsia="ko-KR"/>
        </w:rPr>
        <w:t>2-</w:t>
      </w:r>
      <w:r w:rsidR="0025583F">
        <w:rPr>
          <w:rFonts w:ascii="Times New Roman" w:hAnsi="Times New Roman"/>
          <w:b/>
          <w:color w:val="0070C0"/>
          <w:sz w:val="20"/>
          <w:u w:val="single"/>
          <w:lang w:eastAsia="ko-KR"/>
        </w:rPr>
        <w:t>5</w:t>
      </w:r>
      <w:r w:rsidRPr="0025583F">
        <w:rPr>
          <w:rFonts w:ascii="Times New Roman" w:hAnsi="Times New Roman"/>
          <w:b/>
          <w:color w:val="0070C0"/>
          <w:sz w:val="20"/>
          <w:u w:val="single"/>
          <w:lang w:eastAsia="ko-KR"/>
        </w:rPr>
        <w:t>: PSFCH for SL CA</w:t>
      </w:r>
    </w:p>
    <w:p w14:paraId="07506440" w14:textId="115CB166" w:rsidR="00F10A15" w:rsidRDefault="009975E2" w:rsidP="009975E2">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Proposals</w:t>
      </w:r>
      <w:r w:rsidRPr="00FF4A5E">
        <w:rPr>
          <w:rFonts w:eastAsia="宋体"/>
          <w:color w:val="0070C0"/>
          <w:szCs w:val="24"/>
          <w:lang w:eastAsia="zh-CN"/>
        </w:rPr>
        <w:t xml:space="preserve"> 1: </w:t>
      </w:r>
      <w:r w:rsidR="00F10A15">
        <w:rPr>
          <w:rFonts w:eastAsia="宋体"/>
          <w:color w:val="0070C0"/>
          <w:szCs w:val="24"/>
          <w:lang w:eastAsia="zh-CN"/>
        </w:rPr>
        <w:t>Huawei</w:t>
      </w:r>
    </w:p>
    <w:p w14:paraId="1AB4828D" w14:textId="322298F5" w:rsidR="009975E2" w:rsidRDefault="009975E2"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1C56FE">
        <w:rPr>
          <w:rFonts w:eastAsia="宋体"/>
          <w:color w:val="0070C0"/>
          <w:szCs w:val="24"/>
          <w:lang w:eastAsia="zh-CN"/>
        </w:rPr>
        <w:t>Non-contiguous RB allocation of PSFCH for intra-band contiguous SL CA and the restriction on the number of PSFCH can be considered</w:t>
      </w:r>
      <w:r>
        <w:rPr>
          <w:rFonts w:eastAsia="宋体"/>
          <w:color w:val="0070C0"/>
          <w:szCs w:val="24"/>
          <w:lang w:eastAsia="zh-CN"/>
        </w:rPr>
        <w:t xml:space="preserve"> </w:t>
      </w:r>
    </w:p>
    <w:p w14:paraId="7F82B422" w14:textId="77777777" w:rsidR="00F10A15" w:rsidRDefault="009D1197" w:rsidP="00F10A15">
      <w:pPr>
        <w:pStyle w:val="afe"/>
        <w:numPr>
          <w:ilvl w:val="0"/>
          <w:numId w:val="4"/>
        </w:numPr>
        <w:overflowPunct/>
        <w:autoSpaceDE/>
        <w:autoSpaceDN/>
        <w:adjustRightInd/>
        <w:spacing w:after="120"/>
        <w:ind w:left="851" w:firstLineChars="0"/>
        <w:textAlignment w:val="auto"/>
        <w:rPr>
          <w:rFonts w:eastAsia="宋体"/>
          <w:color w:val="0070C0"/>
          <w:szCs w:val="24"/>
          <w:lang w:eastAsia="zh-CN"/>
        </w:rPr>
      </w:pPr>
      <w:r w:rsidRPr="00805BE8">
        <w:rPr>
          <w:rFonts w:eastAsia="宋体"/>
          <w:color w:val="0070C0"/>
          <w:szCs w:val="24"/>
          <w:lang w:eastAsia="zh-CN"/>
        </w:rPr>
        <w:t>Recommended WF</w:t>
      </w:r>
    </w:p>
    <w:p w14:paraId="0D77D5B5" w14:textId="544573F0" w:rsidR="009D1197" w:rsidRDefault="009D1197" w:rsidP="00F10A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10A15">
        <w:rPr>
          <w:rFonts w:eastAsia="宋体"/>
          <w:color w:val="0070C0"/>
          <w:szCs w:val="24"/>
          <w:lang w:eastAsia="zh-CN"/>
        </w:rPr>
        <w:t>TBA</w:t>
      </w:r>
    </w:p>
    <w:p w14:paraId="77A89CF0" w14:textId="77777777" w:rsidR="00F10A15" w:rsidRPr="00F10A15" w:rsidRDefault="00F10A15" w:rsidP="00F10A15">
      <w:pPr>
        <w:spacing w:after="120"/>
        <w:rPr>
          <w:color w:val="0070C0"/>
          <w:szCs w:val="24"/>
          <w:lang w:eastAsia="zh-CN"/>
        </w:rPr>
      </w:pPr>
    </w:p>
    <w:p w14:paraId="37402C16" w14:textId="5238D5B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EF70A2">
        <w:rPr>
          <w:sz w:val="24"/>
          <w:szCs w:val="16"/>
        </w:rPr>
        <w:t>3</w:t>
      </w:r>
      <w:r w:rsidR="001605E6">
        <w:rPr>
          <w:sz w:val="24"/>
          <w:szCs w:val="16"/>
        </w:rPr>
        <w:t>: Rx requirements for SL CA</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4FFF7B3" w14:textId="2DE481A6" w:rsidR="000A369F" w:rsidRPr="0025583F" w:rsidRDefault="000A369F"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Issue 2-</w:t>
      </w:r>
      <w:r w:rsidR="00230514" w:rsidRPr="0025583F">
        <w:rPr>
          <w:rFonts w:ascii="Times New Roman" w:hAnsi="Times New Roman"/>
          <w:b/>
          <w:color w:val="0070C0"/>
          <w:sz w:val="20"/>
          <w:u w:val="single"/>
          <w:lang w:eastAsia="ko-KR"/>
        </w:rPr>
        <w:t>3</w:t>
      </w:r>
      <w:r w:rsidRPr="0025583F">
        <w:rPr>
          <w:rFonts w:ascii="Times New Roman" w:hAnsi="Times New Roman"/>
          <w:b/>
          <w:color w:val="0070C0"/>
          <w:sz w:val="20"/>
          <w:u w:val="single"/>
          <w:lang w:eastAsia="ko-KR"/>
        </w:rPr>
        <w:t>: Rx RF requirements for NR SL intra-band contiguous CA</w:t>
      </w:r>
    </w:p>
    <w:p w14:paraId="3ACE4A32" w14:textId="77777777" w:rsidR="000A369F" w:rsidRPr="00045592" w:rsidRDefault="000A369F" w:rsidP="000A369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19865A" w14:textId="28840AF6" w:rsidR="00F10A15" w:rsidRDefault="000A369F" w:rsidP="000A369F">
      <w:pPr>
        <w:pStyle w:val="afe"/>
        <w:numPr>
          <w:ilvl w:val="1"/>
          <w:numId w:val="4"/>
        </w:numPr>
        <w:overflowPunct/>
        <w:autoSpaceDE/>
        <w:autoSpaceDN/>
        <w:adjustRightInd/>
        <w:spacing w:after="120"/>
        <w:ind w:left="1276"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10A15">
        <w:rPr>
          <w:rFonts w:eastAsia="宋体"/>
          <w:color w:val="0070C0"/>
          <w:szCs w:val="24"/>
          <w:lang w:eastAsia="zh-CN"/>
        </w:rPr>
        <w:t>vivo, OPPO (for specific RB configurations)</w:t>
      </w:r>
    </w:p>
    <w:p w14:paraId="17013489" w14:textId="2543DE3F" w:rsidR="000A369F" w:rsidRDefault="000A369F" w:rsidP="00F10A15">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EF70A2">
        <w:rPr>
          <w:rFonts w:eastAsia="宋体"/>
          <w:color w:val="0070C0"/>
          <w:szCs w:val="24"/>
          <w:lang w:eastAsia="zh-CN"/>
        </w:rPr>
        <w:t>For SL_n47B, the reference sensitivity defined for single carrier operation in n47 as shown in Table 7.3E.2-1 shall apply for each component carrier with two CCs are activated at the same time</w:t>
      </w:r>
    </w:p>
    <w:p w14:paraId="2748A2A4" w14:textId="77777777" w:rsidR="000A369F" w:rsidRPr="00F10A15" w:rsidRDefault="000A369F" w:rsidP="00F10A1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0A15">
        <w:rPr>
          <w:rFonts w:eastAsia="宋体"/>
          <w:color w:val="0070C0"/>
          <w:szCs w:val="24"/>
          <w:lang w:eastAsia="zh-CN"/>
        </w:rPr>
        <w:t>Recommended WF</w:t>
      </w:r>
    </w:p>
    <w:p w14:paraId="289446D2" w14:textId="77777777" w:rsidR="000A369F" w:rsidRPr="00045592" w:rsidRDefault="000A369F" w:rsidP="000A369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EC9775" w14:textId="373B874D" w:rsidR="00EF70A2" w:rsidRPr="00805BE8" w:rsidRDefault="00EF70A2" w:rsidP="00EF70A2">
      <w:pPr>
        <w:pStyle w:val="3"/>
        <w:rPr>
          <w:sz w:val="24"/>
          <w:szCs w:val="16"/>
        </w:rPr>
      </w:pPr>
      <w:r w:rsidRPr="00805BE8">
        <w:rPr>
          <w:sz w:val="24"/>
          <w:szCs w:val="16"/>
        </w:rPr>
        <w:lastRenderedPageBreak/>
        <w:t>S</w:t>
      </w:r>
      <w:bookmarkStart w:id="3" w:name="_GoBack"/>
      <w:bookmarkEnd w:id="3"/>
      <w:r w:rsidRPr="00805BE8">
        <w:rPr>
          <w:sz w:val="24"/>
          <w:szCs w:val="16"/>
        </w:rPr>
        <w:t>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r w:rsidR="001605E6">
        <w:rPr>
          <w:sz w:val="24"/>
          <w:szCs w:val="16"/>
        </w:rPr>
        <w:t>: TP for TR 38.786</w:t>
      </w:r>
    </w:p>
    <w:p w14:paraId="387B4091" w14:textId="77777777" w:rsidR="00EF70A2" w:rsidRPr="009415B0" w:rsidRDefault="00EF70A2" w:rsidP="00EF70A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B68C514" w14:textId="77777777" w:rsidR="00EF70A2" w:rsidRPr="00035C50" w:rsidRDefault="00EF70A2" w:rsidP="00EF70A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A19889C" w14:textId="10A5A15F" w:rsidR="00230514" w:rsidRPr="0025583F" w:rsidRDefault="00230514" w:rsidP="0025583F">
      <w:pPr>
        <w:pStyle w:val="4"/>
        <w:spacing w:before="0" w:after="60"/>
        <w:rPr>
          <w:rFonts w:ascii="Times New Roman" w:hAnsi="Times New Roman"/>
          <w:b/>
          <w:color w:val="0070C0"/>
          <w:sz w:val="20"/>
          <w:u w:val="single"/>
          <w:lang w:eastAsia="ko-KR"/>
        </w:rPr>
      </w:pPr>
      <w:r w:rsidRPr="0025583F">
        <w:rPr>
          <w:rFonts w:ascii="Times New Roman" w:hAnsi="Times New Roman"/>
          <w:b/>
          <w:color w:val="0070C0"/>
          <w:sz w:val="20"/>
          <w:u w:val="single"/>
          <w:lang w:eastAsia="ko-KR"/>
        </w:rPr>
        <w:t xml:space="preserve">Issue 2-4: </w:t>
      </w:r>
      <w:r w:rsidR="0025583F" w:rsidRPr="0025583F">
        <w:rPr>
          <w:rFonts w:ascii="Times New Roman" w:hAnsi="Times New Roman"/>
          <w:b/>
          <w:color w:val="0070C0"/>
          <w:sz w:val="20"/>
          <w:u w:val="single"/>
          <w:lang w:eastAsia="ko-KR"/>
        </w:rPr>
        <w:t>TP in R4-2307118</w:t>
      </w:r>
      <w:r w:rsidR="0025583F">
        <w:rPr>
          <w:rFonts w:ascii="Times New Roman" w:hAnsi="Times New Roman"/>
          <w:b/>
          <w:color w:val="0070C0"/>
          <w:sz w:val="20"/>
          <w:u w:val="single"/>
          <w:lang w:eastAsia="ko-KR"/>
        </w:rPr>
        <w:t xml:space="preserve"> (Meta)</w:t>
      </w:r>
    </w:p>
    <w:p w14:paraId="13D0B3D3" w14:textId="77777777" w:rsidR="00230514" w:rsidRDefault="00230514" w:rsidP="00F14D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F14D8E">
        <w:rPr>
          <w:rFonts w:eastAsia="宋体"/>
          <w:color w:val="0070C0"/>
          <w:szCs w:val="24"/>
          <w:lang w:eastAsia="zh-CN"/>
        </w:rPr>
        <w:t>Recommended WF</w:t>
      </w:r>
    </w:p>
    <w:p w14:paraId="5CAAEA4A" w14:textId="42BDD5A4" w:rsidR="00477500" w:rsidRPr="00F14D8E" w:rsidRDefault="00477500" w:rsidP="0047750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1BCE2AB9" w14:textId="20444439" w:rsidR="0033052D" w:rsidRDefault="0033052D" w:rsidP="00230514">
      <w:pPr>
        <w:rPr>
          <w:color w:val="0070C0"/>
          <w:lang w:val="en-US" w:eastAsia="zh-CN"/>
        </w:rPr>
      </w:pPr>
    </w:p>
    <w:p w14:paraId="449D8598" w14:textId="77777777" w:rsidR="00FF4A5E" w:rsidRPr="004E298E" w:rsidRDefault="00FF4A5E" w:rsidP="004E298E">
      <w:pPr>
        <w:spacing w:after="120"/>
        <w:ind w:left="1296"/>
        <w:rPr>
          <w:color w:val="0070C0"/>
          <w:szCs w:val="24"/>
          <w:lang w:eastAsia="zh-CN"/>
        </w:rPr>
      </w:pPr>
    </w:p>
    <w:p w14:paraId="4192317C" w14:textId="77777777" w:rsidR="003869AE" w:rsidRDefault="003869AE" w:rsidP="00DD19DE">
      <w:pPr>
        <w:rPr>
          <w:color w:val="0070C0"/>
          <w:lang w:eastAsia="zh-CN"/>
        </w:rPr>
      </w:pPr>
    </w:p>
    <w:p w14:paraId="5E01BC46" w14:textId="77777777" w:rsidR="001C56FE" w:rsidRPr="003869AE" w:rsidRDefault="001C56FE" w:rsidP="00DD19DE">
      <w:pPr>
        <w:rPr>
          <w:color w:val="0070C0"/>
          <w:lang w:eastAsia="zh-CN"/>
        </w:rPr>
      </w:pPr>
    </w:p>
    <w:sectPr w:rsidR="001C56FE" w:rsidRPr="003869A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C0AB" w14:textId="77777777" w:rsidR="007B48B7" w:rsidRDefault="007B48B7">
      <w:r>
        <w:separator/>
      </w:r>
    </w:p>
  </w:endnote>
  <w:endnote w:type="continuationSeparator" w:id="0">
    <w:p w14:paraId="4AFBFA78" w14:textId="77777777" w:rsidR="007B48B7" w:rsidRDefault="007B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0115E" w14:textId="77777777" w:rsidR="007B48B7" w:rsidRDefault="007B48B7">
      <w:r>
        <w:separator/>
      </w:r>
    </w:p>
  </w:footnote>
  <w:footnote w:type="continuationSeparator" w:id="0">
    <w:p w14:paraId="4BC63441" w14:textId="77777777" w:rsidR="007B48B7" w:rsidRDefault="007B4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B3F80"/>
    <w:multiLevelType w:val="hybridMultilevel"/>
    <w:tmpl w:val="9ED006C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D734F"/>
    <w:multiLevelType w:val="hybridMultilevel"/>
    <w:tmpl w:val="C38A36C0"/>
    <w:lvl w:ilvl="0" w:tplc="7F70889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hybridMultilevel"/>
    <w:tmpl w:val="2EFCFDB4"/>
    <w:lvl w:ilvl="0" w:tplc="7042279E">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2"/>
  </w:num>
  <w:num w:numId="20">
    <w:abstractNumId w:val="1"/>
  </w:num>
  <w:num w:numId="21">
    <w:abstractNumId w:val="9"/>
  </w:num>
  <w:num w:numId="22">
    <w:abstractNumId w:val="9"/>
  </w:num>
  <w:num w:numId="23">
    <w:abstractNumId w:val="8"/>
  </w:num>
  <w:num w:numId="24">
    <w:abstractNumId w:val="10"/>
  </w:num>
  <w:num w:numId="25">
    <w:abstractNumId w:val="3"/>
  </w:num>
  <w:num w:numId="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3DF"/>
    <w:rsid w:val="0000223C"/>
    <w:rsid w:val="00004165"/>
    <w:rsid w:val="000152ED"/>
    <w:rsid w:val="00020C56"/>
    <w:rsid w:val="0002488A"/>
    <w:rsid w:val="00026ACC"/>
    <w:rsid w:val="0003171D"/>
    <w:rsid w:val="00031C1D"/>
    <w:rsid w:val="00035C50"/>
    <w:rsid w:val="000457A1"/>
    <w:rsid w:val="00050001"/>
    <w:rsid w:val="00052041"/>
    <w:rsid w:val="00052F12"/>
    <w:rsid w:val="0005326A"/>
    <w:rsid w:val="0006266D"/>
    <w:rsid w:val="00065506"/>
    <w:rsid w:val="0007382E"/>
    <w:rsid w:val="000766E1"/>
    <w:rsid w:val="00077FF6"/>
    <w:rsid w:val="00080D82"/>
    <w:rsid w:val="00081692"/>
    <w:rsid w:val="00082C46"/>
    <w:rsid w:val="00085A0E"/>
    <w:rsid w:val="00086739"/>
    <w:rsid w:val="00087548"/>
    <w:rsid w:val="00093E7E"/>
    <w:rsid w:val="000A1830"/>
    <w:rsid w:val="000A369F"/>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25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5E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6FE"/>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0514"/>
    <w:rsid w:val="00235394"/>
    <w:rsid w:val="00235577"/>
    <w:rsid w:val="002371B2"/>
    <w:rsid w:val="002435CA"/>
    <w:rsid w:val="0024469F"/>
    <w:rsid w:val="00250B5B"/>
    <w:rsid w:val="00252DB8"/>
    <w:rsid w:val="002537BC"/>
    <w:rsid w:val="0025583F"/>
    <w:rsid w:val="00255C58"/>
    <w:rsid w:val="00260EC7"/>
    <w:rsid w:val="00261539"/>
    <w:rsid w:val="0026179F"/>
    <w:rsid w:val="002666AE"/>
    <w:rsid w:val="00274E1A"/>
    <w:rsid w:val="00274E25"/>
    <w:rsid w:val="002775B1"/>
    <w:rsid w:val="002775B9"/>
    <w:rsid w:val="002811C4"/>
    <w:rsid w:val="00282213"/>
    <w:rsid w:val="00284016"/>
    <w:rsid w:val="002853ED"/>
    <w:rsid w:val="002858BF"/>
    <w:rsid w:val="002939AF"/>
    <w:rsid w:val="00294491"/>
    <w:rsid w:val="00294BDE"/>
    <w:rsid w:val="00297FD8"/>
    <w:rsid w:val="002A0CED"/>
    <w:rsid w:val="002A4CD0"/>
    <w:rsid w:val="002A7DA6"/>
    <w:rsid w:val="002B516C"/>
    <w:rsid w:val="002B5E1D"/>
    <w:rsid w:val="002B60C1"/>
    <w:rsid w:val="002C4B52"/>
    <w:rsid w:val="002D03E5"/>
    <w:rsid w:val="002D36EB"/>
    <w:rsid w:val="002D5044"/>
    <w:rsid w:val="002D6BDF"/>
    <w:rsid w:val="002E2CE9"/>
    <w:rsid w:val="002E3BF7"/>
    <w:rsid w:val="002E403E"/>
    <w:rsid w:val="002E4C74"/>
    <w:rsid w:val="002F158C"/>
    <w:rsid w:val="002F2D61"/>
    <w:rsid w:val="002F4093"/>
    <w:rsid w:val="002F5636"/>
    <w:rsid w:val="00300129"/>
    <w:rsid w:val="003022A5"/>
    <w:rsid w:val="00307E51"/>
    <w:rsid w:val="00311363"/>
    <w:rsid w:val="00315867"/>
    <w:rsid w:val="00316C0F"/>
    <w:rsid w:val="00321150"/>
    <w:rsid w:val="003260D7"/>
    <w:rsid w:val="0033052D"/>
    <w:rsid w:val="00336697"/>
    <w:rsid w:val="003418CB"/>
    <w:rsid w:val="00350A57"/>
    <w:rsid w:val="00355873"/>
    <w:rsid w:val="0035660F"/>
    <w:rsid w:val="003628B9"/>
    <w:rsid w:val="00362D8F"/>
    <w:rsid w:val="00367724"/>
    <w:rsid w:val="003710BA"/>
    <w:rsid w:val="003770F6"/>
    <w:rsid w:val="00383E37"/>
    <w:rsid w:val="003869AE"/>
    <w:rsid w:val="00393042"/>
    <w:rsid w:val="00394AD5"/>
    <w:rsid w:val="0039642D"/>
    <w:rsid w:val="003A2B9E"/>
    <w:rsid w:val="003A2E40"/>
    <w:rsid w:val="003B0158"/>
    <w:rsid w:val="003B40B6"/>
    <w:rsid w:val="003B56DB"/>
    <w:rsid w:val="003B6E47"/>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7500"/>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298E"/>
    <w:rsid w:val="004E39EE"/>
    <w:rsid w:val="004E475C"/>
    <w:rsid w:val="004E56E0"/>
    <w:rsid w:val="004E5F4D"/>
    <w:rsid w:val="004E7329"/>
    <w:rsid w:val="004F2CB0"/>
    <w:rsid w:val="005017F7"/>
    <w:rsid w:val="00501F15"/>
    <w:rsid w:val="00501FA7"/>
    <w:rsid w:val="005034DC"/>
    <w:rsid w:val="00505BFA"/>
    <w:rsid w:val="005071B4"/>
    <w:rsid w:val="00507687"/>
    <w:rsid w:val="005117A9"/>
    <w:rsid w:val="00511F57"/>
    <w:rsid w:val="00513529"/>
    <w:rsid w:val="00515CBE"/>
    <w:rsid w:val="00515E2B"/>
    <w:rsid w:val="00522A7E"/>
    <w:rsid w:val="00522F20"/>
    <w:rsid w:val="005308DB"/>
    <w:rsid w:val="00530A2E"/>
    <w:rsid w:val="00530FBE"/>
    <w:rsid w:val="00533159"/>
    <w:rsid w:val="005339DB"/>
    <w:rsid w:val="00534C89"/>
    <w:rsid w:val="00541573"/>
    <w:rsid w:val="0054348A"/>
    <w:rsid w:val="0057112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358F"/>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0513"/>
    <w:rsid w:val="00692A68"/>
    <w:rsid w:val="00695D85"/>
    <w:rsid w:val="006A30A2"/>
    <w:rsid w:val="006A6D23"/>
    <w:rsid w:val="006B25DE"/>
    <w:rsid w:val="006C1C3B"/>
    <w:rsid w:val="006C49E9"/>
    <w:rsid w:val="006C4E43"/>
    <w:rsid w:val="006C643E"/>
    <w:rsid w:val="006D2932"/>
    <w:rsid w:val="006D3671"/>
    <w:rsid w:val="006D4176"/>
    <w:rsid w:val="006E0A73"/>
    <w:rsid w:val="006E0FEE"/>
    <w:rsid w:val="006E69ED"/>
    <w:rsid w:val="006E6C11"/>
    <w:rsid w:val="006F7C0C"/>
    <w:rsid w:val="00700755"/>
    <w:rsid w:val="0070646B"/>
    <w:rsid w:val="007130A2"/>
    <w:rsid w:val="00715463"/>
    <w:rsid w:val="00722C8B"/>
    <w:rsid w:val="0072544E"/>
    <w:rsid w:val="00730655"/>
    <w:rsid w:val="00731D77"/>
    <w:rsid w:val="00732360"/>
    <w:rsid w:val="0073390A"/>
    <w:rsid w:val="00734E64"/>
    <w:rsid w:val="00736B37"/>
    <w:rsid w:val="00740A35"/>
    <w:rsid w:val="007520B4"/>
    <w:rsid w:val="007655D5"/>
    <w:rsid w:val="007763C1"/>
    <w:rsid w:val="00777E82"/>
    <w:rsid w:val="00781359"/>
    <w:rsid w:val="00782BD2"/>
    <w:rsid w:val="00784324"/>
    <w:rsid w:val="00786921"/>
    <w:rsid w:val="007A1EAA"/>
    <w:rsid w:val="007A79FD"/>
    <w:rsid w:val="007B0B9D"/>
    <w:rsid w:val="007B1569"/>
    <w:rsid w:val="007B26E3"/>
    <w:rsid w:val="007B26F9"/>
    <w:rsid w:val="007B48B7"/>
    <w:rsid w:val="007B5A43"/>
    <w:rsid w:val="007B709B"/>
    <w:rsid w:val="007C1343"/>
    <w:rsid w:val="007C5EF1"/>
    <w:rsid w:val="007C7BF5"/>
    <w:rsid w:val="007D19B7"/>
    <w:rsid w:val="007D75E5"/>
    <w:rsid w:val="007D773E"/>
    <w:rsid w:val="007E066E"/>
    <w:rsid w:val="007E1056"/>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2939"/>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54F"/>
    <w:rsid w:val="00947E7E"/>
    <w:rsid w:val="0095139A"/>
    <w:rsid w:val="00953E16"/>
    <w:rsid w:val="009542AC"/>
    <w:rsid w:val="00961BB2"/>
    <w:rsid w:val="00962108"/>
    <w:rsid w:val="009638D6"/>
    <w:rsid w:val="0097408E"/>
    <w:rsid w:val="00974BB2"/>
    <w:rsid w:val="00974FA7"/>
    <w:rsid w:val="009756E5"/>
    <w:rsid w:val="00977A8C"/>
    <w:rsid w:val="00983910"/>
    <w:rsid w:val="00985B9B"/>
    <w:rsid w:val="009932AC"/>
    <w:rsid w:val="00994351"/>
    <w:rsid w:val="00996A8F"/>
    <w:rsid w:val="009975E2"/>
    <w:rsid w:val="009A1DBF"/>
    <w:rsid w:val="009A32A1"/>
    <w:rsid w:val="009A68E6"/>
    <w:rsid w:val="009A7598"/>
    <w:rsid w:val="009B1DF8"/>
    <w:rsid w:val="009B3D20"/>
    <w:rsid w:val="009B5418"/>
    <w:rsid w:val="009B61B4"/>
    <w:rsid w:val="009C0727"/>
    <w:rsid w:val="009C3C80"/>
    <w:rsid w:val="009C492F"/>
    <w:rsid w:val="009D1197"/>
    <w:rsid w:val="009D2FF2"/>
    <w:rsid w:val="009D3226"/>
    <w:rsid w:val="009D3385"/>
    <w:rsid w:val="009D793C"/>
    <w:rsid w:val="009E16A9"/>
    <w:rsid w:val="009E375F"/>
    <w:rsid w:val="009E39D4"/>
    <w:rsid w:val="009E433B"/>
    <w:rsid w:val="009E5401"/>
    <w:rsid w:val="00A0758F"/>
    <w:rsid w:val="00A1570A"/>
    <w:rsid w:val="00A15BCD"/>
    <w:rsid w:val="00A17866"/>
    <w:rsid w:val="00A211B4"/>
    <w:rsid w:val="00A223CF"/>
    <w:rsid w:val="00A33DDF"/>
    <w:rsid w:val="00A34547"/>
    <w:rsid w:val="00A376B7"/>
    <w:rsid w:val="00A41BF5"/>
    <w:rsid w:val="00A427C0"/>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1BE"/>
    <w:rsid w:val="00AB0C57"/>
    <w:rsid w:val="00AB1195"/>
    <w:rsid w:val="00AB4182"/>
    <w:rsid w:val="00AC27DB"/>
    <w:rsid w:val="00AC67BE"/>
    <w:rsid w:val="00AC6D6B"/>
    <w:rsid w:val="00AD7736"/>
    <w:rsid w:val="00AE10CE"/>
    <w:rsid w:val="00AE70D4"/>
    <w:rsid w:val="00AE7868"/>
    <w:rsid w:val="00AF0407"/>
    <w:rsid w:val="00AF049B"/>
    <w:rsid w:val="00AF4D8B"/>
    <w:rsid w:val="00B067CA"/>
    <w:rsid w:val="00B10451"/>
    <w:rsid w:val="00B12B26"/>
    <w:rsid w:val="00B163F8"/>
    <w:rsid w:val="00B1779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6EEF"/>
    <w:rsid w:val="00BD28BF"/>
    <w:rsid w:val="00BD2D12"/>
    <w:rsid w:val="00BD6404"/>
    <w:rsid w:val="00BE07DE"/>
    <w:rsid w:val="00BE33AE"/>
    <w:rsid w:val="00BE6FB4"/>
    <w:rsid w:val="00BF046F"/>
    <w:rsid w:val="00C01D50"/>
    <w:rsid w:val="00C04447"/>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154A"/>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158A"/>
    <w:rsid w:val="00D520E4"/>
    <w:rsid w:val="00D53A38"/>
    <w:rsid w:val="00D575DD"/>
    <w:rsid w:val="00D57DFA"/>
    <w:rsid w:val="00D67FCF"/>
    <w:rsid w:val="00D709CE"/>
    <w:rsid w:val="00D71F73"/>
    <w:rsid w:val="00D77CDE"/>
    <w:rsid w:val="00D80786"/>
    <w:rsid w:val="00D807E9"/>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074A6"/>
    <w:rsid w:val="00E160A5"/>
    <w:rsid w:val="00E1713D"/>
    <w:rsid w:val="00E20A43"/>
    <w:rsid w:val="00E22260"/>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8B9"/>
    <w:rsid w:val="00ED383A"/>
    <w:rsid w:val="00EE1080"/>
    <w:rsid w:val="00EE1A83"/>
    <w:rsid w:val="00EF1EC5"/>
    <w:rsid w:val="00EF4C88"/>
    <w:rsid w:val="00EF55EB"/>
    <w:rsid w:val="00EF70A2"/>
    <w:rsid w:val="00F00DCC"/>
    <w:rsid w:val="00F0156F"/>
    <w:rsid w:val="00F05AC8"/>
    <w:rsid w:val="00F07167"/>
    <w:rsid w:val="00F072D8"/>
    <w:rsid w:val="00F07CE0"/>
    <w:rsid w:val="00F10A15"/>
    <w:rsid w:val="00F115F5"/>
    <w:rsid w:val="00F13D05"/>
    <w:rsid w:val="00F14D8E"/>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910"/>
    <w:rsid w:val="00FC051F"/>
    <w:rsid w:val="00FC06FF"/>
    <w:rsid w:val="00FC45F4"/>
    <w:rsid w:val="00FC69B4"/>
    <w:rsid w:val="00FD0694"/>
    <w:rsid w:val="00FD25BE"/>
    <w:rsid w:val="00FD2E70"/>
    <w:rsid w:val="00FD7AA7"/>
    <w:rsid w:val="00FF1FCB"/>
    <w:rsid w:val="00FF4A5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6F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0"/>
        <w:numId w:val="0"/>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List,- Bullets,?? ??,?????,????,リスト段落,Lista1,列出段落1,中等深浅网格 1 - 着色 21,列表段落,R4_bullets,列表段落1,—ño’i—Ž,¥¡¡¡¡ì¬º¥¹¥È¶ÎÂä,ÁÐ³ö¶ÎÂä,¥ê¥¹¥È¶ÎÂä,1st level - Bullet List Paragraph,Lettre d'introduction,Paragrafo elenco,Normal bullet 2,목록 단락,목록 단,목록"/>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List Char,-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501F15"/>
    <w:pPr>
      <w:numPr>
        <w:numId w:val="2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501F15"/>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D5F-59E0-4FBE-B748-E3C7BF8A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1931</Words>
  <Characters>11012</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Hudan</cp:lastModifiedBy>
  <cp:revision>5</cp:revision>
  <cp:lastPrinted>2019-04-25T01:09:00Z</cp:lastPrinted>
  <dcterms:created xsi:type="dcterms:W3CDTF">2023-05-17T06:18:00Z</dcterms:created>
  <dcterms:modified xsi:type="dcterms:W3CDTF">2023-05-17T06:35:00Z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(3)d3psTL5UUPqehPTHU9RMBlQvICaYm4QEVFkTcCUiMHPnRfSlwT5kR6285o5DL7ELLThSCS43
qtuzymzLAk9oOG/PHHC2mZZg63Qsm/f+cIOREYskhtHIiL3uoo1srL7sdn52chXdPLVLb3Ns
6Hh87eTNMTeRWpZLgkBkmwN9G75jD2Ln0xupR0KCLs1MtvaFULqAD4xEW1JjRx38vqTRSk6Z
2Yigm9TiCM3k4uN+1F</vt:lpwstr>
  </property>
  <property fmtid="{D5CDD505-2E9C-101B-9397-08002B2CF9AE}" pid="10" name="_2015_ms_pID_7253431">
    <vt:lpwstr>32HDXab3LAjeL51DYiDIiFSc/4Egah507p0i3v32AOKrlBKXiG7wRj
75VVXmgFTZD3j7PbhOeH4ZBfP9bfZjwsJYUQDFjcPmQ9YVDoDRkT4+PXhBNIG+pjVTVa61l1
bAQ6J9WEizgcXKE78qpugqr+GCw5BBwajpvxgjAMI/av9eS3uf0wuqC+PVIpRnwCj/UrbQqz
ejP5F3VEZlBbcZE3F0JiHp/hplx4N9b7//fS</vt:lpwstr>
  </property>
  <property fmtid="{D5CDD505-2E9C-101B-9397-08002B2CF9AE}" pid="11" name="_2015_ms_pID_7253432">
    <vt:lpwstr>Aw==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1684224431</vt:lpwstr>
  </property>
</Properties>
</file>