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21223" w14:textId="4D49CBB7" w:rsidR="00D91308" w:rsidRPr="00D91308" w:rsidRDefault="00D91308" w:rsidP="00D91308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D91308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106bis-e</w:t>
      </w:r>
      <w:r w:rsidRPr="00D91308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D91308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D91308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D91308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D91308">
        <w:rPr>
          <w:rFonts w:ascii="Arial" w:eastAsia="MS Mincho" w:hAnsi="Arial" w:cs="Arial"/>
          <w:b/>
          <w:sz w:val="24"/>
          <w:szCs w:val="24"/>
          <w:lang w:eastAsia="en-US"/>
        </w:rPr>
        <w:t>R4-2304191</w:t>
      </w:r>
    </w:p>
    <w:p w14:paraId="048CC591" w14:textId="4B6EBC8E" w:rsidR="0052276E" w:rsidRDefault="00D91308" w:rsidP="00D91308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D91308">
        <w:rPr>
          <w:rFonts w:ascii="Arial" w:eastAsia="MS Mincho" w:hAnsi="Arial" w:cs="Arial"/>
          <w:b/>
          <w:sz w:val="24"/>
          <w:szCs w:val="24"/>
          <w:lang w:eastAsia="en-US"/>
        </w:rPr>
        <w:t>Online, April 17 – April 26, 2023</w:t>
      </w:r>
    </w:p>
    <w:p w14:paraId="1962FC04" w14:textId="3B3DCBD6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D91308">
        <w:rPr>
          <w:rFonts w:ascii="Arial" w:eastAsia="MS Mincho" w:hAnsi="Arial" w:cs="Arial"/>
          <w:b/>
          <w:sz w:val="24"/>
          <w:szCs w:val="24"/>
          <w:lang w:eastAsia="en-US"/>
        </w:rPr>
        <w:t>5.20.2</w:t>
      </w:r>
    </w:p>
    <w:p w14:paraId="056AD676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6EB223E6" w14:textId="1C837B70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FE2CAC">
        <w:rPr>
          <w:rFonts w:ascii="Arial" w:eastAsia="MS Mincho" w:hAnsi="Arial" w:cs="Arial"/>
          <w:b/>
          <w:sz w:val="24"/>
          <w:szCs w:val="24"/>
          <w:lang w:eastAsia="en-US"/>
        </w:rPr>
        <w:t>D</w:t>
      </w:r>
      <w:r w:rsidR="0058709C">
        <w:rPr>
          <w:rFonts w:ascii="Arial" w:eastAsia="MS Mincho" w:hAnsi="Arial" w:cs="Arial"/>
          <w:b/>
          <w:sz w:val="24"/>
          <w:szCs w:val="24"/>
          <w:lang w:eastAsia="en-US"/>
        </w:rPr>
        <w:t>iscussion on LS to RAN1</w:t>
      </w:r>
    </w:p>
    <w:p w14:paraId="43182B7F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11498FD1" w14:textId="77777777" w:rsidR="00B96AF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57238921" w14:textId="2D21D6C0" w:rsidR="00F256B2" w:rsidRDefault="00F256B2" w:rsidP="00A928CA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In last meeting, another LS</w:t>
      </w:r>
      <w:r w:rsidR="00BA2F2D">
        <w:rPr>
          <w:rFonts w:ascii="Times New Roman" w:hAnsi="Times New Roman"/>
          <w:sz w:val="20"/>
        </w:rPr>
        <w:t>[1]</w:t>
      </w:r>
      <w:r>
        <w:rPr>
          <w:rFonts w:ascii="Times New Roman" w:hAnsi="Times New Roman"/>
          <w:sz w:val="20"/>
        </w:rPr>
        <w:t xml:space="preserve"> from RAN1 is sent to RAN4 to </w:t>
      </w:r>
      <w:r w:rsidRPr="00F256B2">
        <w:rPr>
          <w:rFonts w:ascii="Times New Roman" w:hAnsi="Times New Roman"/>
          <w:sz w:val="20"/>
        </w:rPr>
        <w:t>asks RAN4 to provide feedback on the agreements and working assumption</w:t>
      </w:r>
      <w:r w:rsidR="00004218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 xml:space="preserve"> In this contribution, we focus on the discussion of LS feedback to RAN1.</w:t>
      </w:r>
    </w:p>
    <w:p w14:paraId="13BF4984" w14:textId="6CDCE374" w:rsidR="00B96AF4" w:rsidRDefault="00000000" w:rsidP="00A928C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304277AB" w14:textId="1B204777" w:rsidR="00EB15D3" w:rsidRDefault="00EB15D3" w:rsidP="00EE5CFA">
      <w:pPr>
        <w:pStyle w:val="Heading2"/>
      </w:pPr>
      <w:r w:rsidRPr="00EB15D3">
        <w:t xml:space="preserve">2.1 </w:t>
      </w:r>
      <w:r w:rsidR="001E10F1">
        <w:t xml:space="preserve">co-site gNB-gNB adjacent channel CLI </w:t>
      </w:r>
      <w:r w:rsidR="009F7C7C">
        <w:t>(Agreement-3)</w:t>
      </w:r>
    </w:p>
    <w:p w14:paraId="6B48E081" w14:textId="2D9C3786" w:rsidR="005E7BCC" w:rsidRDefault="00EB29CF" w:rsidP="006E5816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the agreement-3, RAN1 assume interference include the total interference from 3 sectors. The typical deployment assumption is that two operators using adjacent channels will be deployed up and down on the same pole. for </w:t>
      </w:r>
      <w:r w:rsidR="00D34B7F">
        <w:rPr>
          <w:rFonts w:ascii="Times New Roman" w:hAnsi="Times New Roman"/>
          <w:sz w:val="20"/>
          <w:szCs w:val="20"/>
        </w:rPr>
        <w:t>each</w:t>
      </w:r>
      <w:r>
        <w:rPr>
          <w:rFonts w:ascii="Times New Roman" w:hAnsi="Times New Roman"/>
          <w:sz w:val="20"/>
          <w:szCs w:val="20"/>
        </w:rPr>
        <w:t xml:space="preserve"> operator, the adjacent channel interference are </w:t>
      </w:r>
      <w:r w:rsidR="00A45336">
        <w:rPr>
          <w:rFonts w:ascii="Times New Roman" w:hAnsi="Times New Roman"/>
          <w:sz w:val="20"/>
          <w:szCs w:val="20"/>
        </w:rPr>
        <w:t xml:space="preserve">the sum interference </w:t>
      </w:r>
      <w:r>
        <w:rPr>
          <w:rFonts w:ascii="Times New Roman" w:hAnsi="Times New Roman"/>
          <w:sz w:val="20"/>
          <w:szCs w:val="20"/>
        </w:rPr>
        <w:t xml:space="preserve">from all three sectors </w:t>
      </w:r>
      <w:r w:rsidR="00A45336">
        <w:rPr>
          <w:rFonts w:ascii="Times New Roman" w:hAnsi="Times New Roman" w:hint="eastAsia"/>
          <w:sz w:val="20"/>
          <w:szCs w:val="20"/>
        </w:rPr>
        <w:t>of</w:t>
      </w:r>
      <w:r>
        <w:rPr>
          <w:rFonts w:ascii="Times New Roman" w:hAnsi="Times New Roman"/>
          <w:sz w:val="20"/>
          <w:szCs w:val="20"/>
        </w:rPr>
        <w:t xml:space="preserve"> </w:t>
      </w:r>
      <w:r w:rsidR="00A45336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/>
          <w:sz w:val="20"/>
          <w:szCs w:val="20"/>
        </w:rPr>
        <w:t xml:space="preserve">other operator. </w:t>
      </w:r>
    </w:p>
    <w:p w14:paraId="41ED63B7" w14:textId="412CB5D7" w:rsidR="00571074" w:rsidRDefault="00BE5AB5" w:rsidP="006E5816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During commercial deployment, there </w:t>
      </w:r>
      <w:r w:rsidR="00D34B7F">
        <w:rPr>
          <w:rFonts w:ascii="Times New Roman" w:hAnsi="Times New Roman"/>
          <w:sz w:val="20"/>
          <w:szCs w:val="20"/>
        </w:rPr>
        <w:t>are</w:t>
      </w:r>
      <w:r>
        <w:rPr>
          <w:rFonts w:ascii="Times New Roman" w:hAnsi="Times New Roman"/>
          <w:sz w:val="20"/>
          <w:szCs w:val="20"/>
        </w:rPr>
        <w:t xml:space="preserve"> </w:t>
      </w:r>
      <w:r w:rsidR="005E7BCC">
        <w:rPr>
          <w:rFonts w:ascii="Times New Roman" w:hAnsi="Times New Roman"/>
          <w:sz w:val="20"/>
          <w:szCs w:val="20"/>
        </w:rPr>
        <w:t>certain</w:t>
      </w:r>
      <w:r>
        <w:rPr>
          <w:rFonts w:ascii="Times New Roman" w:hAnsi="Times New Roman"/>
          <w:sz w:val="20"/>
          <w:szCs w:val="20"/>
        </w:rPr>
        <w:t xml:space="preserve"> </w:t>
      </w:r>
      <w:r w:rsidR="005E7BCC">
        <w:rPr>
          <w:rFonts w:ascii="Times New Roman" w:hAnsi="Times New Roman"/>
          <w:sz w:val="20"/>
          <w:szCs w:val="20"/>
        </w:rPr>
        <w:t xml:space="preserve">vertical </w:t>
      </w:r>
      <w:r>
        <w:rPr>
          <w:rFonts w:ascii="Times New Roman" w:hAnsi="Times New Roman"/>
          <w:sz w:val="20"/>
          <w:szCs w:val="20"/>
        </w:rPr>
        <w:t xml:space="preserve">isolation </w:t>
      </w:r>
      <w:r w:rsidR="005E7BCC">
        <w:rPr>
          <w:rFonts w:ascii="Times New Roman" w:hAnsi="Times New Roman"/>
          <w:sz w:val="20"/>
          <w:szCs w:val="20"/>
        </w:rPr>
        <w:t xml:space="preserve">distance </w:t>
      </w:r>
      <w:r>
        <w:rPr>
          <w:rFonts w:ascii="Times New Roman" w:hAnsi="Times New Roman"/>
          <w:sz w:val="20"/>
          <w:szCs w:val="20"/>
        </w:rPr>
        <w:t>between different operators</w:t>
      </w:r>
      <w:r w:rsidR="005E7BCC">
        <w:rPr>
          <w:rFonts w:ascii="Times New Roman" w:hAnsi="Times New Roman"/>
          <w:sz w:val="20"/>
          <w:szCs w:val="20"/>
        </w:rPr>
        <w:t>’ antenna when mounted on the same pole</w:t>
      </w:r>
      <w:r w:rsidR="00D34B7F">
        <w:rPr>
          <w:rFonts w:ascii="Times New Roman" w:hAnsi="Times New Roman"/>
          <w:sz w:val="20"/>
          <w:szCs w:val="20"/>
        </w:rPr>
        <w:t>. detailed isolation distance is related to several factors, e.g. waveform length, pole height and pole type</w:t>
      </w:r>
      <w:r>
        <w:rPr>
          <w:rFonts w:ascii="Times New Roman" w:hAnsi="Times New Roman"/>
          <w:sz w:val="20"/>
          <w:szCs w:val="20"/>
        </w:rPr>
        <w:t xml:space="preserve">. </w:t>
      </w:r>
      <w:r w:rsidR="00D34B7F">
        <w:rPr>
          <w:rFonts w:ascii="Times New Roman" w:hAnsi="Times New Roman"/>
          <w:sz w:val="20"/>
          <w:szCs w:val="20"/>
        </w:rPr>
        <w:t xml:space="preserve">Usually, the distance is larger than 3m. </w:t>
      </w:r>
    </w:p>
    <w:p w14:paraId="09F68F43" w14:textId="081E455F" w:rsidR="00BE5AB5" w:rsidRDefault="00571074" w:rsidP="006E5816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58526A">
        <w:rPr>
          <w:rFonts w:ascii="Times New Roman" w:hAnsi="Times New Roman"/>
          <w:b/>
          <w:bCs/>
          <w:sz w:val="20"/>
          <w:szCs w:val="20"/>
        </w:rPr>
        <w:t xml:space="preserve">Observation 1: usually in commercial network, </w:t>
      </w:r>
      <w:r w:rsidR="0058526A">
        <w:rPr>
          <w:rFonts w:ascii="Times New Roman" w:hAnsi="Times New Roman"/>
          <w:b/>
          <w:bCs/>
          <w:sz w:val="20"/>
          <w:szCs w:val="20"/>
        </w:rPr>
        <w:t xml:space="preserve">vertical </w:t>
      </w:r>
      <w:r w:rsidRPr="0058526A">
        <w:rPr>
          <w:rFonts w:ascii="Times New Roman" w:hAnsi="Times New Roman"/>
          <w:b/>
          <w:bCs/>
          <w:sz w:val="20"/>
          <w:szCs w:val="20"/>
        </w:rPr>
        <w:t>isolation distance is larger than 3m between two operators</w:t>
      </w:r>
      <w:r w:rsidR="005E7BCC">
        <w:rPr>
          <w:rFonts w:ascii="Times New Roman" w:hAnsi="Times New Roman"/>
          <w:b/>
          <w:bCs/>
          <w:sz w:val="20"/>
          <w:szCs w:val="20"/>
        </w:rPr>
        <w:t>’</w:t>
      </w:r>
      <w:r w:rsidRPr="0058526A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5E7BCC">
        <w:rPr>
          <w:rFonts w:ascii="Times New Roman" w:hAnsi="Times New Roman"/>
          <w:b/>
          <w:bCs/>
          <w:sz w:val="20"/>
          <w:szCs w:val="20"/>
        </w:rPr>
        <w:t xml:space="preserve">antenna array </w:t>
      </w:r>
      <w:r w:rsidR="0058526A">
        <w:rPr>
          <w:rFonts w:ascii="Times New Roman" w:hAnsi="Times New Roman"/>
          <w:b/>
          <w:bCs/>
          <w:sz w:val="20"/>
          <w:szCs w:val="20"/>
        </w:rPr>
        <w:t xml:space="preserve">when </w:t>
      </w:r>
      <w:r w:rsidR="005E7BCC">
        <w:rPr>
          <w:rFonts w:ascii="Times New Roman" w:hAnsi="Times New Roman"/>
          <w:b/>
          <w:bCs/>
          <w:sz w:val="20"/>
          <w:szCs w:val="20"/>
        </w:rPr>
        <w:t>mounted</w:t>
      </w:r>
      <w:r w:rsidR="0058526A">
        <w:rPr>
          <w:rFonts w:ascii="Times New Roman" w:hAnsi="Times New Roman"/>
          <w:b/>
          <w:bCs/>
          <w:sz w:val="20"/>
          <w:szCs w:val="20"/>
        </w:rPr>
        <w:t xml:space="preserve"> on the same pole</w:t>
      </w:r>
      <w:r w:rsidRPr="0058526A">
        <w:rPr>
          <w:rFonts w:ascii="Times New Roman" w:hAnsi="Times New Roman"/>
          <w:b/>
          <w:bCs/>
          <w:sz w:val="20"/>
          <w:szCs w:val="20"/>
        </w:rPr>
        <w:t>.</w:t>
      </w:r>
      <w:r w:rsidR="00D34B7F" w:rsidRPr="0058526A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0C580FE7" w14:textId="4C46A712" w:rsidR="00095BCD" w:rsidRDefault="000F6CD5" w:rsidP="000F6CD5">
      <w:pPr>
        <w:spacing w:after="180"/>
        <w:jc w:val="center"/>
      </w:pPr>
      <w:r>
        <w:object w:dxaOrig="10940" w:dyaOrig="6530" w14:anchorId="657B1E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6.5pt;height:219pt" o:ole="">
            <v:imagedata r:id="rId9" o:title=""/>
          </v:shape>
          <o:OLEObject Type="Embed" ProgID="Visio.Drawing.11" ShapeID="_x0000_i1025" DrawAspect="Content" ObjectID="_1742384674" r:id="rId10"/>
        </w:object>
      </w:r>
    </w:p>
    <w:p w14:paraId="2D5FE13A" w14:textId="26FE18A1" w:rsidR="00095BCD" w:rsidRDefault="00095BCD" w:rsidP="00095BCD">
      <w:pPr>
        <w:spacing w:after="180"/>
        <w:jc w:val="center"/>
        <w:rPr>
          <w:rFonts w:ascii="Times New Roman" w:hAnsi="Times New Roman"/>
          <w:b/>
          <w:bCs/>
          <w:sz w:val="20"/>
          <w:szCs w:val="20"/>
        </w:rPr>
      </w:pPr>
      <w:r w:rsidRPr="00493B25">
        <w:rPr>
          <w:noProof/>
        </w:rPr>
        <w:drawing>
          <wp:inline distT="0" distB="0" distL="0" distR="0" wp14:anchorId="7D03A68F" wp14:editId="1019C67F">
            <wp:extent cx="2426277" cy="2064146"/>
            <wp:effectExtent l="19050" t="0" r="0" b="0"/>
            <wp:docPr id="1" name="Picture 1" descr="AA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AA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5209" cy="2063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030CE" w14:textId="1624F417" w:rsidR="002E747B" w:rsidRDefault="00095BCD" w:rsidP="006E5816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LTE era, we did some antenna isolation testing for band 3 and band 39. Above fig show the detailed location relationship between the antennas under testing. </w:t>
      </w:r>
      <w:r w:rsidR="00474CC5">
        <w:rPr>
          <w:rFonts w:ascii="Times New Roman" w:hAnsi="Times New Roman"/>
          <w:sz w:val="20"/>
          <w:szCs w:val="20"/>
        </w:rPr>
        <w:t xml:space="preserve">Deployment case I, II and II are much like the scenario for </w:t>
      </w:r>
      <w:r w:rsidR="00E6024A">
        <w:rPr>
          <w:rFonts w:ascii="Times New Roman" w:hAnsi="Times New Roman"/>
          <w:sz w:val="20"/>
          <w:szCs w:val="20"/>
        </w:rPr>
        <w:t xml:space="preserve">intra-operator </w:t>
      </w:r>
      <w:r w:rsidR="00474CC5">
        <w:rPr>
          <w:rFonts w:ascii="Times New Roman" w:hAnsi="Times New Roman"/>
          <w:sz w:val="20"/>
          <w:szCs w:val="20"/>
        </w:rPr>
        <w:t>co-channel inter-sector case</w:t>
      </w:r>
      <w:r w:rsidR="00E6024A">
        <w:rPr>
          <w:rFonts w:ascii="Times New Roman" w:hAnsi="Times New Roman"/>
          <w:sz w:val="20"/>
          <w:szCs w:val="20"/>
        </w:rPr>
        <w:t xml:space="preserve"> </w:t>
      </w:r>
      <w:r w:rsidR="00254D13">
        <w:rPr>
          <w:rFonts w:ascii="Times New Roman" w:hAnsi="Times New Roman"/>
          <w:sz w:val="20"/>
          <w:szCs w:val="20"/>
        </w:rPr>
        <w:t>where all</w:t>
      </w:r>
      <w:r w:rsidR="00E6024A">
        <w:rPr>
          <w:rFonts w:ascii="Times New Roman" w:hAnsi="Times New Roman"/>
          <w:sz w:val="20"/>
          <w:szCs w:val="20"/>
        </w:rPr>
        <w:t xml:space="preserve"> antennas </w:t>
      </w:r>
      <w:r w:rsidR="00254D13">
        <w:rPr>
          <w:rFonts w:ascii="Times New Roman" w:hAnsi="Times New Roman"/>
          <w:sz w:val="20"/>
          <w:szCs w:val="20"/>
        </w:rPr>
        <w:t xml:space="preserve">are </w:t>
      </w:r>
      <w:r w:rsidR="00E6024A">
        <w:rPr>
          <w:rFonts w:ascii="Times New Roman" w:hAnsi="Times New Roman"/>
          <w:sz w:val="20"/>
          <w:szCs w:val="20"/>
        </w:rPr>
        <w:t xml:space="preserve">in the same horizontal </w:t>
      </w:r>
      <w:r w:rsidR="00254D13">
        <w:rPr>
          <w:rFonts w:ascii="Times New Roman" w:hAnsi="Times New Roman"/>
          <w:sz w:val="20"/>
          <w:szCs w:val="20"/>
        </w:rPr>
        <w:t>plane</w:t>
      </w:r>
      <w:r w:rsidR="00474CC5">
        <w:rPr>
          <w:rFonts w:ascii="Times New Roman" w:hAnsi="Times New Roman"/>
          <w:sz w:val="20"/>
          <w:szCs w:val="20"/>
        </w:rPr>
        <w:t xml:space="preserve">. </w:t>
      </w:r>
      <w:r w:rsidR="00782D55">
        <w:rPr>
          <w:rFonts w:ascii="Times New Roman" w:hAnsi="Times New Roman"/>
          <w:sz w:val="20"/>
          <w:szCs w:val="20"/>
        </w:rPr>
        <w:t>C</w:t>
      </w:r>
      <w:r w:rsidR="00474CC5">
        <w:rPr>
          <w:rFonts w:ascii="Times New Roman" w:hAnsi="Times New Roman"/>
          <w:sz w:val="20"/>
          <w:szCs w:val="20"/>
        </w:rPr>
        <w:t xml:space="preserve">ase V and VI are much like the scenario for </w:t>
      </w:r>
      <w:r w:rsidR="00254D13">
        <w:rPr>
          <w:rFonts w:ascii="Times New Roman" w:hAnsi="Times New Roman"/>
          <w:sz w:val="20"/>
          <w:szCs w:val="20"/>
        </w:rPr>
        <w:t xml:space="preserve">inter-operator </w:t>
      </w:r>
      <w:r w:rsidR="00474CC5">
        <w:rPr>
          <w:rFonts w:ascii="Times New Roman" w:hAnsi="Times New Roman"/>
          <w:sz w:val="20"/>
          <w:szCs w:val="20"/>
        </w:rPr>
        <w:t xml:space="preserve">adjacent channel </w:t>
      </w:r>
      <w:r w:rsidR="00254D13">
        <w:rPr>
          <w:rFonts w:ascii="Times New Roman" w:hAnsi="Times New Roman"/>
          <w:sz w:val="20"/>
          <w:szCs w:val="20"/>
        </w:rPr>
        <w:t xml:space="preserve">co-site </w:t>
      </w:r>
      <w:r w:rsidR="00474CC5">
        <w:rPr>
          <w:rFonts w:ascii="Times New Roman" w:hAnsi="Times New Roman"/>
          <w:sz w:val="20"/>
          <w:szCs w:val="20"/>
        </w:rPr>
        <w:t>case</w:t>
      </w:r>
      <w:r w:rsidR="00254D13">
        <w:rPr>
          <w:rFonts w:ascii="Times New Roman" w:hAnsi="Times New Roman"/>
          <w:sz w:val="20"/>
          <w:szCs w:val="20"/>
        </w:rPr>
        <w:t xml:space="preserve"> where all antennas are not in the same h</w:t>
      </w:r>
      <w:r w:rsidR="00254D13" w:rsidRPr="00782D55">
        <w:rPr>
          <w:rFonts w:ascii="Times New Roman" w:hAnsi="Times New Roman"/>
          <w:sz w:val="20"/>
          <w:szCs w:val="20"/>
        </w:rPr>
        <w:t>orizontal plane</w:t>
      </w:r>
      <w:r w:rsidR="00474CC5" w:rsidRPr="00782D55">
        <w:rPr>
          <w:rFonts w:ascii="Times New Roman" w:hAnsi="Times New Roman"/>
          <w:sz w:val="20"/>
          <w:szCs w:val="20"/>
        </w:rPr>
        <w:t xml:space="preserve">. the </w:t>
      </w:r>
      <w:r w:rsidR="00782D55">
        <w:rPr>
          <w:rFonts w:ascii="Times New Roman" w:hAnsi="Times New Roman"/>
          <w:sz w:val="20"/>
          <w:szCs w:val="20"/>
        </w:rPr>
        <w:t>CL</w:t>
      </w:r>
      <w:r w:rsidR="00474CC5" w:rsidRPr="00782D55">
        <w:rPr>
          <w:rFonts w:ascii="Times New Roman" w:hAnsi="Times New Roman"/>
          <w:sz w:val="20"/>
          <w:szCs w:val="20"/>
        </w:rPr>
        <w:t xml:space="preserve"> with different </w:t>
      </w:r>
      <w:r w:rsidR="00782D55">
        <w:rPr>
          <w:rFonts w:ascii="Times New Roman" w:hAnsi="Times New Roman"/>
          <w:sz w:val="20"/>
          <w:szCs w:val="20"/>
        </w:rPr>
        <w:t xml:space="preserve">antenna </w:t>
      </w:r>
      <w:r w:rsidR="00474CC5" w:rsidRPr="00782D55">
        <w:rPr>
          <w:rFonts w:ascii="Times New Roman" w:hAnsi="Times New Roman"/>
          <w:sz w:val="20"/>
          <w:szCs w:val="20"/>
        </w:rPr>
        <w:t>isolation distance are listed as in following table. Noted, such value is for LTE antenna.</w:t>
      </w:r>
      <w:r w:rsidR="008E3F96" w:rsidRPr="00782D55">
        <w:rPr>
          <w:rFonts w:ascii="Times New Roman" w:hAnsi="Times New Roman"/>
          <w:sz w:val="20"/>
          <w:szCs w:val="20"/>
        </w:rPr>
        <w:t xml:space="preserve"> </w:t>
      </w:r>
      <w:r w:rsidR="000F6CD5" w:rsidRPr="00782D55">
        <w:rPr>
          <w:rFonts w:ascii="Times New Roman" w:hAnsi="Times New Roman" w:hint="eastAsia"/>
          <w:sz w:val="20"/>
          <w:szCs w:val="20"/>
        </w:rPr>
        <w:t>w</w:t>
      </w:r>
      <w:r w:rsidR="000F6CD5" w:rsidRPr="00782D55">
        <w:rPr>
          <w:rFonts w:ascii="Times New Roman" w:hAnsi="Times New Roman"/>
          <w:sz w:val="20"/>
          <w:szCs w:val="20"/>
        </w:rPr>
        <w:t>e only use this same</w:t>
      </w:r>
      <w:r w:rsidR="008E3F96" w:rsidRPr="00782D55">
        <w:rPr>
          <w:rFonts w:ascii="Times New Roman" w:hAnsi="Times New Roman"/>
          <w:sz w:val="20"/>
          <w:szCs w:val="20"/>
        </w:rPr>
        <w:t xml:space="preserve"> principle</w:t>
      </w:r>
      <w:r w:rsidR="000F6CD5" w:rsidRPr="00782D55">
        <w:rPr>
          <w:rFonts w:ascii="Times New Roman" w:hAnsi="Times New Roman"/>
          <w:sz w:val="20"/>
          <w:szCs w:val="20"/>
        </w:rPr>
        <w:t>/logic</w:t>
      </w:r>
      <w:r w:rsidR="008E3F96" w:rsidRPr="00782D55">
        <w:rPr>
          <w:rFonts w:ascii="Times New Roman" w:hAnsi="Times New Roman"/>
          <w:sz w:val="20"/>
          <w:szCs w:val="20"/>
        </w:rPr>
        <w:t xml:space="preserve"> to help modeling the inter-operator inter-sector case.</w:t>
      </w:r>
    </w:p>
    <w:tbl>
      <w:tblPr>
        <w:tblW w:w="4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1"/>
        <w:gridCol w:w="1081"/>
        <w:gridCol w:w="1081"/>
        <w:gridCol w:w="1083"/>
        <w:gridCol w:w="1083"/>
        <w:gridCol w:w="1083"/>
        <w:gridCol w:w="1083"/>
        <w:gridCol w:w="1076"/>
      </w:tblGrid>
      <w:tr w:rsidR="00493B25" w:rsidRPr="00493B25" w14:paraId="5BEEF907" w14:textId="62384A84" w:rsidTr="00493B25">
        <w:trPr>
          <w:trHeight w:val="567"/>
          <w:jc w:val="center"/>
        </w:trPr>
        <w:tc>
          <w:tcPr>
            <w:tcW w:w="624" w:type="pct"/>
            <w:shd w:val="clear" w:color="000000" w:fill="DBE5F1"/>
            <w:noWrap/>
            <w:vAlign w:val="center"/>
          </w:tcPr>
          <w:p w14:paraId="25A249CD" w14:textId="77777777" w:rsidR="00493B25" w:rsidRDefault="000F6CD5" w:rsidP="00493B25">
            <w:pPr>
              <w:jc w:val="center"/>
              <w:rPr>
                <w:rFonts w:ascii="Times New Roman" w:hAnsi="宋体"/>
                <w:color w:val="000000"/>
                <w:sz w:val="22"/>
              </w:rPr>
            </w:pPr>
            <w:r>
              <w:rPr>
                <w:rFonts w:ascii="Times New Roman" w:hAnsi="宋体"/>
                <w:color w:val="000000"/>
                <w:sz w:val="22"/>
              </w:rPr>
              <w:t>Antenna isolation distance</w:t>
            </w:r>
          </w:p>
          <w:p w14:paraId="1C2B6E7D" w14:textId="301851E9" w:rsidR="00782D55" w:rsidRPr="00493B25" w:rsidRDefault="00782D55" w:rsidP="00493B2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宋体"/>
                <w:color w:val="000000"/>
                <w:sz w:val="22"/>
              </w:rPr>
              <w:t>Note: d1 for V, VI-1, VI-2</w:t>
            </w:r>
          </w:p>
        </w:tc>
        <w:tc>
          <w:tcPr>
            <w:tcW w:w="624" w:type="pct"/>
            <w:shd w:val="clear" w:color="000000" w:fill="DBE5F1"/>
            <w:noWrap/>
            <w:vAlign w:val="center"/>
          </w:tcPr>
          <w:p w14:paraId="493A6BB4" w14:textId="322F0066" w:rsidR="00493B25" w:rsidRPr="00493B25" w:rsidRDefault="00493B25" w:rsidP="00493B2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493B25">
              <w:rPr>
                <w:rFonts w:ascii="Times New Roman" w:hAnsi="宋体"/>
                <w:color w:val="000000"/>
                <w:sz w:val="22"/>
              </w:rPr>
              <w:t>I</w:t>
            </w:r>
          </w:p>
        </w:tc>
        <w:tc>
          <w:tcPr>
            <w:tcW w:w="625" w:type="pct"/>
            <w:shd w:val="clear" w:color="000000" w:fill="DBE5F1"/>
            <w:noWrap/>
            <w:vAlign w:val="center"/>
          </w:tcPr>
          <w:p w14:paraId="6142BE5E" w14:textId="502F0AD7" w:rsidR="00493B25" w:rsidRPr="00493B25" w:rsidRDefault="00493B25" w:rsidP="00493B2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493B25">
              <w:rPr>
                <w:rFonts w:ascii="Times New Roman" w:hAnsi="宋体"/>
                <w:color w:val="000000"/>
                <w:sz w:val="22"/>
              </w:rPr>
              <w:t>II</w:t>
            </w:r>
          </w:p>
        </w:tc>
        <w:tc>
          <w:tcPr>
            <w:tcW w:w="626" w:type="pct"/>
            <w:shd w:val="clear" w:color="000000" w:fill="DBE5F1"/>
            <w:noWrap/>
            <w:vAlign w:val="center"/>
          </w:tcPr>
          <w:p w14:paraId="588DFE27" w14:textId="37BFC661" w:rsidR="00493B25" w:rsidRPr="00493B25" w:rsidRDefault="00493B25" w:rsidP="00493B2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493B25">
              <w:rPr>
                <w:rFonts w:ascii="Times New Roman" w:hAnsi="宋体" w:hint="eastAsia"/>
                <w:color w:val="000000"/>
                <w:sz w:val="22"/>
              </w:rPr>
              <w:t>III</w:t>
            </w:r>
          </w:p>
        </w:tc>
        <w:tc>
          <w:tcPr>
            <w:tcW w:w="626" w:type="pct"/>
            <w:shd w:val="clear" w:color="000000" w:fill="DBE5F1"/>
            <w:noWrap/>
            <w:vAlign w:val="center"/>
          </w:tcPr>
          <w:p w14:paraId="5A5C0E7C" w14:textId="532A3CC5" w:rsidR="00493B25" w:rsidRPr="00493B25" w:rsidRDefault="00493B25" w:rsidP="00493B2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493B25">
              <w:rPr>
                <w:rFonts w:ascii="Times New Roman" w:hAnsi="宋体" w:hint="eastAsia"/>
                <w:color w:val="000000"/>
                <w:sz w:val="22"/>
              </w:rPr>
              <w:t>IV</w:t>
            </w:r>
          </w:p>
        </w:tc>
        <w:tc>
          <w:tcPr>
            <w:tcW w:w="626" w:type="pct"/>
            <w:shd w:val="clear" w:color="000000" w:fill="DBE5F1"/>
            <w:noWrap/>
            <w:vAlign w:val="center"/>
          </w:tcPr>
          <w:p w14:paraId="6F10C890" w14:textId="4B0B8A0A" w:rsidR="00493B25" w:rsidRDefault="00493B25" w:rsidP="00493B25">
            <w:pPr>
              <w:jc w:val="center"/>
              <w:rPr>
                <w:rFonts w:ascii="Times New Roman" w:hAnsi="宋体"/>
                <w:color w:val="000000"/>
                <w:sz w:val="22"/>
              </w:rPr>
            </w:pPr>
            <w:r w:rsidRPr="00493B25">
              <w:rPr>
                <w:rFonts w:ascii="Times New Roman" w:hAnsi="宋体" w:hint="eastAsia"/>
                <w:color w:val="000000"/>
                <w:sz w:val="22"/>
              </w:rPr>
              <w:t>V</w:t>
            </w:r>
          </w:p>
          <w:p w14:paraId="18A48F9A" w14:textId="7A6AE0DF" w:rsidR="002505BA" w:rsidRPr="00493B25" w:rsidRDefault="000F6CD5" w:rsidP="00493B2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d</w:t>
            </w:r>
            <w:r w:rsidR="002505BA">
              <w:rPr>
                <w:rFonts w:ascii="Times New Roman" w:hAnsi="Times New Roman"/>
                <w:color w:val="000000"/>
                <w:sz w:val="22"/>
              </w:rPr>
              <w:t>2=0m</w:t>
            </w:r>
          </w:p>
        </w:tc>
        <w:tc>
          <w:tcPr>
            <w:tcW w:w="626" w:type="pct"/>
            <w:shd w:val="clear" w:color="000000" w:fill="DBE5F1"/>
            <w:noWrap/>
            <w:vAlign w:val="center"/>
          </w:tcPr>
          <w:p w14:paraId="15A174EA" w14:textId="095859AD" w:rsidR="00493B25" w:rsidRDefault="00493B25" w:rsidP="00493B2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493B25">
              <w:rPr>
                <w:rFonts w:ascii="Times New Roman" w:hAnsi="宋体" w:hint="eastAsia"/>
                <w:color w:val="000000"/>
                <w:sz w:val="22"/>
              </w:rPr>
              <w:t>VI</w:t>
            </w:r>
            <w:r w:rsidRPr="00493B25">
              <w:rPr>
                <w:rFonts w:ascii="Times New Roman" w:hAnsi="Times New Roman"/>
                <w:color w:val="000000"/>
                <w:sz w:val="22"/>
              </w:rPr>
              <w:t>-</w:t>
            </w:r>
            <w:r w:rsidR="000F6CD5">
              <w:rPr>
                <w:rFonts w:ascii="Times New Roman" w:hAnsi="Times New Roman"/>
                <w:color w:val="000000"/>
                <w:sz w:val="22"/>
              </w:rPr>
              <w:t>1</w:t>
            </w:r>
          </w:p>
          <w:p w14:paraId="52CEA078" w14:textId="03D5F20A" w:rsidR="00493B25" w:rsidRPr="00493B25" w:rsidRDefault="000F6CD5" w:rsidP="00493B2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d</w:t>
            </w:r>
            <w:r w:rsidR="00493B25">
              <w:rPr>
                <w:rFonts w:ascii="Times New Roman" w:hAnsi="Times New Roman"/>
                <w:color w:val="000000"/>
                <w:sz w:val="22"/>
              </w:rPr>
              <w:t>2=1m</w:t>
            </w:r>
          </w:p>
        </w:tc>
        <w:tc>
          <w:tcPr>
            <w:tcW w:w="622" w:type="pct"/>
            <w:shd w:val="clear" w:color="000000" w:fill="DBE5F1"/>
            <w:vAlign w:val="center"/>
          </w:tcPr>
          <w:p w14:paraId="2226C40D" w14:textId="2A5629F0" w:rsidR="00493B25" w:rsidRDefault="00493B25" w:rsidP="00493B2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493B25">
              <w:rPr>
                <w:rFonts w:ascii="Times New Roman" w:hAnsi="宋体" w:hint="eastAsia"/>
                <w:color w:val="000000"/>
                <w:sz w:val="22"/>
              </w:rPr>
              <w:t>VI</w:t>
            </w:r>
            <w:r w:rsidRPr="00493B25">
              <w:rPr>
                <w:rFonts w:ascii="Times New Roman" w:hAnsi="Times New Roman"/>
                <w:color w:val="000000"/>
                <w:sz w:val="22"/>
              </w:rPr>
              <w:t>-</w:t>
            </w:r>
            <w:r w:rsidR="000F6CD5">
              <w:rPr>
                <w:rFonts w:ascii="Times New Roman" w:hAnsi="Times New Roman"/>
                <w:color w:val="000000"/>
                <w:sz w:val="22"/>
              </w:rPr>
              <w:t>2</w:t>
            </w:r>
          </w:p>
          <w:p w14:paraId="71EF5DA9" w14:textId="2B22A312" w:rsidR="00493B25" w:rsidRPr="00493B25" w:rsidRDefault="000F6CD5" w:rsidP="00493B25">
            <w:pPr>
              <w:jc w:val="center"/>
              <w:rPr>
                <w:rFonts w:ascii="Times New Roman" w:hAnsi="宋体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d</w:t>
            </w:r>
            <w:r w:rsidR="00493B25">
              <w:rPr>
                <w:rFonts w:ascii="Times New Roman" w:hAnsi="Times New Roman"/>
                <w:color w:val="000000"/>
                <w:sz w:val="22"/>
              </w:rPr>
              <w:t>2=2m</w:t>
            </w:r>
          </w:p>
        </w:tc>
      </w:tr>
      <w:tr w:rsidR="00493B25" w:rsidRPr="00493B25" w14:paraId="5A62FEA1" w14:textId="33CDB13E" w:rsidTr="00493B25">
        <w:trPr>
          <w:trHeight w:val="294"/>
          <w:jc w:val="center"/>
        </w:trPr>
        <w:tc>
          <w:tcPr>
            <w:tcW w:w="624" w:type="pct"/>
            <w:shd w:val="clear" w:color="000000" w:fill="DBE5F1"/>
            <w:noWrap/>
            <w:vAlign w:val="center"/>
          </w:tcPr>
          <w:p w14:paraId="79D46EC9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493B25">
              <w:rPr>
                <w:rFonts w:ascii="Times New Roman" w:hAnsi="Times New Roman"/>
                <w:color w:val="000000"/>
                <w:sz w:val="22"/>
              </w:rPr>
              <w:t>0.5m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65AB0EC7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49.8</w:t>
            </w:r>
          </w:p>
        </w:tc>
        <w:tc>
          <w:tcPr>
            <w:tcW w:w="625" w:type="pct"/>
            <w:shd w:val="clear" w:color="auto" w:fill="auto"/>
            <w:noWrap/>
            <w:vAlign w:val="center"/>
          </w:tcPr>
          <w:p w14:paraId="6E62C893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48.7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5EB598E6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48.3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77B7A62A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54.3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5B6E87B3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72.3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7CD6E02C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73.7</w:t>
            </w:r>
          </w:p>
        </w:tc>
        <w:tc>
          <w:tcPr>
            <w:tcW w:w="622" w:type="pct"/>
            <w:vAlign w:val="center"/>
          </w:tcPr>
          <w:p w14:paraId="33C7DBB3" w14:textId="4C3F0DDF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74</w:t>
            </w:r>
          </w:p>
        </w:tc>
      </w:tr>
      <w:tr w:rsidR="00493B25" w:rsidRPr="00493B25" w14:paraId="36119ACC" w14:textId="51579DB7" w:rsidTr="00493B25">
        <w:trPr>
          <w:trHeight w:val="294"/>
          <w:jc w:val="center"/>
        </w:trPr>
        <w:tc>
          <w:tcPr>
            <w:tcW w:w="624" w:type="pct"/>
            <w:shd w:val="clear" w:color="000000" w:fill="DBE5F1"/>
            <w:noWrap/>
            <w:vAlign w:val="center"/>
          </w:tcPr>
          <w:p w14:paraId="22CF5010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493B25">
              <w:rPr>
                <w:rFonts w:ascii="Times New Roman" w:hAnsi="Times New Roman"/>
                <w:color w:val="000000"/>
                <w:sz w:val="22"/>
              </w:rPr>
              <w:t>1m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063F4D08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55.4</w:t>
            </w:r>
          </w:p>
        </w:tc>
        <w:tc>
          <w:tcPr>
            <w:tcW w:w="625" w:type="pct"/>
            <w:shd w:val="clear" w:color="auto" w:fill="auto"/>
            <w:noWrap/>
            <w:vAlign w:val="center"/>
          </w:tcPr>
          <w:p w14:paraId="457AEFDE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58.1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1850E7D3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58.1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72DA4AC3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65.8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3B731520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74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5AA63A26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72.5</w:t>
            </w:r>
          </w:p>
        </w:tc>
        <w:tc>
          <w:tcPr>
            <w:tcW w:w="622" w:type="pct"/>
            <w:vAlign w:val="center"/>
          </w:tcPr>
          <w:p w14:paraId="71F690A4" w14:textId="2A04129C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75</w:t>
            </w:r>
          </w:p>
        </w:tc>
      </w:tr>
      <w:tr w:rsidR="00493B25" w:rsidRPr="00493B25" w14:paraId="7688EC2C" w14:textId="26A3227E" w:rsidTr="00493B25">
        <w:trPr>
          <w:trHeight w:val="294"/>
          <w:jc w:val="center"/>
        </w:trPr>
        <w:tc>
          <w:tcPr>
            <w:tcW w:w="624" w:type="pct"/>
            <w:shd w:val="clear" w:color="000000" w:fill="DBE5F1"/>
            <w:noWrap/>
            <w:vAlign w:val="center"/>
          </w:tcPr>
          <w:p w14:paraId="5C6C5987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493B25">
              <w:rPr>
                <w:rFonts w:ascii="Times New Roman" w:hAnsi="Times New Roman"/>
                <w:color w:val="000000"/>
                <w:sz w:val="22"/>
              </w:rPr>
              <w:t>2m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43B36C94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60.5</w:t>
            </w:r>
          </w:p>
        </w:tc>
        <w:tc>
          <w:tcPr>
            <w:tcW w:w="625" w:type="pct"/>
            <w:shd w:val="clear" w:color="auto" w:fill="auto"/>
            <w:noWrap/>
            <w:vAlign w:val="center"/>
          </w:tcPr>
          <w:p w14:paraId="5559501E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59.1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5E636D62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63.9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27682451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70.8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6145F77D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75.1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77B504E0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75.1</w:t>
            </w:r>
          </w:p>
        </w:tc>
        <w:tc>
          <w:tcPr>
            <w:tcW w:w="622" w:type="pct"/>
            <w:vAlign w:val="center"/>
          </w:tcPr>
          <w:p w14:paraId="7E64E328" w14:textId="794AA20A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74.9</w:t>
            </w:r>
          </w:p>
        </w:tc>
      </w:tr>
      <w:tr w:rsidR="00493B25" w:rsidRPr="00493B25" w14:paraId="14C975BA" w14:textId="4C895D24" w:rsidTr="00493B25">
        <w:trPr>
          <w:trHeight w:val="294"/>
          <w:jc w:val="center"/>
        </w:trPr>
        <w:tc>
          <w:tcPr>
            <w:tcW w:w="624" w:type="pct"/>
            <w:shd w:val="clear" w:color="000000" w:fill="DBE5F1"/>
            <w:noWrap/>
            <w:vAlign w:val="center"/>
          </w:tcPr>
          <w:p w14:paraId="7DD95C47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493B25">
              <w:rPr>
                <w:rFonts w:ascii="Times New Roman" w:hAnsi="Times New Roman"/>
                <w:color w:val="000000"/>
                <w:sz w:val="22"/>
              </w:rPr>
              <w:t>3m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16B5F938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62.2</w:t>
            </w:r>
          </w:p>
        </w:tc>
        <w:tc>
          <w:tcPr>
            <w:tcW w:w="625" w:type="pct"/>
            <w:shd w:val="clear" w:color="auto" w:fill="auto"/>
            <w:noWrap/>
            <w:vAlign w:val="center"/>
          </w:tcPr>
          <w:p w14:paraId="5E26A2B2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59.4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0B3C8034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60.6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2B0EEFD5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67.8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771386E8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NA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73D6DC2C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NA</w:t>
            </w:r>
          </w:p>
        </w:tc>
        <w:tc>
          <w:tcPr>
            <w:tcW w:w="622" w:type="pct"/>
            <w:vAlign w:val="center"/>
          </w:tcPr>
          <w:p w14:paraId="571DAFCD" w14:textId="3F3762C1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NA</w:t>
            </w:r>
          </w:p>
        </w:tc>
      </w:tr>
      <w:tr w:rsidR="00493B25" w:rsidRPr="00493B25" w14:paraId="251503F5" w14:textId="0CF4781D" w:rsidTr="00493B25">
        <w:trPr>
          <w:trHeight w:val="294"/>
          <w:jc w:val="center"/>
        </w:trPr>
        <w:tc>
          <w:tcPr>
            <w:tcW w:w="624" w:type="pct"/>
            <w:shd w:val="clear" w:color="000000" w:fill="DBE5F1"/>
            <w:noWrap/>
            <w:vAlign w:val="center"/>
          </w:tcPr>
          <w:p w14:paraId="0FB63039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493B25">
              <w:rPr>
                <w:rFonts w:ascii="Times New Roman" w:hAnsi="Times New Roman"/>
                <w:color w:val="000000"/>
                <w:sz w:val="22"/>
              </w:rPr>
              <w:lastRenderedPageBreak/>
              <w:t>4m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5B64B167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63.4</w:t>
            </w:r>
          </w:p>
        </w:tc>
        <w:tc>
          <w:tcPr>
            <w:tcW w:w="625" w:type="pct"/>
            <w:shd w:val="clear" w:color="auto" w:fill="auto"/>
            <w:noWrap/>
            <w:vAlign w:val="center"/>
          </w:tcPr>
          <w:p w14:paraId="40F6AD2F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60.2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525ECC13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62.1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19C7D33D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68.6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21FF98F0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NA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0515817B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NA</w:t>
            </w:r>
          </w:p>
        </w:tc>
        <w:tc>
          <w:tcPr>
            <w:tcW w:w="622" w:type="pct"/>
            <w:vAlign w:val="center"/>
          </w:tcPr>
          <w:p w14:paraId="5450B1C4" w14:textId="4AD4492C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NA</w:t>
            </w:r>
          </w:p>
        </w:tc>
      </w:tr>
      <w:tr w:rsidR="00493B25" w:rsidRPr="00493B25" w14:paraId="2E55621F" w14:textId="2754A6FD" w:rsidTr="00493B25">
        <w:trPr>
          <w:trHeight w:val="294"/>
          <w:jc w:val="center"/>
        </w:trPr>
        <w:tc>
          <w:tcPr>
            <w:tcW w:w="624" w:type="pct"/>
            <w:shd w:val="clear" w:color="000000" w:fill="DBE5F1"/>
            <w:noWrap/>
            <w:vAlign w:val="center"/>
          </w:tcPr>
          <w:p w14:paraId="3245914A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493B25">
              <w:rPr>
                <w:rFonts w:ascii="Times New Roman" w:hAnsi="Times New Roman"/>
                <w:color w:val="000000"/>
                <w:sz w:val="22"/>
              </w:rPr>
              <w:t>5m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31E3A212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61.1</w:t>
            </w:r>
          </w:p>
        </w:tc>
        <w:tc>
          <w:tcPr>
            <w:tcW w:w="625" w:type="pct"/>
            <w:shd w:val="clear" w:color="auto" w:fill="auto"/>
            <w:noWrap/>
            <w:vAlign w:val="center"/>
          </w:tcPr>
          <w:p w14:paraId="04CD4C62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55.9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52F7F5C9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63.2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0D9D03FA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68.2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5BAE4D22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75.9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3B044845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76.2</w:t>
            </w:r>
          </w:p>
        </w:tc>
        <w:tc>
          <w:tcPr>
            <w:tcW w:w="622" w:type="pct"/>
            <w:vAlign w:val="center"/>
          </w:tcPr>
          <w:p w14:paraId="151C4C10" w14:textId="4D080CA1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76.4</w:t>
            </w:r>
          </w:p>
        </w:tc>
      </w:tr>
      <w:tr w:rsidR="00493B25" w:rsidRPr="00493B25" w14:paraId="5D27BC6E" w14:textId="3E71515B" w:rsidTr="00493B25">
        <w:trPr>
          <w:trHeight w:val="313"/>
          <w:jc w:val="center"/>
        </w:trPr>
        <w:tc>
          <w:tcPr>
            <w:tcW w:w="624" w:type="pct"/>
            <w:shd w:val="clear" w:color="000000" w:fill="DBE5F1"/>
            <w:noWrap/>
            <w:vAlign w:val="center"/>
          </w:tcPr>
          <w:p w14:paraId="1CA21E0C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 w:rsidRPr="00493B25">
              <w:rPr>
                <w:rFonts w:ascii="Times New Roman" w:hAnsi="Times New Roman"/>
                <w:color w:val="000000"/>
                <w:sz w:val="22"/>
              </w:rPr>
              <w:t>10m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14:paraId="12678396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68.3</w:t>
            </w:r>
          </w:p>
        </w:tc>
        <w:tc>
          <w:tcPr>
            <w:tcW w:w="625" w:type="pct"/>
            <w:shd w:val="clear" w:color="auto" w:fill="auto"/>
            <w:noWrap/>
            <w:vAlign w:val="center"/>
          </w:tcPr>
          <w:p w14:paraId="282FC113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65.7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4B0EB67D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66.4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0E7BC948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72.3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3DE589E7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75.8</w:t>
            </w:r>
          </w:p>
        </w:tc>
        <w:tc>
          <w:tcPr>
            <w:tcW w:w="626" w:type="pct"/>
            <w:shd w:val="clear" w:color="auto" w:fill="auto"/>
            <w:noWrap/>
            <w:vAlign w:val="center"/>
          </w:tcPr>
          <w:p w14:paraId="4A05D777" w14:textId="77777777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75.9</w:t>
            </w:r>
          </w:p>
        </w:tc>
        <w:tc>
          <w:tcPr>
            <w:tcW w:w="622" w:type="pct"/>
            <w:vAlign w:val="center"/>
          </w:tcPr>
          <w:p w14:paraId="5CBF79F6" w14:textId="48D948B1" w:rsidR="00493B25" w:rsidRPr="00493B25" w:rsidRDefault="00493B25" w:rsidP="00493B25">
            <w:pPr>
              <w:jc w:val="center"/>
              <w:rPr>
                <w:rFonts w:ascii="Times New Roman" w:hAnsi="Times New Roman"/>
                <w:sz w:val="22"/>
              </w:rPr>
            </w:pPr>
            <w:r w:rsidRPr="00493B25">
              <w:rPr>
                <w:rFonts w:ascii="Times New Roman" w:hAnsi="Times New Roman"/>
                <w:sz w:val="22"/>
              </w:rPr>
              <w:t>76.6</w:t>
            </w:r>
          </w:p>
        </w:tc>
      </w:tr>
    </w:tbl>
    <w:p w14:paraId="3FB09F34" w14:textId="609A225B" w:rsidR="00B931C9" w:rsidRDefault="002505BA" w:rsidP="006E5816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When comparing deployment case V, V</w:t>
      </w:r>
      <w:r w:rsidR="001D5527"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z w:val="20"/>
          <w:szCs w:val="20"/>
        </w:rPr>
        <w:t>1 and V</w:t>
      </w:r>
      <w:r w:rsidR="001D5527"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z w:val="20"/>
          <w:szCs w:val="20"/>
        </w:rPr>
        <w:t xml:space="preserve">2, </w:t>
      </w:r>
      <w:r w:rsidR="000F6CD5">
        <w:rPr>
          <w:rFonts w:ascii="Times New Roman" w:hAnsi="Times New Roman"/>
          <w:sz w:val="20"/>
          <w:szCs w:val="20"/>
        </w:rPr>
        <w:t>testing results</w:t>
      </w:r>
      <w:r w:rsidR="001D5527">
        <w:rPr>
          <w:rFonts w:ascii="Times New Roman" w:hAnsi="Times New Roman"/>
          <w:sz w:val="20"/>
          <w:szCs w:val="20"/>
        </w:rPr>
        <w:t xml:space="preserve"> show</w:t>
      </w:r>
      <w:r>
        <w:rPr>
          <w:rFonts w:ascii="Times New Roman" w:hAnsi="Times New Roman"/>
          <w:sz w:val="20"/>
          <w:szCs w:val="20"/>
        </w:rPr>
        <w:t xml:space="preserve"> the impact of horizontal isolation distance is small</w:t>
      </w:r>
      <w:r w:rsidR="00E6024A">
        <w:rPr>
          <w:rFonts w:ascii="Times New Roman" w:hAnsi="Times New Roman"/>
          <w:sz w:val="20"/>
          <w:szCs w:val="20"/>
        </w:rPr>
        <w:t xml:space="preserve"> for inter-operator case</w:t>
      </w:r>
      <w:r>
        <w:rPr>
          <w:rFonts w:ascii="Times New Roman" w:hAnsi="Times New Roman"/>
          <w:sz w:val="20"/>
          <w:szCs w:val="20"/>
        </w:rPr>
        <w:t xml:space="preserve">, e.g. less than </w:t>
      </w:r>
      <w:r w:rsidR="00782D55">
        <w:rPr>
          <w:rFonts w:ascii="Times New Roman" w:hAnsi="Times New Roman"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 xml:space="preserve">dB </w:t>
      </w:r>
      <w:r w:rsidR="00782D55">
        <w:rPr>
          <w:rFonts w:ascii="Times New Roman" w:hAnsi="Times New Roman"/>
          <w:sz w:val="20"/>
          <w:szCs w:val="20"/>
        </w:rPr>
        <w:t>CL difference between 0m and</w:t>
      </w:r>
      <w:r>
        <w:rPr>
          <w:rFonts w:ascii="Times New Roman" w:hAnsi="Times New Roman"/>
          <w:sz w:val="20"/>
          <w:szCs w:val="20"/>
        </w:rPr>
        <w:t xml:space="preserve"> 2m horizontal distance.</w:t>
      </w:r>
      <w:r w:rsidR="001D5527">
        <w:rPr>
          <w:rFonts w:ascii="Times New Roman" w:hAnsi="Times New Roman"/>
          <w:sz w:val="20"/>
          <w:szCs w:val="20"/>
        </w:rPr>
        <w:t xml:space="preserve"> When comparing deployment case</w:t>
      </w:r>
      <w:r w:rsidR="000F6CD5">
        <w:rPr>
          <w:rFonts w:ascii="Times New Roman" w:hAnsi="Times New Roman"/>
          <w:sz w:val="20"/>
          <w:szCs w:val="20"/>
        </w:rPr>
        <w:t>s</w:t>
      </w:r>
      <w:r w:rsidR="001D5527">
        <w:rPr>
          <w:rFonts w:ascii="Times New Roman" w:hAnsi="Times New Roman"/>
          <w:sz w:val="20"/>
          <w:szCs w:val="20"/>
        </w:rPr>
        <w:t xml:space="preserve"> I with case</w:t>
      </w:r>
      <w:r w:rsidR="000F6CD5">
        <w:rPr>
          <w:rFonts w:ascii="Times New Roman" w:hAnsi="Times New Roman"/>
          <w:sz w:val="20"/>
          <w:szCs w:val="20"/>
        </w:rPr>
        <w:t>s</w:t>
      </w:r>
      <w:r w:rsidR="001D5527">
        <w:rPr>
          <w:rFonts w:ascii="Times New Roman" w:hAnsi="Times New Roman"/>
          <w:sz w:val="20"/>
          <w:szCs w:val="20"/>
        </w:rPr>
        <w:t xml:space="preserve"> V, testing results show that vertical isolation will contribute much more </w:t>
      </w:r>
      <w:r w:rsidR="000F6CD5">
        <w:rPr>
          <w:rFonts w:ascii="Times New Roman" w:hAnsi="Times New Roman"/>
          <w:sz w:val="20"/>
          <w:szCs w:val="20"/>
        </w:rPr>
        <w:t>CL</w:t>
      </w:r>
      <w:r w:rsidR="001D5527">
        <w:rPr>
          <w:rFonts w:ascii="Times New Roman" w:hAnsi="Times New Roman"/>
          <w:sz w:val="20"/>
          <w:szCs w:val="20"/>
        </w:rPr>
        <w:t xml:space="preserve"> but as the isolation distance enlarge, this </w:t>
      </w:r>
      <w:r w:rsidR="00782D55">
        <w:rPr>
          <w:rFonts w:ascii="Times New Roman" w:hAnsi="Times New Roman"/>
          <w:sz w:val="20"/>
          <w:szCs w:val="20"/>
        </w:rPr>
        <w:t xml:space="preserve">CL </w:t>
      </w:r>
      <w:r w:rsidR="000F6CD5">
        <w:rPr>
          <w:rFonts w:ascii="Times New Roman" w:hAnsi="Times New Roman"/>
          <w:sz w:val="20"/>
          <w:szCs w:val="20"/>
        </w:rPr>
        <w:t>difference narrows</w:t>
      </w:r>
      <w:r w:rsidR="001D5527">
        <w:rPr>
          <w:rFonts w:ascii="Times New Roman" w:hAnsi="Times New Roman"/>
          <w:sz w:val="20"/>
          <w:szCs w:val="20"/>
        </w:rPr>
        <w:t xml:space="preserve">. For example, when isolation </w:t>
      </w:r>
      <w:r w:rsidR="00B931C9">
        <w:rPr>
          <w:rFonts w:ascii="Times New Roman" w:hAnsi="Times New Roman"/>
          <w:sz w:val="20"/>
          <w:szCs w:val="20"/>
        </w:rPr>
        <w:t xml:space="preserve">distance </w:t>
      </w:r>
      <w:r w:rsidR="001D5527">
        <w:rPr>
          <w:rFonts w:ascii="Times New Roman" w:hAnsi="Times New Roman"/>
          <w:sz w:val="20"/>
          <w:szCs w:val="20"/>
        </w:rPr>
        <w:t xml:space="preserve">is </w:t>
      </w:r>
      <w:r w:rsidR="00B931C9">
        <w:rPr>
          <w:rFonts w:ascii="Times New Roman" w:hAnsi="Times New Roman"/>
          <w:sz w:val="20"/>
          <w:szCs w:val="20"/>
        </w:rPr>
        <w:t>0.5</w:t>
      </w:r>
      <w:r w:rsidR="001D5527">
        <w:rPr>
          <w:rFonts w:ascii="Times New Roman" w:hAnsi="Times New Roman"/>
          <w:sz w:val="20"/>
          <w:szCs w:val="20"/>
        </w:rPr>
        <w:t xml:space="preserve">m, the </w:t>
      </w:r>
      <w:r w:rsidR="000F6CD5">
        <w:rPr>
          <w:rFonts w:ascii="Times New Roman" w:hAnsi="Times New Roman"/>
          <w:sz w:val="20"/>
          <w:szCs w:val="20"/>
        </w:rPr>
        <w:t>CL</w:t>
      </w:r>
      <w:r w:rsidR="001D5527">
        <w:rPr>
          <w:rFonts w:ascii="Times New Roman" w:hAnsi="Times New Roman"/>
          <w:sz w:val="20"/>
          <w:szCs w:val="20"/>
        </w:rPr>
        <w:t xml:space="preserve"> d</w:t>
      </w:r>
      <w:r w:rsidR="00B931C9">
        <w:rPr>
          <w:rFonts w:ascii="Times New Roman" w:hAnsi="Times New Roman"/>
          <w:sz w:val="20"/>
          <w:szCs w:val="20"/>
        </w:rPr>
        <w:t>ifference</w:t>
      </w:r>
      <w:r w:rsidR="001D5527">
        <w:rPr>
          <w:rFonts w:ascii="Times New Roman" w:hAnsi="Times New Roman"/>
          <w:sz w:val="20"/>
          <w:szCs w:val="20"/>
        </w:rPr>
        <w:t xml:space="preserve"> caused by vertical and horizontal isolation is larger than </w:t>
      </w:r>
      <w:r w:rsidR="00B931C9">
        <w:rPr>
          <w:rFonts w:ascii="Times New Roman" w:hAnsi="Times New Roman"/>
          <w:sz w:val="20"/>
          <w:szCs w:val="20"/>
        </w:rPr>
        <w:t xml:space="preserve">20dB, but when isolation distance is </w:t>
      </w:r>
      <w:r w:rsidR="00782D55">
        <w:rPr>
          <w:rFonts w:ascii="Times New Roman" w:hAnsi="Times New Roman"/>
          <w:sz w:val="20"/>
          <w:szCs w:val="20"/>
        </w:rPr>
        <w:t>2</w:t>
      </w:r>
      <w:r w:rsidR="00B931C9">
        <w:rPr>
          <w:rFonts w:ascii="Times New Roman" w:hAnsi="Times New Roman"/>
          <w:sz w:val="20"/>
          <w:szCs w:val="20"/>
        </w:rPr>
        <w:t xml:space="preserve">m, the </w:t>
      </w:r>
      <w:r w:rsidR="000F6CD5">
        <w:rPr>
          <w:rFonts w:ascii="Times New Roman" w:hAnsi="Times New Roman"/>
          <w:sz w:val="20"/>
          <w:szCs w:val="20"/>
        </w:rPr>
        <w:t>CL</w:t>
      </w:r>
      <w:r w:rsidR="00782D55">
        <w:rPr>
          <w:rFonts w:ascii="Times New Roman" w:hAnsi="Times New Roman"/>
          <w:sz w:val="20"/>
          <w:szCs w:val="20"/>
        </w:rPr>
        <w:t xml:space="preserve"> </w:t>
      </w:r>
      <w:r w:rsidR="00B931C9">
        <w:rPr>
          <w:rFonts w:ascii="Times New Roman" w:hAnsi="Times New Roman"/>
          <w:sz w:val="20"/>
          <w:szCs w:val="20"/>
        </w:rPr>
        <w:t xml:space="preserve">difference is </w:t>
      </w:r>
      <w:r w:rsidR="00782D55">
        <w:rPr>
          <w:rFonts w:ascii="Times New Roman" w:hAnsi="Times New Roman"/>
          <w:sz w:val="20"/>
          <w:szCs w:val="20"/>
        </w:rPr>
        <w:t xml:space="preserve">about </w:t>
      </w:r>
      <w:r w:rsidR="00B931C9">
        <w:rPr>
          <w:rFonts w:ascii="Times New Roman" w:hAnsi="Times New Roman"/>
          <w:sz w:val="20"/>
          <w:szCs w:val="20"/>
        </w:rPr>
        <w:t>15dB. when the isolation distance is 10m, the isolation difference is less than 8dB.</w:t>
      </w:r>
    </w:p>
    <w:p w14:paraId="63A3CC12" w14:textId="3DC32F6D" w:rsidR="00B931C9" w:rsidRPr="00254D13" w:rsidRDefault="00B931C9" w:rsidP="006E5816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254D13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782D55">
        <w:rPr>
          <w:rFonts w:ascii="Times New Roman" w:hAnsi="Times New Roman"/>
          <w:b/>
          <w:bCs/>
          <w:sz w:val="20"/>
          <w:szCs w:val="20"/>
        </w:rPr>
        <w:t>2</w:t>
      </w:r>
      <w:r w:rsidRPr="00254D13">
        <w:rPr>
          <w:rFonts w:ascii="Times New Roman" w:hAnsi="Times New Roman"/>
          <w:b/>
          <w:bCs/>
          <w:sz w:val="20"/>
          <w:szCs w:val="20"/>
        </w:rPr>
        <w:t xml:space="preserve">: based on testing results, we have following observation about the relationship </w:t>
      </w:r>
      <w:r w:rsidR="00782D55">
        <w:rPr>
          <w:rFonts w:ascii="Times New Roman" w:hAnsi="Times New Roman"/>
          <w:b/>
          <w:bCs/>
          <w:sz w:val="20"/>
          <w:szCs w:val="20"/>
        </w:rPr>
        <w:t>between antenna isolation distance and CL.</w:t>
      </w:r>
    </w:p>
    <w:p w14:paraId="0993B6B0" w14:textId="77777777" w:rsidR="003F2BD6" w:rsidRDefault="00E6024A" w:rsidP="00E6024A">
      <w:pPr>
        <w:pStyle w:val="ListParagraph"/>
        <w:numPr>
          <w:ilvl w:val="0"/>
          <w:numId w:val="14"/>
        </w:numPr>
        <w:spacing w:after="180"/>
        <w:ind w:firstLineChars="0"/>
        <w:jc w:val="left"/>
        <w:rPr>
          <w:rFonts w:ascii="Times New Roman" w:hAnsi="Times New Roman"/>
          <w:b/>
          <w:bCs/>
          <w:sz w:val="20"/>
          <w:szCs w:val="20"/>
        </w:rPr>
      </w:pPr>
      <w:r w:rsidRPr="00254D13">
        <w:rPr>
          <w:rFonts w:ascii="Times New Roman" w:hAnsi="Times New Roman"/>
          <w:b/>
          <w:bCs/>
          <w:sz w:val="20"/>
          <w:szCs w:val="20"/>
        </w:rPr>
        <w:t xml:space="preserve">Compared with </w:t>
      </w:r>
      <w:r w:rsidR="00782D55">
        <w:rPr>
          <w:rFonts w:ascii="Times New Roman" w:hAnsi="Times New Roman"/>
          <w:b/>
          <w:bCs/>
          <w:sz w:val="20"/>
          <w:szCs w:val="20"/>
        </w:rPr>
        <w:t>horizontal isolation</w:t>
      </w:r>
      <w:r w:rsidRPr="00254D13">
        <w:rPr>
          <w:rFonts w:ascii="Times New Roman" w:hAnsi="Times New Roman"/>
          <w:b/>
          <w:bCs/>
          <w:sz w:val="20"/>
          <w:szCs w:val="20"/>
        </w:rPr>
        <w:t xml:space="preserve">, </w:t>
      </w:r>
      <w:r w:rsidR="00782D55">
        <w:rPr>
          <w:rFonts w:ascii="Times New Roman" w:hAnsi="Times New Roman"/>
          <w:b/>
          <w:bCs/>
          <w:sz w:val="20"/>
          <w:szCs w:val="20"/>
        </w:rPr>
        <w:t>vertical</w:t>
      </w:r>
      <w:r w:rsidRPr="00254D13">
        <w:rPr>
          <w:rFonts w:ascii="Times New Roman" w:hAnsi="Times New Roman"/>
          <w:b/>
          <w:bCs/>
          <w:sz w:val="20"/>
          <w:szCs w:val="20"/>
        </w:rPr>
        <w:t xml:space="preserve"> spatial isolation </w:t>
      </w:r>
      <w:r w:rsidR="00782D55">
        <w:rPr>
          <w:rFonts w:ascii="Times New Roman" w:hAnsi="Times New Roman"/>
          <w:b/>
          <w:bCs/>
          <w:sz w:val="20"/>
          <w:szCs w:val="20"/>
        </w:rPr>
        <w:t>almost dominant CL</w:t>
      </w:r>
    </w:p>
    <w:p w14:paraId="2DEC0DD4" w14:textId="19AA2D62" w:rsidR="00E6024A" w:rsidRPr="003F2BD6" w:rsidRDefault="00E6024A" w:rsidP="003F2BD6">
      <w:pPr>
        <w:pStyle w:val="ListParagraph"/>
        <w:numPr>
          <w:ilvl w:val="0"/>
          <w:numId w:val="14"/>
        </w:numPr>
        <w:spacing w:after="180"/>
        <w:ind w:firstLineChars="0"/>
        <w:jc w:val="left"/>
        <w:rPr>
          <w:rFonts w:ascii="Times New Roman" w:hAnsi="Times New Roman"/>
          <w:b/>
          <w:bCs/>
          <w:sz w:val="20"/>
          <w:szCs w:val="20"/>
        </w:rPr>
      </w:pPr>
      <w:r w:rsidRPr="00254D13">
        <w:rPr>
          <w:rFonts w:ascii="Times New Roman" w:hAnsi="Times New Roman"/>
          <w:b/>
          <w:bCs/>
          <w:sz w:val="20"/>
          <w:szCs w:val="20"/>
        </w:rPr>
        <w:t xml:space="preserve">besides, </w:t>
      </w:r>
      <w:r w:rsidR="003F2BD6">
        <w:rPr>
          <w:rFonts w:ascii="Times New Roman" w:hAnsi="Times New Roman"/>
          <w:b/>
          <w:bCs/>
          <w:sz w:val="20"/>
          <w:szCs w:val="20"/>
        </w:rPr>
        <w:t xml:space="preserve">such CL difference between horizontal and vertical isolation would narrow as isolation distance increases. </w:t>
      </w:r>
      <w:r w:rsidR="00782D55">
        <w:rPr>
          <w:rFonts w:ascii="Times New Roman" w:hAnsi="Times New Roman"/>
          <w:b/>
          <w:bCs/>
          <w:sz w:val="20"/>
          <w:szCs w:val="20"/>
        </w:rPr>
        <w:t xml:space="preserve">when isolation distance is large enough, </w:t>
      </w:r>
      <w:r w:rsidR="003F2BD6">
        <w:rPr>
          <w:rFonts w:ascii="Times New Roman" w:hAnsi="Times New Roman"/>
          <w:b/>
          <w:bCs/>
          <w:sz w:val="20"/>
          <w:szCs w:val="20"/>
        </w:rPr>
        <w:t xml:space="preserve">e.g. larger than 10m, </w:t>
      </w:r>
      <w:r w:rsidR="00782D55">
        <w:rPr>
          <w:rFonts w:ascii="Times New Roman" w:hAnsi="Times New Roman"/>
          <w:b/>
          <w:bCs/>
          <w:sz w:val="20"/>
          <w:szCs w:val="20"/>
        </w:rPr>
        <w:t xml:space="preserve">the CL difference </w:t>
      </w:r>
      <w:r w:rsidR="003F2BD6">
        <w:rPr>
          <w:rFonts w:ascii="Times New Roman" w:hAnsi="Times New Roman"/>
          <w:b/>
          <w:bCs/>
          <w:sz w:val="20"/>
          <w:szCs w:val="20"/>
        </w:rPr>
        <w:t>would almost disappear.</w:t>
      </w:r>
    </w:p>
    <w:p w14:paraId="3A1134B2" w14:textId="06E2895A" w:rsidR="00254D13" w:rsidRDefault="00254D13" w:rsidP="006B4C64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Based on above observation, it seems the interference from all three inter-operator sectors would be much similar, e.g. about 1dB </w:t>
      </w:r>
      <w:r w:rsidR="009C60C5">
        <w:rPr>
          <w:rFonts w:ascii="Times New Roman" w:hAnsi="Times New Roman"/>
          <w:sz w:val="20"/>
          <w:szCs w:val="20"/>
        </w:rPr>
        <w:t>compared with ~70 dB total CL</w:t>
      </w:r>
      <w:r>
        <w:rPr>
          <w:rFonts w:ascii="Times New Roman" w:hAnsi="Times New Roman"/>
          <w:sz w:val="20"/>
          <w:szCs w:val="20"/>
        </w:rPr>
        <w:t>.</w:t>
      </w:r>
      <w:r w:rsidR="003F2BD6">
        <w:rPr>
          <w:rFonts w:ascii="Times New Roman" w:hAnsi="Times New Roman"/>
          <w:sz w:val="20"/>
          <w:szCs w:val="20"/>
        </w:rPr>
        <w:t xml:space="preserve"> </w:t>
      </w:r>
    </w:p>
    <w:p w14:paraId="37A3DA41" w14:textId="7B8D8AEB" w:rsidR="00254D13" w:rsidRPr="00254D13" w:rsidRDefault="00254D13" w:rsidP="00254D13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254D13">
        <w:rPr>
          <w:rFonts w:ascii="Times New Roman" w:hAnsi="Times New Roman"/>
          <w:b/>
          <w:bCs/>
          <w:sz w:val="20"/>
          <w:szCs w:val="20"/>
        </w:rPr>
        <w:t xml:space="preserve">Proposal 1: all the interference from three </w:t>
      </w:r>
      <w:r>
        <w:rPr>
          <w:rFonts w:ascii="Times New Roman" w:hAnsi="Times New Roman"/>
          <w:b/>
          <w:bCs/>
          <w:sz w:val="20"/>
          <w:szCs w:val="20"/>
        </w:rPr>
        <w:t xml:space="preserve">different </w:t>
      </w:r>
      <w:r w:rsidRPr="00254D13">
        <w:rPr>
          <w:rFonts w:ascii="Times New Roman" w:hAnsi="Times New Roman"/>
          <w:b/>
          <w:bCs/>
          <w:sz w:val="20"/>
          <w:szCs w:val="20"/>
        </w:rPr>
        <w:t>inter-operator sectors could be assumed as the same.</w:t>
      </w:r>
      <w:r>
        <w:rPr>
          <w:rFonts w:ascii="Times New Roman" w:hAnsi="Times New Roman"/>
          <w:b/>
          <w:bCs/>
          <w:sz w:val="20"/>
          <w:szCs w:val="20"/>
        </w:rPr>
        <w:t xml:space="preserve"> i.e. </w:t>
      </w:r>
      <m:oMath>
        <m:sSubSup>
          <m:sSubSupPr>
            <m:ctrlPr>
              <w:rPr>
                <w:rFonts w:ascii="Cambria Math" w:hAnsi="Cambria Math" w:cs="Calibri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szCs w:val="21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Cs w:val="21"/>
              </w:rPr>
              <m:t>adj, co-site-</m:t>
            </m:r>
            <m:r>
              <w:rPr>
                <w:rFonts w:ascii="Cambria Math" w:hAnsi="Cambria Math" w:cs="Calibri"/>
                <w:szCs w:val="21"/>
              </w:rPr>
              <m:t>1</m:t>
            </m:r>
          </m:sub>
          <m:sup/>
        </m:sSubSup>
      </m:oMath>
      <w:r>
        <w:rPr>
          <w:rFonts w:ascii="Times New Roman" w:hAnsi="Times New Roman" w:hint="eastAsia"/>
          <w:szCs w:val="21"/>
        </w:rPr>
        <w:t>=</w:t>
      </w:r>
      <m:oMath>
        <m:sSubSup>
          <m:sSubSupPr>
            <m:ctrlPr>
              <w:rPr>
                <w:rFonts w:ascii="Cambria Math" w:hAnsi="Cambria Math" w:cs="Calibri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szCs w:val="21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Cs w:val="21"/>
              </w:rPr>
              <m:t>adj, co-site-</m:t>
            </m:r>
            <m:r>
              <w:rPr>
                <w:rFonts w:ascii="Cambria Math" w:hAnsi="Cambria Math" w:cs="Calibri"/>
                <w:szCs w:val="21"/>
              </w:rPr>
              <m:t>2</m:t>
            </m:r>
          </m:sub>
          <m:sup/>
        </m:sSubSup>
      </m:oMath>
      <w:r>
        <w:rPr>
          <w:rFonts w:ascii="Times New Roman" w:hAnsi="Times New Roman" w:hint="eastAsia"/>
          <w:szCs w:val="21"/>
        </w:rPr>
        <w:t>=</w:t>
      </w:r>
      <m:oMath>
        <m:sSubSup>
          <m:sSubSupPr>
            <m:ctrlPr>
              <w:rPr>
                <w:rFonts w:ascii="Cambria Math" w:hAnsi="Cambria Math" w:cs="Calibri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szCs w:val="21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Cs w:val="21"/>
              </w:rPr>
              <m:t>adj, co-site-</m:t>
            </m:r>
            <m:r>
              <w:rPr>
                <w:rFonts w:ascii="Cambria Math" w:hAnsi="Cambria Math" w:cs="Calibri"/>
                <w:szCs w:val="21"/>
              </w:rPr>
              <m:t>3</m:t>
            </m:r>
          </m:sub>
          <m:sup/>
        </m:sSubSup>
      </m:oMath>
    </w:p>
    <w:p w14:paraId="4649F82A" w14:textId="1EC24052" w:rsidR="00D02EEA" w:rsidRDefault="001F26C9" w:rsidP="006E5816">
      <w:pPr>
        <w:spacing w:after="180"/>
        <w:jc w:val="left"/>
        <w:rPr>
          <w:rFonts w:ascii="Times New Roman" w:hAnsi="Times New Roman"/>
          <w:iCs/>
          <w:szCs w:val="21"/>
        </w:rPr>
      </w:pPr>
      <w:r>
        <w:rPr>
          <w:rFonts w:ascii="Times New Roman" w:hAnsi="Times New Roman"/>
          <w:sz w:val="20"/>
          <w:szCs w:val="20"/>
        </w:rPr>
        <w:t xml:space="preserve">As for the definition of </w:t>
      </w:r>
      <m:oMath>
        <m:sSubSup>
          <m:sSubSupPr>
            <m:ctrlPr>
              <w:rPr>
                <w:rFonts w:ascii="Cambria Math" w:hAnsi="Cambria Math" w:cs="Calibri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szCs w:val="21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Cs w:val="21"/>
              </w:rPr>
              <m:t>adj,co-site-sector-</m:t>
            </m:r>
            <m:r>
              <w:rPr>
                <w:rFonts w:ascii="Cambria Math" w:hAnsi="Cambria Math" w:cs="Calibri"/>
                <w:szCs w:val="21"/>
              </w:rPr>
              <m:t>x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Cs w:val="21"/>
              </w:rPr>
              <m:t>per-RB</m:t>
            </m:r>
          </m:sup>
        </m:sSubSup>
      </m:oMath>
      <w:r>
        <w:rPr>
          <w:rFonts w:ascii="Times New Roman" w:hAnsi="Times New Roman" w:hint="eastAsia"/>
          <w:szCs w:val="21"/>
        </w:rPr>
        <w:t>,</w:t>
      </w:r>
      <w:r>
        <w:rPr>
          <w:rFonts w:ascii="Times New Roman" w:hAnsi="Times New Roman"/>
          <w:szCs w:val="21"/>
        </w:rPr>
        <w:t xml:space="preserve"> </w:t>
      </w:r>
      <w:r w:rsidR="005A3EE3">
        <w:rPr>
          <w:rFonts w:ascii="Times New Roman" w:hAnsi="Times New Roman"/>
          <w:szCs w:val="21"/>
        </w:rPr>
        <w:t xml:space="preserve">RAN1 divide </w:t>
      </w:r>
      <m:oMath>
        <m:sSubSup>
          <m:sSubSupPr>
            <m:ctrlPr>
              <w:rPr>
                <w:rFonts w:ascii="Cambria Math" w:hAnsi="Cambria Math" w:cs="Calibri"/>
                <w:i/>
                <w:iCs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szCs w:val="21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Cs w:val="21"/>
              </w:rPr>
              <m:t>DLRB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Cs w:val="21"/>
              </w:rPr>
              <m:t>adj</m:t>
            </m:r>
          </m:sup>
        </m:sSubSup>
      </m:oMath>
      <w:r w:rsidR="005A3EE3">
        <w:rPr>
          <w:rFonts w:ascii="Times New Roman" w:hAnsi="Times New Roman" w:hint="eastAsia"/>
          <w:iCs/>
          <w:szCs w:val="21"/>
        </w:rPr>
        <w:t xml:space="preserve"> </w:t>
      </w:r>
      <w:r w:rsidR="005A3EE3">
        <w:rPr>
          <w:rFonts w:ascii="Times New Roman" w:hAnsi="Times New Roman"/>
          <w:iCs/>
          <w:szCs w:val="21"/>
        </w:rPr>
        <w:t xml:space="preserve">to calculate per PRB interference based on the assumption that ACLR is the ACLR with same CBW between aggressor and victim. In previous meeting, RAN4 have following agreement.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02EEA" w:rsidRPr="00D02EEA" w14:paraId="0E0F51BF" w14:textId="77777777" w:rsidTr="00D02EEA">
        <w:tc>
          <w:tcPr>
            <w:tcW w:w="9736" w:type="dxa"/>
          </w:tcPr>
          <w:p w14:paraId="0DE74974" w14:textId="77777777" w:rsidR="00D02EEA" w:rsidRPr="00D02EEA" w:rsidRDefault="00D02EEA" w:rsidP="00D02EEA">
            <w:pPr>
              <w:pStyle w:val="a"/>
              <w:numPr>
                <w:ilvl w:val="0"/>
                <w:numId w:val="15"/>
              </w:numPr>
              <w:spacing w:after="120"/>
              <w:ind w:firstLineChars="0"/>
              <w:rPr>
                <w:sz w:val="21"/>
                <w:szCs w:val="21"/>
              </w:rPr>
            </w:pPr>
            <w:r w:rsidRPr="00D02EEA">
              <w:rPr>
                <w:sz w:val="21"/>
                <w:szCs w:val="21"/>
              </w:rPr>
              <w:t>when aggressor BW is narrower than victim, e.g. SBFD gNB -&gt; legacy TDD gNB</w:t>
            </w:r>
          </w:p>
          <w:p w14:paraId="7CF9A1F5" w14:textId="77777777" w:rsidR="00D02EEA" w:rsidRPr="00D02EEA" w:rsidRDefault="00D02EEA" w:rsidP="00D02EEA">
            <w:pPr>
              <w:pStyle w:val="a"/>
              <w:numPr>
                <w:ilvl w:val="2"/>
                <w:numId w:val="15"/>
              </w:numPr>
              <w:spacing w:after="120"/>
              <w:ind w:firstLineChars="0"/>
              <w:rPr>
                <w:sz w:val="21"/>
                <w:szCs w:val="21"/>
              </w:rPr>
            </w:pPr>
            <w:r w:rsidRPr="00D02EEA">
              <w:rPr>
                <w:sz w:val="21"/>
                <w:szCs w:val="21"/>
              </w:rPr>
              <w:t xml:space="preserve">equivalent ACLR is equal to normal ACLR </w:t>
            </w:r>
          </w:p>
          <w:p w14:paraId="0FC72466" w14:textId="77777777" w:rsidR="00D02EEA" w:rsidRPr="00D02EEA" w:rsidRDefault="00D02EEA" w:rsidP="00D02EEA">
            <w:pPr>
              <w:pStyle w:val="a"/>
              <w:numPr>
                <w:ilvl w:val="0"/>
                <w:numId w:val="15"/>
              </w:numPr>
              <w:spacing w:after="120"/>
              <w:ind w:firstLineChars="0"/>
              <w:rPr>
                <w:sz w:val="21"/>
                <w:szCs w:val="21"/>
              </w:rPr>
            </w:pPr>
            <w:r w:rsidRPr="00D02EEA">
              <w:rPr>
                <w:sz w:val="21"/>
                <w:szCs w:val="21"/>
              </w:rPr>
              <w:t>when aggressor BW is wider than victim, e.g. legacy gNB -&gt; SBFD gNB</w:t>
            </w:r>
          </w:p>
          <w:p w14:paraId="65CC2236" w14:textId="77777777" w:rsidR="00D02EEA" w:rsidRPr="00D02EEA" w:rsidRDefault="00D02EEA" w:rsidP="00D02EEA">
            <w:pPr>
              <w:pStyle w:val="a"/>
              <w:numPr>
                <w:ilvl w:val="2"/>
                <w:numId w:val="15"/>
              </w:numPr>
              <w:spacing w:after="120"/>
              <w:ind w:firstLineChars="0"/>
              <w:rPr>
                <w:sz w:val="21"/>
                <w:szCs w:val="21"/>
              </w:rPr>
            </w:pPr>
            <w:r w:rsidRPr="00D02EEA">
              <w:rPr>
                <w:sz w:val="21"/>
                <w:szCs w:val="21"/>
              </w:rPr>
              <w:t>total received interference = Ptx – (ACLR + the ratio of aggressor BW to victim BW)</w:t>
            </w:r>
          </w:p>
          <w:p w14:paraId="414EFB66" w14:textId="6905385A" w:rsidR="00D02EEA" w:rsidRPr="00D02EEA" w:rsidRDefault="00D02EEA" w:rsidP="00D02EEA">
            <w:pPr>
              <w:pStyle w:val="a"/>
              <w:numPr>
                <w:ilvl w:val="2"/>
                <w:numId w:val="15"/>
              </w:numPr>
              <w:spacing w:after="120"/>
              <w:ind w:firstLineChars="0"/>
              <w:rPr>
                <w:sz w:val="21"/>
                <w:szCs w:val="21"/>
              </w:rPr>
            </w:pPr>
            <w:r w:rsidRPr="00D02EEA">
              <w:rPr>
                <w:rFonts w:hint="eastAsia"/>
                <w:sz w:val="21"/>
                <w:szCs w:val="21"/>
              </w:rPr>
              <w:t>f</w:t>
            </w:r>
            <w:r w:rsidRPr="00D02EEA">
              <w:rPr>
                <w:sz w:val="21"/>
                <w:szCs w:val="21"/>
              </w:rPr>
              <w:t>or example, when aggressor is 100MHz and victim is 20MHz, the equivalent ACLR is 45+10*log10(100/20)=51.9dB</w:t>
            </w:r>
          </w:p>
        </w:tc>
      </w:tr>
    </w:tbl>
    <w:p w14:paraId="5C3B45D6" w14:textId="1585BA54" w:rsidR="001F26C9" w:rsidRDefault="005A3EE3" w:rsidP="006E5816">
      <w:pPr>
        <w:spacing w:after="18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iCs/>
          <w:szCs w:val="21"/>
        </w:rPr>
        <w:t xml:space="preserve">So if we don’t update the equation of </w:t>
      </w:r>
      <m:oMath>
        <m:sSubSup>
          <m:sSubSupPr>
            <m:ctrlPr>
              <w:rPr>
                <w:rFonts w:ascii="Cambria Math" w:hAnsi="Cambria Math" w:cs="Calibri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szCs w:val="21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Cs w:val="21"/>
              </w:rPr>
              <m:t>adj,co-site-sector-</m:t>
            </m:r>
            <m:r>
              <w:rPr>
                <w:rFonts w:ascii="Cambria Math" w:hAnsi="Cambria Math" w:cs="Calibri"/>
                <w:szCs w:val="21"/>
              </w:rPr>
              <m:t>x</m:t>
            </m:r>
          </m:sub>
          <m:sup>
            <m:r>
              <m:rPr>
                <m:sty m:val="p"/>
              </m:rPr>
              <w:rPr>
                <w:rFonts w:ascii="Cambria Math" w:hAnsi="Cambria Math" w:cs="Calibri"/>
                <w:szCs w:val="21"/>
              </w:rPr>
              <m:t>per-RB</m:t>
            </m:r>
          </m:sup>
        </m:sSubSup>
      </m:oMath>
      <w:r>
        <w:rPr>
          <w:rFonts w:ascii="Times New Roman" w:hAnsi="Times New Roman" w:hint="eastAsia"/>
          <w:szCs w:val="21"/>
        </w:rPr>
        <w:t>,</w:t>
      </w:r>
      <w:r>
        <w:rPr>
          <w:rFonts w:ascii="Times New Roman" w:hAnsi="Times New Roman"/>
          <w:szCs w:val="21"/>
        </w:rPr>
        <w:t xml:space="preserve"> the ACLR and ACS is suggested as below:</w:t>
      </w:r>
    </w:p>
    <w:p w14:paraId="0160B497" w14:textId="0393129A" w:rsidR="005A3EE3" w:rsidRDefault="005A3EE3" w:rsidP="006E5816">
      <w:pPr>
        <w:spacing w:after="18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When aggressor DL sub-band bandwidth is larger than that of victim, ACLR and ACS could be assumed as </w:t>
      </w:r>
      <w:r w:rsidR="00D02EEA">
        <w:rPr>
          <w:rFonts w:ascii="Times New Roman" w:hAnsi="Times New Roman"/>
          <w:szCs w:val="21"/>
        </w:rPr>
        <w:t>normal</w:t>
      </w:r>
      <w:r>
        <w:rPr>
          <w:rFonts w:ascii="Times New Roman" w:hAnsi="Times New Roman"/>
          <w:szCs w:val="21"/>
        </w:rPr>
        <w:t xml:space="preserve"> ACLR and ACS </w:t>
      </w:r>
      <w:r w:rsidR="00D02EEA">
        <w:rPr>
          <w:rFonts w:ascii="Times New Roman" w:hAnsi="Times New Roman"/>
          <w:szCs w:val="21"/>
        </w:rPr>
        <w:t>derived from final simulation results</w:t>
      </w:r>
      <w:r>
        <w:rPr>
          <w:rFonts w:ascii="Times New Roman" w:hAnsi="Times New Roman"/>
          <w:szCs w:val="21"/>
        </w:rPr>
        <w:t>.</w:t>
      </w:r>
      <w:r>
        <w:rPr>
          <w:rFonts w:ascii="Times New Roman" w:hAnsi="Times New Roman" w:hint="eastAsia"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But when </w:t>
      </w:r>
      <w:r w:rsidRPr="005A3EE3">
        <w:rPr>
          <w:rFonts w:ascii="Times New Roman" w:hAnsi="Times New Roman"/>
          <w:szCs w:val="21"/>
        </w:rPr>
        <w:t xml:space="preserve">aggressor DL sub-band bandwidth is </w:t>
      </w:r>
      <w:r>
        <w:rPr>
          <w:rFonts w:ascii="Times New Roman" w:hAnsi="Times New Roman"/>
          <w:szCs w:val="21"/>
        </w:rPr>
        <w:t>less</w:t>
      </w:r>
      <w:r w:rsidRPr="005A3EE3">
        <w:rPr>
          <w:rFonts w:ascii="Times New Roman" w:hAnsi="Times New Roman"/>
          <w:szCs w:val="21"/>
        </w:rPr>
        <w:t xml:space="preserve"> than that of victim, ACLR and ACS </w:t>
      </w:r>
      <w:r w:rsidR="009C60C5">
        <w:rPr>
          <w:rFonts w:ascii="Times New Roman" w:hAnsi="Times New Roman"/>
          <w:szCs w:val="21"/>
        </w:rPr>
        <w:t xml:space="preserve">both </w:t>
      </w:r>
      <w:r>
        <w:rPr>
          <w:rFonts w:ascii="Times New Roman" w:hAnsi="Times New Roman"/>
          <w:szCs w:val="21"/>
        </w:rPr>
        <w:t xml:space="preserve">should be scaled by x dB, here X dB is the ratio of victim </w:t>
      </w:r>
      <w:r w:rsidR="00D02EEA">
        <w:rPr>
          <w:rFonts w:ascii="Times New Roman" w:hAnsi="Times New Roman"/>
          <w:szCs w:val="21"/>
        </w:rPr>
        <w:t xml:space="preserve">DL sub-band BW </w:t>
      </w:r>
      <w:r>
        <w:rPr>
          <w:rFonts w:ascii="Times New Roman" w:hAnsi="Times New Roman"/>
          <w:szCs w:val="21"/>
        </w:rPr>
        <w:t xml:space="preserve">to aggressor </w:t>
      </w:r>
      <w:r w:rsidR="00D02EEA" w:rsidRPr="00D02EEA">
        <w:rPr>
          <w:rFonts w:ascii="Times New Roman" w:hAnsi="Times New Roman"/>
          <w:szCs w:val="21"/>
        </w:rPr>
        <w:t>DL sub-band BW</w:t>
      </w:r>
      <w:r>
        <w:rPr>
          <w:rFonts w:ascii="Times New Roman" w:hAnsi="Times New Roman"/>
          <w:szCs w:val="21"/>
        </w:rPr>
        <w:t xml:space="preserve">. </w:t>
      </w:r>
    </w:p>
    <w:p w14:paraId="709AD33E" w14:textId="7EA6DE17" w:rsidR="0071312D" w:rsidRDefault="00BA5872" w:rsidP="006E5816">
      <w:pPr>
        <w:spacing w:after="18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It’s noted now it’s unmature to conclude that the same ACLR and ACS of legacy BS could be applicable or not. </w:t>
      </w:r>
      <w:r>
        <w:rPr>
          <w:rFonts w:ascii="Times New Roman" w:hAnsi="Times New Roman"/>
          <w:szCs w:val="21"/>
        </w:rPr>
        <w:lastRenderedPageBreak/>
        <w:t xml:space="preserve">The conclusion should wait for final RAN4 co-existence simulation. but to not delay RAN1 simulation, we could use this same assumption as starting point. </w:t>
      </w:r>
    </w:p>
    <w:p w14:paraId="62A32033" w14:textId="6B114AC3" w:rsidR="0071312D" w:rsidRPr="00B821B5" w:rsidRDefault="0071312D" w:rsidP="006E5816">
      <w:pPr>
        <w:spacing w:after="180"/>
        <w:jc w:val="left"/>
        <w:rPr>
          <w:rFonts w:ascii="Times New Roman" w:hAnsi="Times New Roman"/>
          <w:b/>
          <w:bCs/>
          <w:szCs w:val="21"/>
        </w:rPr>
      </w:pPr>
      <w:r w:rsidRPr="00B821B5">
        <w:rPr>
          <w:rFonts w:ascii="Times New Roman" w:hAnsi="Times New Roman"/>
          <w:b/>
          <w:bCs/>
          <w:szCs w:val="21"/>
        </w:rPr>
        <w:t xml:space="preserve">Proposal 2: the ACLR and ACS in agreement-3 for </w:t>
      </w:r>
      <m:oMath>
        <m:sSubSup>
          <m:sSubSupPr>
            <m:ctrlPr>
              <w:rPr>
                <w:rFonts w:ascii="Cambria Math" w:hAnsi="Cambria Math" w:cs="Calibri"/>
                <w:b/>
                <w:bCs/>
                <w:szCs w:val="21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 w:cs="Calibri"/>
                <w:szCs w:val="21"/>
              </w:rPr>
              <m:t>α</m:t>
            </m:r>
          </m:e>
          <m:sub>
            <m:r>
              <m:rPr>
                <m:sty m:val="b"/>
              </m:rPr>
              <w:rPr>
                <w:rFonts w:ascii="Cambria Math" w:hAnsi="Cambria Math" w:cs="Calibri"/>
                <w:szCs w:val="21"/>
              </w:rPr>
              <m:t>adj, co-site-</m:t>
            </m:r>
            <m:r>
              <m:rPr>
                <m:sty m:val="bi"/>
              </m:rPr>
              <w:rPr>
                <w:rFonts w:ascii="Cambria Math" w:hAnsi="Cambria Math" w:cs="Calibri"/>
                <w:szCs w:val="21"/>
              </w:rPr>
              <m:t>2</m:t>
            </m:r>
          </m:sub>
          <m:sup/>
        </m:sSubSup>
      </m:oMath>
      <w:r w:rsidRPr="00B821B5">
        <w:rPr>
          <w:rFonts w:ascii="Times New Roman" w:hAnsi="Times New Roman" w:hint="eastAsia"/>
          <w:b/>
          <w:bCs/>
          <w:szCs w:val="21"/>
        </w:rPr>
        <w:t xml:space="preserve"> </w:t>
      </w:r>
      <w:r w:rsidRPr="00B821B5">
        <w:rPr>
          <w:rFonts w:ascii="Times New Roman" w:hAnsi="Times New Roman"/>
          <w:b/>
          <w:bCs/>
          <w:szCs w:val="21"/>
        </w:rPr>
        <w:t xml:space="preserve">is suggested as below as starting point. when RAN4 </w:t>
      </w:r>
      <w:r w:rsidR="00942584" w:rsidRPr="00B821B5">
        <w:rPr>
          <w:rFonts w:ascii="Times New Roman" w:hAnsi="Times New Roman"/>
          <w:b/>
          <w:bCs/>
          <w:szCs w:val="21"/>
        </w:rPr>
        <w:t>finish co-existence simulation, such value may be updated accordingly.</w:t>
      </w:r>
    </w:p>
    <w:p w14:paraId="74D865C9" w14:textId="69C06C55" w:rsidR="00942584" w:rsidRPr="00B821B5" w:rsidRDefault="00942584" w:rsidP="00942584">
      <w:pPr>
        <w:spacing w:after="180"/>
        <w:jc w:val="left"/>
        <w:rPr>
          <w:rFonts w:ascii="Times New Roman" w:hAnsi="Times New Roman"/>
          <w:b/>
          <w:bCs/>
          <w:szCs w:val="21"/>
        </w:rPr>
      </w:pPr>
      <w:r w:rsidRPr="00B821B5">
        <w:rPr>
          <w:rFonts w:ascii="Times New Roman" w:hAnsi="Times New Roman"/>
          <w:b/>
          <w:bCs/>
          <w:szCs w:val="21"/>
        </w:rPr>
        <w:t>o</w:t>
      </w:r>
      <w:r w:rsidRPr="00B821B5">
        <w:rPr>
          <w:rFonts w:ascii="Times New Roman" w:hAnsi="Times New Roman"/>
          <w:b/>
          <w:bCs/>
          <w:szCs w:val="21"/>
        </w:rPr>
        <w:tab/>
        <w:t xml:space="preserve">when aggressor DL sub-band BW is </w:t>
      </w:r>
      <w:r w:rsidR="00AF4BAE" w:rsidRPr="00B821B5">
        <w:rPr>
          <w:rFonts w:ascii="Times New Roman" w:hAnsi="Times New Roman"/>
          <w:b/>
          <w:bCs/>
          <w:szCs w:val="21"/>
        </w:rPr>
        <w:t>wider</w:t>
      </w:r>
      <w:r w:rsidRPr="00B821B5">
        <w:rPr>
          <w:rFonts w:ascii="Times New Roman" w:hAnsi="Times New Roman"/>
          <w:b/>
          <w:bCs/>
          <w:szCs w:val="21"/>
        </w:rPr>
        <w:t xml:space="preserve"> than victim, equivalent ACLR is equal to normal ACLR (the same as legacy BS) </w:t>
      </w:r>
    </w:p>
    <w:p w14:paraId="2CC5D7F1" w14:textId="7B8B6E29" w:rsidR="00942584" w:rsidRPr="00B821B5" w:rsidRDefault="00942584" w:rsidP="00942584">
      <w:pPr>
        <w:spacing w:after="180"/>
        <w:jc w:val="left"/>
        <w:rPr>
          <w:rFonts w:ascii="Times New Roman" w:hAnsi="Times New Roman"/>
          <w:b/>
          <w:bCs/>
          <w:szCs w:val="21"/>
        </w:rPr>
      </w:pPr>
      <w:r w:rsidRPr="00B821B5">
        <w:rPr>
          <w:rFonts w:ascii="Times New Roman" w:hAnsi="Times New Roman"/>
          <w:b/>
          <w:bCs/>
          <w:szCs w:val="21"/>
        </w:rPr>
        <w:t>o</w:t>
      </w:r>
      <w:r w:rsidRPr="00B821B5">
        <w:rPr>
          <w:rFonts w:ascii="Times New Roman" w:hAnsi="Times New Roman"/>
          <w:b/>
          <w:bCs/>
          <w:szCs w:val="21"/>
        </w:rPr>
        <w:tab/>
        <w:t xml:space="preserve">when aggressor </w:t>
      </w:r>
      <w:r w:rsidR="00AF4BAE" w:rsidRPr="00B821B5">
        <w:rPr>
          <w:rFonts w:ascii="Times New Roman" w:hAnsi="Times New Roman"/>
          <w:b/>
          <w:bCs/>
          <w:szCs w:val="21"/>
        </w:rPr>
        <w:t>DL sub-band BW</w:t>
      </w:r>
      <w:r w:rsidRPr="00B821B5">
        <w:rPr>
          <w:rFonts w:ascii="Times New Roman" w:hAnsi="Times New Roman"/>
          <w:b/>
          <w:bCs/>
          <w:szCs w:val="21"/>
        </w:rPr>
        <w:t xml:space="preserve"> is </w:t>
      </w:r>
      <w:r w:rsidR="00AF4BAE" w:rsidRPr="00B821B5">
        <w:rPr>
          <w:rFonts w:ascii="Times New Roman" w:hAnsi="Times New Roman"/>
          <w:b/>
          <w:bCs/>
          <w:szCs w:val="21"/>
        </w:rPr>
        <w:t>narrower</w:t>
      </w:r>
      <w:r w:rsidRPr="00B821B5">
        <w:rPr>
          <w:rFonts w:ascii="Times New Roman" w:hAnsi="Times New Roman"/>
          <w:b/>
          <w:bCs/>
          <w:szCs w:val="21"/>
        </w:rPr>
        <w:t xml:space="preserve"> than victim, </w:t>
      </w:r>
    </w:p>
    <w:p w14:paraId="47AA8C6A" w14:textId="2F92C2B6" w:rsidR="00AF4BAE" w:rsidRPr="00B821B5" w:rsidRDefault="00942584" w:rsidP="00AF4BAE">
      <w:pPr>
        <w:spacing w:after="180"/>
        <w:jc w:val="left"/>
        <w:rPr>
          <w:rFonts w:ascii="Times New Roman" w:hAnsi="Times New Roman"/>
          <w:b/>
          <w:bCs/>
          <w:szCs w:val="21"/>
        </w:rPr>
      </w:pPr>
      <w:r w:rsidRPr="00B821B5">
        <w:rPr>
          <w:rFonts w:ascii="Times New Roman" w:hAnsi="Times New Roman"/>
          <w:b/>
          <w:bCs/>
          <w:szCs w:val="21"/>
        </w:rPr>
        <w:t></w:t>
      </w:r>
      <w:r w:rsidRPr="00B821B5">
        <w:rPr>
          <w:rFonts w:ascii="Times New Roman" w:hAnsi="Times New Roman"/>
          <w:b/>
          <w:bCs/>
          <w:szCs w:val="21"/>
        </w:rPr>
        <w:tab/>
      </w:r>
      <w:r w:rsidR="00AF4BAE" w:rsidRPr="00B821B5">
        <w:rPr>
          <w:rFonts w:ascii="Times New Roman" w:hAnsi="Times New Roman"/>
          <w:b/>
          <w:bCs/>
          <w:szCs w:val="21"/>
        </w:rPr>
        <w:t>equivalent ACLR is equal to normal ACLR (the same as legacy BS) + X,</w:t>
      </w:r>
    </w:p>
    <w:p w14:paraId="5E134A6F" w14:textId="0BCC16C9" w:rsidR="00942584" w:rsidRPr="00B821B5" w:rsidRDefault="00AF4BAE" w:rsidP="00AF4BAE">
      <w:pPr>
        <w:spacing w:after="180"/>
        <w:ind w:firstLine="420"/>
        <w:jc w:val="left"/>
        <w:rPr>
          <w:rFonts w:ascii="Times New Roman" w:hAnsi="Times New Roman"/>
          <w:b/>
          <w:bCs/>
          <w:szCs w:val="21"/>
        </w:rPr>
      </w:pPr>
      <w:r w:rsidRPr="00B821B5">
        <w:rPr>
          <w:rFonts w:ascii="Times New Roman" w:hAnsi="Times New Roman"/>
          <w:b/>
          <w:bCs/>
          <w:szCs w:val="21"/>
        </w:rPr>
        <w:t>where X equals to the ratio of victim DL sub-band BW to aggressor DL sub-band BW</w:t>
      </w:r>
    </w:p>
    <w:p w14:paraId="434F36B5" w14:textId="28768CA7" w:rsidR="00BA5872" w:rsidRDefault="00BA5872" w:rsidP="006E5816">
      <w:pPr>
        <w:spacing w:after="180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besides, in RAN4, the co-existence simulation </w:t>
      </w:r>
      <w:r w:rsidR="007B6C22">
        <w:rPr>
          <w:rFonts w:ascii="Times New Roman" w:hAnsi="Times New Roman"/>
          <w:szCs w:val="21"/>
        </w:rPr>
        <w:t>doesn’t</w:t>
      </w:r>
      <w:r>
        <w:rPr>
          <w:rFonts w:ascii="Times New Roman" w:hAnsi="Times New Roman"/>
          <w:szCs w:val="21"/>
        </w:rPr>
        <w:t xml:space="preserve"> consider co-site case which is assumed to introduce severe blocking issue. It’s also suggested to be include </w:t>
      </w:r>
      <w:r w:rsidR="00B821B5">
        <w:rPr>
          <w:rFonts w:ascii="Times New Roman" w:hAnsi="Times New Roman"/>
          <w:szCs w:val="21"/>
        </w:rPr>
        <w:t xml:space="preserve">that </w:t>
      </w:r>
      <w:r>
        <w:rPr>
          <w:rFonts w:ascii="Times New Roman" w:hAnsi="Times New Roman"/>
          <w:szCs w:val="21"/>
        </w:rPr>
        <w:t>in RAN1’s LS to stat</w:t>
      </w:r>
      <w:r w:rsidR="007B6C22">
        <w:rPr>
          <w:rFonts w:ascii="Times New Roman" w:hAnsi="Times New Roman"/>
          <w:szCs w:val="21"/>
        </w:rPr>
        <w:t>ing</w:t>
      </w:r>
      <w:r>
        <w:rPr>
          <w:rFonts w:ascii="Times New Roman" w:hAnsi="Times New Roman"/>
          <w:szCs w:val="21"/>
        </w:rPr>
        <w:t xml:space="preserve"> that such deployment will introduce severe blocking issues.</w:t>
      </w:r>
    </w:p>
    <w:p w14:paraId="571A919C" w14:textId="10E39952" w:rsidR="00B821B5" w:rsidRPr="00FA18DC" w:rsidRDefault="00B821B5" w:rsidP="006E5816">
      <w:pPr>
        <w:spacing w:after="180"/>
        <w:jc w:val="left"/>
        <w:rPr>
          <w:rFonts w:ascii="Times New Roman" w:hAnsi="Times New Roman"/>
          <w:b/>
          <w:bCs/>
          <w:szCs w:val="21"/>
        </w:rPr>
      </w:pPr>
      <w:r w:rsidRPr="00FA18DC">
        <w:rPr>
          <w:rFonts w:ascii="Times New Roman" w:hAnsi="Times New Roman"/>
          <w:b/>
          <w:bCs/>
          <w:szCs w:val="21"/>
        </w:rPr>
        <w:t>Proposal 3: inter-operator co-site deployment case would introduce severe blocking issue that’s the reason why RAN4 doesn’t include it into RAN4’s simulation.</w:t>
      </w:r>
    </w:p>
    <w:p w14:paraId="245C732A" w14:textId="7BB817FC" w:rsidR="00EE5CFA" w:rsidRDefault="00EE5CFA" w:rsidP="00EE5CFA">
      <w:pPr>
        <w:pStyle w:val="Heading2"/>
      </w:pPr>
      <w:r>
        <w:rPr>
          <w:rFonts w:hint="eastAsia"/>
        </w:rPr>
        <w:t>2</w:t>
      </w:r>
      <w:r>
        <w:t>.</w:t>
      </w:r>
      <w:r w:rsidR="00D9334C">
        <w:t>2</w:t>
      </w:r>
      <w:r>
        <w:t xml:space="preserve"> </w:t>
      </w:r>
      <w:r w:rsidR="008063DC">
        <w:t>UE-UE co-channel inter-sub</w:t>
      </w:r>
      <w:r w:rsidR="008A3D15">
        <w:t xml:space="preserve"> </w:t>
      </w:r>
      <w:r w:rsidR="008063DC">
        <w:t>band CLI</w:t>
      </w:r>
      <w:r w:rsidR="00874E42">
        <w:t xml:space="preserve"> with large scale fading (</w:t>
      </w:r>
      <w:r w:rsidR="00F1044B">
        <w:t>A</w:t>
      </w:r>
      <w:r w:rsidR="00874E42">
        <w:t>greement-4)</w:t>
      </w:r>
    </w:p>
    <w:p w14:paraId="113D0096" w14:textId="743A608A" w:rsidR="00F01E94" w:rsidRDefault="0029139E" w:rsidP="00B95F02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U</w:t>
      </w:r>
      <w:r>
        <w:rPr>
          <w:rFonts w:ascii="Times New Roman" w:hAnsi="Times New Roman" w:hint="eastAsia"/>
          <w:sz w:val="20"/>
          <w:szCs w:val="20"/>
        </w:rPr>
        <w:t>ntil</w:t>
      </w:r>
      <w:r>
        <w:rPr>
          <w:rFonts w:ascii="Times New Roman" w:hAnsi="Times New Roman"/>
          <w:sz w:val="20"/>
          <w:szCs w:val="20"/>
        </w:rPr>
        <w:t xml:space="preserve"> now, RAN4 has following agreements for IBE.</w:t>
      </w:r>
    </w:p>
    <w:p w14:paraId="7E968EDB" w14:textId="718FC48A" w:rsidR="0029139E" w:rsidRDefault="0029139E" w:rsidP="00B95F02">
      <w:pPr>
        <w:spacing w:after="180"/>
        <w:jc w:val="left"/>
        <w:rPr>
          <w:rFonts w:ascii="Times New Roman" w:hAnsi="Times New Roman"/>
          <w:sz w:val="20"/>
          <w:szCs w:val="20"/>
        </w:rPr>
      </w:pPr>
      <w:r w:rsidRPr="0029139E">
        <w:rPr>
          <w:rFonts w:ascii="Times New Roman" w:hAnsi="Times New Roman"/>
          <w:sz w:val="20"/>
          <w:szCs w:val="20"/>
        </w:rPr>
        <w:t>RAN4 has agreed that IBE-based model as mentioned in R4-2220243, and RAN4 has not reached the agreement for an equivalent frequency flat model.</w:t>
      </w:r>
    </w:p>
    <w:p w14:paraId="3373C650" w14:textId="0D22FD81" w:rsidR="0029139E" w:rsidRDefault="0014082B" w:rsidP="00B95F02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Based on current agreements, RAN4 could confirm RAN1’s agreement.</w:t>
      </w:r>
    </w:p>
    <w:p w14:paraId="1263FBFB" w14:textId="22B074E0" w:rsidR="0014082B" w:rsidRPr="00C22271" w:rsidRDefault="0014082B" w:rsidP="00B95F02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C22271">
        <w:rPr>
          <w:rFonts w:ascii="Times New Roman" w:hAnsi="Times New Roman"/>
          <w:b/>
          <w:bCs/>
          <w:sz w:val="20"/>
          <w:szCs w:val="20"/>
        </w:rPr>
        <w:t>Proposal 4: RAN4 could confirm RAN1’s agreement-4.</w:t>
      </w:r>
    </w:p>
    <w:p w14:paraId="73FD6694" w14:textId="3A95E2FC" w:rsidR="00B05255" w:rsidRPr="00B05255" w:rsidRDefault="00B05255" w:rsidP="00B05255">
      <w:pPr>
        <w:keepNext/>
        <w:keepLines/>
        <w:spacing w:before="260" w:after="260" w:line="416" w:lineRule="auto"/>
        <w:outlineLvl w:val="1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r w:rsidRPr="00B05255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2</w:t>
      </w:r>
      <w:r w:rsidRPr="00B05255">
        <w:rPr>
          <w:rFonts w:asciiTheme="majorHAnsi" w:eastAsiaTheme="majorEastAsia" w:hAnsiTheme="majorHAnsi" w:cstheme="majorBidi"/>
          <w:b/>
          <w:bCs/>
          <w:sz w:val="32"/>
          <w:szCs w:val="32"/>
        </w:rPr>
        <w:t>.</w:t>
      </w:r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>3</w:t>
      </w:r>
      <w:r w:rsidRPr="00B05255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UE-UE co-channel inter-sub</w:t>
      </w:r>
      <w:r w:rsidR="00874E42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</w:t>
      </w:r>
      <w:r w:rsidRPr="00B05255">
        <w:rPr>
          <w:rFonts w:asciiTheme="majorHAnsi" w:eastAsiaTheme="majorEastAsia" w:hAnsiTheme="majorHAnsi" w:cstheme="majorBidi"/>
          <w:b/>
          <w:bCs/>
          <w:sz w:val="32"/>
          <w:szCs w:val="32"/>
        </w:rPr>
        <w:t>band CLI</w:t>
      </w:r>
      <w:r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with small scale fading</w:t>
      </w:r>
      <w:r w:rsidR="00874E42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 (</w:t>
      </w:r>
      <w:r w:rsidR="00F1044B">
        <w:rPr>
          <w:rFonts w:asciiTheme="majorHAnsi" w:eastAsiaTheme="majorEastAsia" w:hAnsiTheme="majorHAnsi" w:cstheme="majorBidi"/>
          <w:b/>
          <w:bCs/>
          <w:sz w:val="32"/>
          <w:szCs w:val="32"/>
        </w:rPr>
        <w:t>W</w:t>
      </w:r>
      <w:r w:rsidR="00874E42">
        <w:rPr>
          <w:rFonts w:asciiTheme="majorHAnsi" w:eastAsiaTheme="majorEastAsia" w:hAnsiTheme="majorHAnsi" w:cstheme="majorBidi"/>
          <w:b/>
          <w:bCs/>
          <w:sz w:val="32"/>
          <w:szCs w:val="32"/>
        </w:rPr>
        <w:t>orking assumption)</w:t>
      </w:r>
    </w:p>
    <w:p w14:paraId="479782C9" w14:textId="66FEB875" w:rsidR="0077469D" w:rsidRDefault="0077469D" w:rsidP="00B95F02">
      <w:pPr>
        <w:spacing w:after="180"/>
        <w:jc w:val="left"/>
        <w:rPr>
          <w:rFonts w:ascii="Times New Roman" w:hAnsi="Times New Roman"/>
          <w:sz w:val="20"/>
          <w:szCs w:val="20"/>
        </w:rPr>
      </w:pPr>
      <w:r w:rsidRPr="0077469D">
        <w:rPr>
          <w:rFonts w:ascii="Times New Roman" w:hAnsi="Times New Roman"/>
          <w:sz w:val="20"/>
          <w:szCs w:val="20"/>
        </w:rPr>
        <w:t>F</w:t>
      </w:r>
      <w:r w:rsidRPr="0077469D">
        <w:rPr>
          <w:rFonts w:ascii="Times New Roman" w:hAnsi="Times New Roman" w:hint="eastAsia"/>
          <w:sz w:val="20"/>
          <w:szCs w:val="20"/>
        </w:rPr>
        <w:t>or</w:t>
      </w:r>
      <w:r w:rsidRPr="0077469D">
        <w:rPr>
          <w:rFonts w:ascii="Times New Roman" w:hAnsi="Times New Roman"/>
          <w:sz w:val="20"/>
          <w:szCs w:val="20"/>
        </w:rPr>
        <w:t xml:space="preserve"> the inter sub-band selectivity, </w:t>
      </w:r>
      <w:r>
        <w:rPr>
          <w:rFonts w:ascii="Times New Roman" w:hAnsi="Times New Roman"/>
          <w:sz w:val="20"/>
          <w:szCs w:val="20"/>
        </w:rPr>
        <w:t>there is no agreement for how to model this inter sub-band selectivity. But contributions</w:t>
      </w:r>
      <w:r w:rsidR="00BA2F2D">
        <w:rPr>
          <w:rFonts w:ascii="Times New Roman" w:hAnsi="Times New Roman"/>
          <w:sz w:val="20"/>
          <w:szCs w:val="20"/>
        </w:rPr>
        <w:t>[2][3]</w:t>
      </w:r>
      <w:r>
        <w:rPr>
          <w:rFonts w:ascii="Times New Roman" w:hAnsi="Times New Roman"/>
          <w:sz w:val="20"/>
          <w:szCs w:val="20"/>
        </w:rPr>
        <w:t xml:space="preserve"> from UE chip vendors show that the IBE impact is dominant compared with ICS. Besides, ICS could be assumed as flat for simulation. further discussion is required in RAN4.</w:t>
      </w:r>
    </w:p>
    <w:p w14:paraId="54F75FE2" w14:textId="14B0FC73" w:rsidR="007B6C22" w:rsidRPr="00C934A2" w:rsidRDefault="007B6C22" w:rsidP="00B95F02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C934A2">
        <w:rPr>
          <w:rFonts w:ascii="Times New Roman" w:hAnsi="Times New Roman"/>
          <w:b/>
          <w:bCs/>
          <w:sz w:val="20"/>
          <w:szCs w:val="20"/>
        </w:rPr>
        <w:t>Observation 3: RAN4 needs further discussion on ICS modeling</w:t>
      </w:r>
      <w:r w:rsidR="00187ED7" w:rsidRPr="00C934A2">
        <w:rPr>
          <w:rFonts w:ascii="Times New Roman" w:hAnsi="Times New Roman"/>
          <w:b/>
          <w:bCs/>
          <w:sz w:val="20"/>
          <w:szCs w:val="20"/>
        </w:rPr>
        <w:t xml:space="preserve"> and whether it is feasible to model as flat.</w:t>
      </w:r>
    </w:p>
    <w:p w14:paraId="08FF474C" w14:textId="77777777" w:rsidR="00B96AF4" w:rsidRPr="00281BFF" w:rsidRDefault="00000000" w:rsidP="00281BFF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281BFF">
        <w:rPr>
          <w:rFonts w:ascii="Arial" w:eastAsiaTheme="minorEastAsia" w:hAnsi="Arial" w:cstheme="minorBidi"/>
          <w:sz w:val="32"/>
          <w:szCs w:val="36"/>
        </w:rPr>
        <w:lastRenderedPageBreak/>
        <w:t>3. Conclusions</w:t>
      </w:r>
    </w:p>
    <w:p w14:paraId="445ED738" w14:textId="60775B6D" w:rsidR="00B96AF4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3D741A">
        <w:rPr>
          <w:rFonts w:ascii="Times New Roman" w:hAnsi="Times New Roman"/>
          <w:sz w:val="20"/>
          <w:szCs w:val="20"/>
        </w:rPr>
        <w:t xml:space="preserve">SBFD </w:t>
      </w:r>
      <w:r w:rsidR="007E18F8">
        <w:rPr>
          <w:rFonts w:ascii="Times New Roman" w:hAnsi="Times New Roman"/>
          <w:sz w:val="20"/>
          <w:szCs w:val="20"/>
        </w:rPr>
        <w:t>LS from RAN1</w:t>
      </w:r>
      <w:r w:rsidR="003D741A">
        <w:rPr>
          <w:rFonts w:ascii="Times New Roman" w:hAnsi="Times New Roman"/>
          <w:sz w:val="20"/>
          <w:szCs w:val="20"/>
        </w:rPr>
        <w:t xml:space="preserve"> is analyzed </w:t>
      </w:r>
      <w:r>
        <w:rPr>
          <w:rFonts w:ascii="Times New Roman" w:hAnsi="Times New Roman"/>
          <w:sz w:val="20"/>
          <w:szCs w:val="20"/>
        </w:rPr>
        <w:t xml:space="preserve">with following </w:t>
      </w:r>
      <w:r w:rsidR="00FC13F5">
        <w:rPr>
          <w:rFonts w:ascii="Times New Roman" w:hAnsi="Times New Roman"/>
          <w:sz w:val="20"/>
          <w:szCs w:val="20"/>
        </w:rPr>
        <w:t xml:space="preserve">observations and </w:t>
      </w:r>
      <w:r>
        <w:rPr>
          <w:rFonts w:ascii="Times New Roman" w:hAnsi="Times New Roman"/>
          <w:sz w:val="20"/>
          <w:szCs w:val="20"/>
        </w:rPr>
        <w:t>proposals:</w:t>
      </w:r>
    </w:p>
    <w:p w14:paraId="03CCA69B" w14:textId="45CD2C86" w:rsidR="00BD4247" w:rsidRDefault="007E18F8" w:rsidP="00BD4247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7E18F8">
        <w:rPr>
          <w:rFonts w:ascii="Times New Roman" w:hAnsi="Times New Roman"/>
          <w:b/>
          <w:bCs/>
          <w:sz w:val="20"/>
          <w:szCs w:val="20"/>
        </w:rPr>
        <w:t>Observation 1: usually in commercial network, vertical isolation distance is larger than 3m between two operators’ antenna array when mounted on the same pole.</w:t>
      </w:r>
    </w:p>
    <w:p w14:paraId="635312BE" w14:textId="77777777" w:rsidR="00D97948" w:rsidRPr="00D97948" w:rsidRDefault="00D97948" w:rsidP="00D97948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D97948">
        <w:rPr>
          <w:rFonts w:ascii="Times New Roman" w:hAnsi="Times New Roman"/>
          <w:b/>
          <w:bCs/>
          <w:sz w:val="20"/>
          <w:szCs w:val="20"/>
        </w:rPr>
        <w:t>Observation 2: based on testing results, we have following observation about the relationship between antenna isolation distance and CL.</w:t>
      </w:r>
    </w:p>
    <w:p w14:paraId="0502DC44" w14:textId="77777777" w:rsidR="00D97948" w:rsidRPr="00D97948" w:rsidRDefault="00D97948" w:rsidP="00D97948">
      <w:pPr>
        <w:numPr>
          <w:ilvl w:val="0"/>
          <w:numId w:val="14"/>
        </w:num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D97948">
        <w:rPr>
          <w:rFonts w:ascii="Times New Roman" w:hAnsi="Times New Roman"/>
          <w:b/>
          <w:bCs/>
          <w:sz w:val="20"/>
          <w:szCs w:val="20"/>
        </w:rPr>
        <w:t>Compared with horizontal isolation, vertical spatial isolation almost dominant CL</w:t>
      </w:r>
    </w:p>
    <w:p w14:paraId="59C8DCFE" w14:textId="77777777" w:rsidR="00D97948" w:rsidRPr="00D97948" w:rsidRDefault="00D97948" w:rsidP="00D97948">
      <w:pPr>
        <w:numPr>
          <w:ilvl w:val="0"/>
          <w:numId w:val="14"/>
        </w:num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D97948">
        <w:rPr>
          <w:rFonts w:ascii="Times New Roman" w:hAnsi="Times New Roman"/>
          <w:b/>
          <w:bCs/>
          <w:sz w:val="20"/>
          <w:szCs w:val="20"/>
        </w:rPr>
        <w:t>besides, such CL difference between horizontal and vertical isolation would narrow as isolation distance increases. when isolation distance is large enough, e.g. larger than 10m, the CL difference would almost disappear.</w:t>
      </w:r>
    </w:p>
    <w:p w14:paraId="778CB24B" w14:textId="77777777" w:rsidR="00D97948" w:rsidRPr="00D97948" w:rsidRDefault="00D97948" w:rsidP="00D97948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D97948">
        <w:rPr>
          <w:rFonts w:ascii="Times New Roman" w:hAnsi="Times New Roman"/>
          <w:b/>
          <w:bCs/>
          <w:sz w:val="20"/>
          <w:szCs w:val="20"/>
        </w:rPr>
        <w:t xml:space="preserve">Proposal 1: all the interference from three different inter-operator sectors could be assumed as the same. i.e. </w:t>
      </w:r>
      <m:oMath>
        <m:sSubSup>
          <m:sSubSupPr>
            <m:ctrlPr>
              <w:rPr>
                <w:rFonts w:ascii="Cambria Math" w:hAnsi="Cambria Math" w:cs="Calibri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szCs w:val="21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Cs w:val="21"/>
              </w:rPr>
              <m:t>adj, co-site-</m:t>
            </m:r>
            <m:r>
              <w:rPr>
                <w:rFonts w:ascii="Cambria Math" w:hAnsi="Cambria Math" w:cs="Calibri"/>
                <w:szCs w:val="21"/>
              </w:rPr>
              <m:t>1</m:t>
            </m:r>
          </m:sub>
          <m:sup/>
        </m:sSubSup>
      </m:oMath>
      <w:r w:rsidRPr="00D97948">
        <w:rPr>
          <w:rFonts w:ascii="Times New Roman" w:hAnsi="Times New Roman" w:hint="eastAsia"/>
          <w:szCs w:val="21"/>
        </w:rPr>
        <w:t>=</w:t>
      </w:r>
      <m:oMath>
        <m:sSubSup>
          <m:sSubSupPr>
            <m:ctrlPr>
              <w:rPr>
                <w:rFonts w:ascii="Cambria Math" w:hAnsi="Cambria Math" w:cs="Calibri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szCs w:val="21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Cs w:val="21"/>
              </w:rPr>
              <m:t>adj, co-site-</m:t>
            </m:r>
            <m:r>
              <w:rPr>
                <w:rFonts w:ascii="Cambria Math" w:hAnsi="Cambria Math" w:cs="Calibri"/>
                <w:szCs w:val="21"/>
              </w:rPr>
              <m:t>2</m:t>
            </m:r>
          </m:sub>
          <m:sup/>
        </m:sSubSup>
      </m:oMath>
      <w:r w:rsidRPr="00D97948">
        <w:rPr>
          <w:rFonts w:ascii="Times New Roman" w:hAnsi="Times New Roman" w:hint="eastAsia"/>
          <w:szCs w:val="21"/>
        </w:rPr>
        <w:t>=</w:t>
      </w:r>
      <m:oMath>
        <m:sSubSup>
          <m:sSubSupPr>
            <m:ctrlPr>
              <w:rPr>
                <w:rFonts w:ascii="Cambria Math" w:hAnsi="Cambria Math" w:cs="Calibri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Calibri"/>
                <w:szCs w:val="21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szCs w:val="21"/>
              </w:rPr>
              <m:t>adj, co-site-</m:t>
            </m:r>
            <m:r>
              <w:rPr>
                <w:rFonts w:ascii="Cambria Math" w:hAnsi="Cambria Math" w:cs="Calibri"/>
                <w:szCs w:val="21"/>
              </w:rPr>
              <m:t>3</m:t>
            </m:r>
          </m:sub>
          <m:sup/>
        </m:sSubSup>
      </m:oMath>
    </w:p>
    <w:p w14:paraId="1B59D349" w14:textId="77777777" w:rsidR="00D97948" w:rsidRPr="00D97948" w:rsidRDefault="00D97948" w:rsidP="00D97948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D97948">
        <w:rPr>
          <w:rFonts w:ascii="Times New Roman" w:hAnsi="Times New Roman" w:hint="eastAsia"/>
          <w:b/>
          <w:bCs/>
          <w:sz w:val="20"/>
          <w:szCs w:val="20"/>
        </w:rPr>
        <w:t xml:space="preserve">Proposal 2: the ACLR and ACS in agreement-3 for </w:t>
      </w:r>
      <w:r w:rsidRPr="00D97948">
        <w:rPr>
          <w:rFonts w:ascii="Times New Roman" w:hAnsi="Times New Roman" w:hint="eastAsia"/>
          <w:b/>
          <w:bCs/>
          <w:sz w:val="20"/>
          <w:szCs w:val="20"/>
        </w:rPr>
        <w:t>α</w:t>
      </w:r>
      <w:r w:rsidRPr="00D97948">
        <w:rPr>
          <w:rFonts w:ascii="Times New Roman" w:hAnsi="Times New Roman" w:hint="eastAsia"/>
          <w:b/>
          <w:bCs/>
          <w:sz w:val="20"/>
          <w:szCs w:val="20"/>
        </w:rPr>
        <w:t>_(adj,co-site-2)^  is suggested as below as starting point. when RAN4 finish co-existence simulation, such value may be updated accordingly.</w:t>
      </w:r>
    </w:p>
    <w:p w14:paraId="600B49A5" w14:textId="77777777" w:rsidR="00D97948" w:rsidRPr="00D97948" w:rsidRDefault="00D97948" w:rsidP="00D97948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D97948">
        <w:rPr>
          <w:rFonts w:ascii="Times New Roman" w:hAnsi="Times New Roman"/>
          <w:b/>
          <w:bCs/>
          <w:sz w:val="20"/>
          <w:szCs w:val="20"/>
        </w:rPr>
        <w:t>o</w:t>
      </w:r>
      <w:r w:rsidRPr="00D97948">
        <w:rPr>
          <w:rFonts w:ascii="Times New Roman" w:hAnsi="Times New Roman"/>
          <w:b/>
          <w:bCs/>
          <w:sz w:val="20"/>
          <w:szCs w:val="20"/>
        </w:rPr>
        <w:tab/>
        <w:t xml:space="preserve">when aggressor DL sub-band BW is wider than victim, equivalent ACLR is equal to normal ACLR (the same as legacy BS) </w:t>
      </w:r>
    </w:p>
    <w:p w14:paraId="2C152CA3" w14:textId="77777777" w:rsidR="00D97948" w:rsidRPr="00D97948" w:rsidRDefault="00D97948" w:rsidP="00D97948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D97948">
        <w:rPr>
          <w:rFonts w:ascii="Times New Roman" w:hAnsi="Times New Roman"/>
          <w:b/>
          <w:bCs/>
          <w:sz w:val="20"/>
          <w:szCs w:val="20"/>
        </w:rPr>
        <w:t>o</w:t>
      </w:r>
      <w:r w:rsidRPr="00D97948">
        <w:rPr>
          <w:rFonts w:ascii="Times New Roman" w:hAnsi="Times New Roman"/>
          <w:b/>
          <w:bCs/>
          <w:sz w:val="20"/>
          <w:szCs w:val="20"/>
        </w:rPr>
        <w:tab/>
        <w:t xml:space="preserve">when aggressor DL sub-band BW is narrower than victim, </w:t>
      </w:r>
    </w:p>
    <w:p w14:paraId="435E400F" w14:textId="77777777" w:rsidR="00D97948" w:rsidRPr="00D97948" w:rsidRDefault="00D97948" w:rsidP="00D97948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D97948">
        <w:rPr>
          <w:rFonts w:ascii="Times New Roman" w:hAnsi="Times New Roman"/>
          <w:b/>
          <w:bCs/>
          <w:sz w:val="20"/>
          <w:szCs w:val="20"/>
        </w:rPr>
        <w:t></w:t>
      </w:r>
      <w:r w:rsidRPr="00D97948">
        <w:rPr>
          <w:rFonts w:ascii="Times New Roman" w:hAnsi="Times New Roman"/>
          <w:b/>
          <w:bCs/>
          <w:sz w:val="20"/>
          <w:szCs w:val="20"/>
        </w:rPr>
        <w:tab/>
        <w:t>equivalent ACLR is equal to normal ACLR (the same as legacy BS) + X,</w:t>
      </w:r>
    </w:p>
    <w:p w14:paraId="6B31E3EC" w14:textId="64C9FD3D" w:rsidR="00D97948" w:rsidRDefault="00D97948" w:rsidP="00D97948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D97948">
        <w:rPr>
          <w:rFonts w:ascii="Times New Roman" w:hAnsi="Times New Roman"/>
          <w:b/>
          <w:bCs/>
          <w:sz w:val="20"/>
          <w:szCs w:val="20"/>
        </w:rPr>
        <w:t>where X equals to the ratio of victim DL sub-band BW to aggressor DL sub-band BW</w:t>
      </w:r>
    </w:p>
    <w:p w14:paraId="3404F2C4" w14:textId="09CF4338" w:rsidR="00D97948" w:rsidRDefault="00D97948" w:rsidP="00D97948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D97948">
        <w:rPr>
          <w:rFonts w:ascii="Times New Roman" w:hAnsi="Times New Roman"/>
          <w:b/>
          <w:bCs/>
          <w:sz w:val="20"/>
          <w:szCs w:val="20"/>
        </w:rPr>
        <w:t>Proposal 3: inter-operator co-site deployment case would introduce severe blocking issue that’s the reason why RAN4 doesn’t include it into RAN4’s simulation.</w:t>
      </w:r>
    </w:p>
    <w:p w14:paraId="6F526779" w14:textId="7F7847B0" w:rsidR="00D97948" w:rsidRDefault="00D97948" w:rsidP="00D97948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D97948">
        <w:rPr>
          <w:rFonts w:ascii="Times New Roman" w:hAnsi="Times New Roman"/>
          <w:b/>
          <w:bCs/>
          <w:sz w:val="20"/>
          <w:szCs w:val="20"/>
        </w:rPr>
        <w:t>Proposal 4: RAN4 could confirm RAN1’s agreement-4.</w:t>
      </w:r>
    </w:p>
    <w:p w14:paraId="44632CA3" w14:textId="02A12247" w:rsidR="00D97948" w:rsidRPr="00D97948" w:rsidRDefault="00D97948" w:rsidP="00D97948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D97948">
        <w:rPr>
          <w:rFonts w:ascii="Times New Roman" w:hAnsi="Times New Roman"/>
          <w:b/>
          <w:bCs/>
          <w:sz w:val="20"/>
          <w:szCs w:val="20"/>
        </w:rPr>
        <w:t>Observation 3: RAN4 needs further discussion on ICS modeling and whether it is feasible to model as flat.</w:t>
      </w:r>
    </w:p>
    <w:p w14:paraId="37C65400" w14:textId="77777777" w:rsidR="00B96AF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4E9168A1" w14:textId="33BD4900" w:rsidR="00B96AF4" w:rsidRDefault="0000000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[1] </w:t>
      </w:r>
      <w:r w:rsidR="00E47696" w:rsidRPr="00E47696">
        <w:rPr>
          <w:rFonts w:ascii="Times New Roman" w:hAnsi="Times New Roman"/>
          <w:sz w:val="20"/>
          <w:szCs w:val="20"/>
        </w:rPr>
        <w:t>R1-2302087</w:t>
      </w:r>
      <w:r w:rsidR="0010268F">
        <w:rPr>
          <w:rFonts w:ascii="Times New Roman" w:hAnsi="Times New Roman"/>
          <w:sz w:val="20"/>
          <w:szCs w:val="20"/>
        </w:rPr>
        <w:t xml:space="preserve">, </w:t>
      </w:r>
      <w:r w:rsidR="00E47696" w:rsidRPr="00E47696">
        <w:rPr>
          <w:rFonts w:ascii="Times New Roman" w:hAnsi="Times New Roman"/>
          <w:sz w:val="20"/>
          <w:szCs w:val="20"/>
        </w:rPr>
        <w:t>LS on interference modelling for duplex evolution</w:t>
      </w:r>
      <w:r w:rsidR="00E47696">
        <w:rPr>
          <w:rFonts w:ascii="Times New Roman" w:hAnsi="Times New Roman"/>
          <w:sz w:val="20"/>
          <w:szCs w:val="20"/>
        </w:rPr>
        <w:t>, CMCC</w:t>
      </w:r>
    </w:p>
    <w:p w14:paraId="3778C65E" w14:textId="12AFB956" w:rsidR="00BA2F2D" w:rsidRDefault="00BA2F2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</w:rPr>
        <w:t>2]</w:t>
      </w:r>
      <w:r w:rsidRPr="00BA2F2D">
        <w:t xml:space="preserve"> </w:t>
      </w:r>
      <w:r w:rsidRPr="00BA2F2D">
        <w:rPr>
          <w:rFonts w:ascii="Times New Roman" w:hAnsi="Times New Roman"/>
          <w:sz w:val="20"/>
          <w:szCs w:val="20"/>
        </w:rPr>
        <w:t>R4-2301610</w:t>
      </w:r>
      <w:r>
        <w:rPr>
          <w:rFonts w:ascii="Times New Roman" w:hAnsi="Times New Roman"/>
          <w:sz w:val="20"/>
          <w:szCs w:val="20"/>
        </w:rPr>
        <w:t xml:space="preserve">, </w:t>
      </w:r>
      <w:r w:rsidRPr="00BA2F2D">
        <w:rPr>
          <w:rFonts w:ascii="Times New Roman" w:hAnsi="Times New Roman"/>
          <w:sz w:val="20"/>
          <w:szCs w:val="20"/>
        </w:rPr>
        <w:t>Further discussion on the feasibility from UE aspect</w:t>
      </w:r>
      <w:r>
        <w:rPr>
          <w:rFonts w:ascii="Times New Roman" w:hAnsi="Times New Roman"/>
          <w:sz w:val="20"/>
          <w:szCs w:val="20"/>
        </w:rPr>
        <w:t xml:space="preserve">, </w:t>
      </w:r>
      <w:r w:rsidRPr="00BA2F2D">
        <w:rPr>
          <w:rFonts w:ascii="Times New Roman" w:hAnsi="Times New Roman"/>
          <w:sz w:val="20"/>
          <w:szCs w:val="20"/>
        </w:rPr>
        <w:t>MediaTek Inc.</w:t>
      </w:r>
    </w:p>
    <w:p w14:paraId="028BA6C3" w14:textId="122E1245" w:rsidR="00BA2F2D" w:rsidRDefault="00BA2F2D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</w:rPr>
        <w:t>3]</w:t>
      </w:r>
      <w:r w:rsidR="00691F80">
        <w:rPr>
          <w:rFonts w:ascii="Times New Roman" w:hAnsi="Times New Roman"/>
          <w:sz w:val="20"/>
          <w:szCs w:val="20"/>
        </w:rPr>
        <w:t xml:space="preserve"> </w:t>
      </w:r>
      <w:r w:rsidR="0009698A" w:rsidRPr="0009698A">
        <w:rPr>
          <w:rFonts w:ascii="Times New Roman" w:hAnsi="Times New Roman"/>
          <w:sz w:val="20"/>
          <w:szCs w:val="20"/>
        </w:rPr>
        <w:t>R4-2302434</w:t>
      </w:r>
      <w:r w:rsidR="0009698A">
        <w:rPr>
          <w:rFonts w:ascii="Times New Roman" w:hAnsi="Times New Roman"/>
          <w:sz w:val="20"/>
          <w:szCs w:val="20"/>
        </w:rPr>
        <w:t xml:space="preserve">, </w:t>
      </w:r>
      <w:r w:rsidR="0009698A" w:rsidRPr="0009698A">
        <w:rPr>
          <w:rFonts w:ascii="Times New Roman" w:hAnsi="Times New Roman"/>
          <w:sz w:val="20"/>
          <w:szCs w:val="20"/>
        </w:rPr>
        <w:t>Modelling UE-UE cross-link interference for SBFD system study</w:t>
      </w:r>
      <w:r w:rsidR="0009698A">
        <w:rPr>
          <w:rFonts w:ascii="Times New Roman" w:hAnsi="Times New Roman"/>
          <w:sz w:val="20"/>
          <w:szCs w:val="20"/>
        </w:rPr>
        <w:t xml:space="preserve">, </w:t>
      </w:r>
      <w:r w:rsidR="0009698A" w:rsidRPr="0009698A">
        <w:rPr>
          <w:rFonts w:ascii="Times New Roman" w:hAnsi="Times New Roman"/>
          <w:sz w:val="20"/>
          <w:szCs w:val="20"/>
        </w:rPr>
        <w:t>Qualcomm Inc</w:t>
      </w:r>
    </w:p>
    <w:p w14:paraId="3B67C028" w14:textId="77777777" w:rsidR="00B96AF4" w:rsidRDefault="00B96AF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</w:p>
    <w:sectPr w:rsidR="00B96AF4">
      <w:headerReference w:type="default" r:id="rId12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3F56D" w14:textId="77777777" w:rsidR="007D54FF" w:rsidRDefault="007D54FF">
      <w:r>
        <w:separator/>
      </w:r>
    </w:p>
  </w:endnote>
  <w:endnote w:type="continuationSeparator" w:id="0">
    <w:p w14:paraId="51F5D252" w14:textId="77777777" w:rsidR="007D54FF" w:rsidRDefault="007D5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50500" w14:textId="77777777" w:rsidR="007D54FF" w:rsidRDefault="007D54FF">
      <w:r>
        <w:separator/>
      </w:r>
    </w:p>
  </w:footnote>
  <w:footnote w:type="continuationSeparator" w:id="0">
    <w:p w14:paraId="17F94D85" w14:textId="77777777" w:rsidR="007D54FF" w:rsidRDefault="007D5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C3E1C" w14:textId="77777777" w:rsidR="00B96AF4" w:rsidRDefault="00B96AF4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DE82727"/>
    <w:multiLevelType w:val="hybridMultilevel"/>
    <w:tmpl w:val="7248AB7C"/>
    <w:lvl w:ilvl="0" w:tplc="63CC1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012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2A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F646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2BE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8CBE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4E7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600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EB9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109FA"/>
    <w:multiLevelType w:val="hybridMultilevel"/>
    <w:tmpl w:val="B3EC1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F15B7C"/>
    <w:multiLevelType w:val="hybridMultilevel"/>
    <w:tmpl w:val="E9A64AB6"/>
    <w:lvl w:ilvl="0" w:tplc="2A1CE0B6">
      <w:start w:val="1"/>
      <w:numFmt w:val="bullet"/>
      <w:lvlText w:val="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" w15:restartNumberingAfterBreak="0">
    <w:nsid w:val="3FE6234A"/>
    <w:multiLevelType w:val="hybridMultilevel"/>
    <w:tmpl w:val="03CC16C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0180BC4"/>
    <w:multiLevelType w:val="hybridMultilevel"/>
    <w:tmpl w:val="040A377C"/>
    <w:lvl w:ilvl="0" w:tplc="EFF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1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2E57B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03A6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272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4B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AC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068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0E66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90E5561"/>
    <w:multiLevelType w:val="multilevel"/>
    <w:tmpl w:val="5C8AB5B8"/>
    <w:lvl w:ilvl="0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71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5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7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59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1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3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52" w:hanging="360"/>
      </w:pPr>
      <w:rPr>
        <w:rFonts w:ascii="Wingdings" w:hAnsi="Wingdings" w:hint="default"/>
      </w:rPr>
    </w:lvl>
  </w:abstractNum>
  <w:abstractNum w:abstractNumId="8" w15:restartNumberingAfterBreak="0">
    <w:nsid w:val="4BBA741F"/>
    <w:multiLevelType w:val="hybridMultilevel"/>
    <w:tmpl w:val="313E91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CD75B1"/>
    <w:multiLevelType w:val="hybridMultilevel"/>
    <w:tmpl w:val="8BDE3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E8835C8"/>
    <w:multiLevelType w:val="hybridMultilevel"/>
    <w:tmpl w:val="DABCFBE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432252"/>
    <w:multiLevelType w:val="hybridMultilevel"/>
    <w:tmpl w:val="9C9204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F5653CB"/>
    <w:multiLevelType w:val="hybridMultilevel"/>
    <w:tmpl w:val="A88ECFA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02638440">
    <w:abstractNumId w:val="0"/>
  </w:num>
  <w:num w:numId="2" w16cid:durableId="224997738">
    <w:abstractNumId w:val="12"/>
  </w:num>
  <w:num w:numId="3" w16cid:durableId="766271796">
    <w:abstractNumId w:val="8"/>
  </w:num>
  <w:num w:numId="4" w16cid:durableId="794757771">
    <w:abstractNumId w:val="2"/>
  </w:num>
  <w:num w:numId="5" w16cid:durableId="491604757">
    <w:abstractNumId w:val="5"/>
  </w:num>
  <w:num w:numId="6" w16cid:durableId="410663615">
    <w:abstractNumId w:val="1"/>
  </w:num>
  <w:num w:numId="7" w16cid:durableId="810758056">
    <w:abstractNumId w:val="14"/>
  </w:num>
  <w:num w:numId="8" w16cid:durableId="131022400">
    <w:abstractNumId w:val="13"/>
  </w:num>
  <w:num w:numId="9" w16cid:durableId="1395203366">
    <w:abstractNumId w:val="11"/>
  </w:num>
  <w:num w:numId="10" w16cid:durableId="4290336">
    <w:abstractNumId w:val="6"/>
  </w:num>
  <w:num w:numId="11" w16cid:durableId="1875574972">
    <w:abstractNumId w:val="9"/>
  </w:num>
  <w:num w:numId="12" w16cid:durableId="1564948441">
    <w:abstractNumId w:val="4"/>
  </w:num>
  <w:num w:numId="13" w16cid:durableId="2033993067">
    <w:abstractNumId w:val="10"/>
  </w:num>
  <w:num w:numId="14" w16cid:durableId="1511793226">
    <w:abstractNumId w:val="3"/>
  </w:num>
  <w:num w:numId="15" w16cid:durableId="115999945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0F97"/>
    <w:rsid w:val="000111E9"/>
    <w:rsid w:val="0001126C"/>
    <w:rsid w:val="00011927"/>
    <w:rsid w:val="00012C96"/>
    <w:rsid w:val="000138E6"/>
    <w:rsid w:val="000160EF"/>
    <w:rsid w:val="00016BC2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BCD"/>
    <w:rsid w:val="00095D91"/>
    <w:rsid w:val="00096311"/>
    <w:rsid w:val="000965F7"/>
    <w:rsid w:val="0009698A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6CD5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1AA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082B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5020"/>
    <w:rsid w:val="0016673D"/>
    <w:rsid w:val="00167BFE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87ED7"/>
    <w:rsid w:val="00191E0E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109E"/>
    <w:rsid w:val="001D130E"/>
    <w:rsid w:val="001D46CD"/>
    <w:rsid w:val="001D4833"/>
    <w:rsid w:val="001D5025"/>
    <w:rsid w:val="001D51C0"/>
    <w:rsid w:val="001D5527"/>
    <w:rsid w:val="001D63C0"/>
    <w:rsid w:val="001D66A9"/>
    <w:rsid w:val="001D66E0"/>
    <w:rsid w:val="001D7806"/>
    <w:rsid w:val="001E0606"/>
    <w:rsid w:val="001E10F1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6C9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271F7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5BA"/>
    <w:rsid w:val="00250C1F"/>
    <w:rsid w:val="00251CEC"/>
    <w:rsid w:val="002521CD"/>
    <w:rsid w:val="00252AC2"/>
    <w:rsid w:val="00253AF9"/>
    <w:rsid w:val="0025420E"/>
    <w:rsid w:val="00254D13"/>
    <w:rsid w:val="00255035"/>
    <w:rsid w:val="002564E9"/>
    <w:rsid w:val="002565EF"/>
    <w:rsid w:val="00256E91"/>
    <w:rsid w:val="00257CD7"/>
    <w:rsid w:val="002628DD"/>
    <w:rsid w:val="00262B4C"/>
    <w:rsid w:val="002630BE"/>
    <w:rsid w:val="00263E14"/>
    <w:rsid w:val="0026417D"/>
    <w:rsid w:val="002643F2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0788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139E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47B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251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322"/>
    <w:rsid w:val="00384DEC"/>
    <w:rsid w:val="00387DE0"/>
    <w:rsid w:val="0039099D"/>
    <w:rsid w:val="003916B5"/>
    <w:rsid w:val="00392BAD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33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BD6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4CC5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B25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3F6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268B"/>
    <w:rsid w:val="005641B8"/>
    <w:rsid w:val="005651D7"/>
    <w:rsid w:val="00566223"/>
    <w:rsid w:val="00566A9F"/>
    <w:rsid w:val="00567DF7"/>
    <w:rsid w:val="00567E02"/>
    <w:rsid w:val="00571074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526A"/>
    <w:rsid w:val="00586325"/>
    <w:rsid w:val="0058676E"/>
    <w:rsid w:val="0058709C"/>
    <w:rsid w:val="005874D8"/>
    <w:rsid w:val="00587E7B"/>
    <w:rsid w:val="00591008"/>
    <w:rsid w:val="00592106"/>
    <w:rsid w:val="005922E0"/>
    <w:rsid w:val="00592AD8"/>
    <w:rsid w:val="00592B00"/>
    <w:rsid w:val="00593391"/>
    <w:rsid w:val="00594A61"/>
    <w:rsid w:val="00594C77"/>
    <w:rsid w:val="005957E0"/>
    <w:rsid w:val="00596300"/>
    <w:rsid w:val="00597A68"/>
    <w:rsid w:val="005A2F9D"/>
    <w:rsid w:val="005A3EE3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BCC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1F80"/>
    <w:rsid w:val="0069227D"/>
    <w:rsid w:val="00693539"/>
    <w:rsid w:val="006941CA"/>
    <w:rsid w:val="00695570"/>
    <w:rsid w:val="0069575E"/>
    <w:rsid w:val="00695DA0"/>
    <w:rsid w:val="00695DDB"/>
    <w:rsid w:val="00696996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4C64"/>
    <w:rsid w:val="006B7FA7"/>
    <w:rsid w:val="006C0481"/>
    <w:rsid w:val="006C14A0"/>
    <w:rsid w:val="006C15A6"/>
    <w:rsid w:val="006C1772"/>
    <w:rsid w:val="006C17CE"/>
    <w:rsid w:val="006C1DC3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312D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69D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2D55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4A0D"/>
    <w:rsid w:val="007A5322"/>
    <w:rsid w:val="007A6BD0"/>
    <w:rsid w:val="007A6CF2"/>
    <w:rsid w:val="007A7156"/>
    <w:rsid w:val="007A73CF"/>
    <w:rsid w:val="007A7617"/>
    <w:rsid w:val="007B1AEA"/>
    <w:rsid w:val="007B2F1E"/>
    <w:rsid w:val="007B3330"/>
    <w:rsid w:val="007B336D"/>
    <w:rsid w:val="007B4889"/>
    <w:rsid w:val="007B6C22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54FF"/>
    <w:rsid w:val="007D6A53"/>
    <w:rsid w:val="007D7BFA"/>
    <w:rsid w:val="007E0891"/>
    <w:rsid w:val="007E0CD9"/>
    <w:rsid w:val="007E18F8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7BF"/>
    <w:rsid w:val="00803DC4"/>
    <w:rsid w:val="00804ED9"/>
    <w:rsid w:val="0080605A"/>
    <w:rsid w:val="0080629B"/>
    <w:rsid w:val="008063DC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57AA6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4E42"/>
    <w:rsid w:val="00875A53"/>
    <w:rsid w:val="0087668A"/>
    <w:rsid w:val="00876BF1"/>
    <w:rsid w:val="00877494"/>
    <w:rsid w:val="00877612"/>
    <w:rsid w:val="0087762C"/>
    <w:rsid w:val="00880666"/>
    <w:rsid w:val="008811D7"/>
    <w:rsid w:val="00881614"/>
    <w:rsid w:val="0088218A"/>
    <w:rsid w:val="008826FE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15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2274"/>
    <w:rsid w:val="008E2363"/>
    <w:rsid w:val="008E2A97"/>
    <w:rsid w:val="008E2C48"/>
    <w:rsid w:val="008E2EDD"/>
    <w:rsid w:val="008E3F96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2584"/>
    <w:rsid w:val="009430B2"/>
    <w:rsid w:val="00943230"/>
    <w:rsid w:val="00944882"/>
    <w:rsid w:val="00945965"/>
    <w:rsid w:val="00945F2D"/>
    <w:rsid w:val="009472A6"/>
    <w:rsid w:val="00952904"/>
    <w:rsid w:val="00953299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C04FD"/>
    <w:rsid w:val="009C107C"/>
    <w:rsid w:val="009C2060"/>
    <w:rsid w:val="009C3C78"/>
    <w:rsid w:val="009C51D0"/>
    <w:rsid w:val="009C550B"/>
    <w:rsid w:val="009C60C5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C3A"/>
    <w:rsid w:val="009F143F"/>
    <w:rsid w:val="009F152E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9F7C7C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5336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96F"/>
    <w:rsid w:val="00AC7DC0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CD8"/>
    <w:rsid w:val="00AE2D8D"/>
    <w:rsid w:val="00AE2E55"/>
    <w:rsid w:val="00AE3031"/>
    <w:rsid w:val="00AE3A35"/>
    <w:rsid w:val="00AE4350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4202"/>
    <w:rsid w:val="00AF471D"/>
    <w:rsid w:val="00AF499A"/>
    <w:rsid w:val="00AF4BAE"/>
    <w:rsid w:val="00B01224"/>
    <w:rsid w:val="00B01F4E"/>
    <w:rsid w:val="00B025A1"/>
    <w:rsid w:val="00B02AC8"/>
    <w:rsid w:val="00B02E1E"/>
    <w:rsid w:val="00B03AE4"/>
    <w:rsid w:val="00B040A1"/>
    <w:rsid w:val="00B0421D"/>
    <w:rsid w:val="00B05255"/>
    <w:rsid w:val="00B058A5"/>
    <w:rsid w:val="00B05EB4"/>
    <w:rsid w:val="00B073BC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F70"/>
    <w:rsid w:val="00B43A50"/>
    <w:rsid w:val="00B44276"/>
    <w:rsid w:val="00B44D02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BF7"/>
    <w:rsid w:val="00B81D56"/>
    <w:rsid w:val="00B82048"/>
    <w:rsid w:val="00B821B5"/>
    <w:rsid w:val="00B828DB"/>
    <w:rsid w:val="00B8314E"/>
    <w:rsid w:val="00B83F58"/>
    <w:rsid w:val="00B84918"/>
    <w:rsid w:val="00B85C8A"/>
    <w:rsid w:val="00B85EE0"/>
    <w:rsid w:val="00B868F0"/>
    <w:rsid w:val="00B869E4"/>
    <w:rsid w:val="00B9099F"/>
    <w:rsid w:val="00B931C9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2F2D"/>
    <w:rsid w:val="00BA3304"/>
    <w:rsid w:val="00BA4783"/>
    <w:rsid w:val="00BA4C32"/>
    <w:rsid w:val="00BA4C4F"/>
    <w:rsid w:val="00BA5872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B7F2B"/>
    <w:rsid w:val="00BC05A5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138C"/>
    <w:rsid w:val="00BE1DA0"/>
    <w:rsid w:val="00BE230E"/>
    <w:rsid w:val="00BE2C95"/>
    <w:rsid w:val="00BE3102"/>
    <w:rsid w:val="00BE5AB5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1451"/>
    <w:rsid w:val="00C21853"/>
    <w:rsid w:val="00C22238"/>
    <w:rsid w:val="00C22271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233C"/>
    <w:rsid w:val="00C339EF"/>
    <w:rsid w:val="00C33BD2"/>
    <w:rsid w:val="00C35037"/>
    <w:rsid w:val="00C351A8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1F76"/>
    <w:rsid w:val="00C93184"/>
    <w:rsid w:val="00C934A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2EEA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4B7F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1178"/>
    <w:rsid w:val="00D815A0"/>
    <w:rsid w:val="00D81CC3"/>
    <w:rsid w:val="00D82265"/>
    <w:rsid w:val="00D824EC"/>
    <w:rsid w:val="00D82ED2"/>
    <w:rsid w:val="00D83375"/>
    <w:rsid w:val="00D8347A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308"/>
    <w:rsid w:val="00D91899"/>
    <w:rsid w:val="00D92134"/>
    <w:rsid w:val="00D9319D"/>
    <w:rsid w:val="00D9334C"/>
    <w:rsid w:val="00D937BB"/>
    <w:rsid w:val="00D93E96"/>
    <w:rsid w:val="00D94FDF"/>
    <w:rsid w:val="00D955C1"/>
    <w:rsid w:val="00D97948"/>
    <w:rsid w:val="00DA12BE"/>
    <w:rsid w:val="00DA1D05"/>
    <w:rsid w:val="00DA1FF3"/>
    <w:rsid w:val="00DA2367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696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24A"/>
    <w:rsid w:val="00E603DC"/>
    <w:rsid w:val="00E60639"/>
    <w:rsid w:val="00E60651"/>
    <w:rsid w:val="00E60806"/>
    <w:rsid w:val="00E614D5"/>
    <w:rsid w:val="00E62682"/>
    <w:rsid w:val="00E63B62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9CF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44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5050"/>
    <w:rsid w:val="00F15189"/>
    <w:rsid w:val="00F15AF3"/>
    <w:rsid w:val="00F1685B"/>
    <w:rsid w:val="00F2055D"/>
    <w:rsid w:val="00F20637"/>
    <w:rsid w:val="00F20F7A"/>
    <w:rsid w:val="00F232F8"/>
    <w:rsid w:val="00F2373A"/>
    <w:rsid w:val="00F2458E"/>
    <w:rsid w:val="00F2504A"/>
    <w:rsid w:val="00F256B2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18DC"/>
    <w:rsid w:val="00FA2022"/>
    <w:rsid w:val="00FA2467"/>
    <w:rsid w:val="00FA272D"/>
    <w:rsid w:val="00FA290B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2CAC"/>
    <w:rsid w:val="00FE30E0"/>
    <w:rsid w:val="00FE3C1E"/>
    <w:rsid w:val="00FE3C36"/>
    <w:rsid w:val="00FE4B27"/>
    <w:rsid w:val="00FE5626"/>
    <w:rsid w:val="00FE5630"/>
    <w:rsid w:val="00FE5FD4"/>
    <w:rsid w:val="00FF0D78"/>
    <w:rsid w:val="00FF0EE9"/>
    <w:rsid w:val="00FF0EEE"/>
    <w:rsid w:val="00FF0F7F"/>
    <w:rsid w:val="00FF2793"/>
    <w:rsid w:val="00FF3815"/>
    <w:rsid w:val="00FF3EA9"/>
    <w:rsid w:val="00FF510D"/>
    <w:rsid w:val="00FF5B92"/>
    <w:rsid w:val="00FF5D78"/>
    <w:rsid w:val="00FF7034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09619"/>
  <w15:docId w15:val="{9F6C22A2-40CD-4613-A1D5-741FD4803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948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ListParagraph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Normal"/>
    <w:link w:val="ListParagraphChar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NoSpacing">
    <w:name w:val="No Spacing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CG Times (WN)" w:eastAsia="宋体" w:hAnsi="CG Times (WN)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1">
    <w:name w:val="Table Grid1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a">
    <w:name w:val="列出段落"/>
    <w:basedOn w:val="Normal"/>
    <w:rsid w:val="00D02EEA"/>
    <w:pPr>
      <w:widowControl/>
      <w:spacing w:before="100" w:beforeAutospacing="1" w:after="180"/>
      <w:ind w:firstLineChars="200" w:firstLine="420"/>
      <w:jc w:val="left"/>
    </w:pPr>
    <w:rPr>
      <w:rFonts w:ascii="Times New Roman" w:hAnsi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2298</TotalTime>
  <Pages>5</Pages>
  <Words>1337</Words>
  <Characters>7625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chunxia-CMCC</cp:lastModifiedBy>
  <cp:revision>183</cp:revision>
  <dcterms:created xsi:type="dcterms:W3CDTF">2022-04-25T02:55:00Z</dcterms:created>
  <dcterms:modified xsi:type="dcterms:W3CDTF">2023-04-07T06:58:00Z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