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6B4EC8" w14:textId="5823BD3E" w:rsidR="00A41B2B" w:rsidRPr="00425FD0" w:rsidRDefault="00A41B2B" w:rsidP="00A41B2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5</w:t>
      </w:r>
      <w:r w:rsidRPr="00425FD0">
        <w:rPr>
          <w:rFonts w:ascii="Arial" w:hAnsi="Arial"/>
          <w:b/>
          <w:i/>
          <w:noProof/>
          <w:sz w:val="28"/>
        </w:rPr>
        <w:tab/>
      </w:r>
      <w:bookmarkStart w:id="2" w:name="_GoBack"/>
      <w:r w:rsidRPr="006E3AD8">
        <w:rPr>
          <w:rFonts w:ascii="Arial" w:eastAsia="宋体" w:hAnsi="Arial" w:cs="Arial"/>
          <w:b/>
          <w:sz w:val="24"/>
          <w:lang w:val="en-US" w:eastAsia="zh-CN"/>
        </w:rPr>
        <w:t>R4-221924</w:t>
      </w:r>
      <w:r>
        <w:rPr>
          <w:rFonts w:ascii="Arial" w:eastAsia="宋体" w:hAnsi="Arial" w:cs="Arial"/>
          <w:b/>
          <w:sz w:val="24"/>
          <w:lang w:val="en-US" w:eastAsia="zh-CN"/>
        </w:rPr>
        <w:t>7</w:t>
      </w:r>
      <w:bookmarkEnd w:id="2"/>
    </w:p>
    <w:p w14:paraId="03BA4426" w14:textId="77777777" w:rsidR="00A41B2B" w:rsidRPr="00425FD0" w:rsidRDefault="00A41B2B" w:rsidP="00A41B2B">
      <w:pPr>
        <w:widowControl w:val="0"/>
        <w:tabs>
          <w:tab w:val="left" w:pos="2160"/>
        </w:tabs>
        <w:spacing w:after="0"/>
        <w:ind w:left="2127" w:hanging="2127"/>
        <w:jc w:val="both"/>
        <w:rPr>
          <w:rFonts w:ascii="Arial" w:eastAsia="宋体" w:hAnsi="Arial" w:cs="Arial"/>
          <w:b/>
          <w:sz w:val="24"/>
          <w:lang w:val="en-US" w:eastAsia="zh-CN"/>
        </w:rPr>
      </w:pPr>
      <w:r w:rsidRPr="006E3AD8">
        <w:rPr>
          <w:rFonts w:ascii="Arial" w:hAnsi="Arial" w:cs="Arial"/>
          <w:b/>
          <w:sz w:val="24"/>
          <w:lang w:val="en-US" w:eastAsia="zh-CN"/>
        </w:rPr>
        <w:t>Toulouse, France, November 14 – 19</w:t>
      </w:r>
      <w:r>
        <w:rPr>
          <w:rFonts w:ascii="Arial" w:hAnsi="Arial" w:cs="Arial"/>
          <w:b/>
          <w:sz w:val="24"/>
          <w:lang w:val="en-US" w:eastAsia="zh-CN"/>
        </w:rPr>
        <w:t>,</w:t>
      </w:r>
      <w:r w:rsidRPr="002B1DD8">
        <w:rPr>
          <w:rFonts w:ascii="Arial" w:hAnsi="Arial" w:cs="Arial"/>
          <w:b/>
          <w:sz w:val="24"/>
          <w:lang w:val="en-US" w:eastAsia="zh-CN"/>
        </w:rPr>
        <w:t xml:space="preserve"> 2022</w:t>
      </w:r>
    </w:p>
    <w:bookmarkEnd w:id="0"/>
    <w:bookmarkEnd w:id="1"/>
    <w:p w14:paraId="05625486" w14:textId="77777777" w:rsidR="00070561" w:rsidRPr="00A41B2B" w:rsidRDefault="00070561" w:rsidP="00F90E24">
      <w:pPr>
        <w:pStyle w:val="a5"/>
        <w:jc w:val="both"/>
        <w:rPr>
          <w:noProof w:val="0"/>
        </w:rPr>
      </w:pPr>
    </w:p>
    <w:p w14:paraId="28513F45" w14:textId="08ED3E3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B07D2" w:rsidRPr="004B07D2">
        <w:rPr>
          <w:rFonts w:ascii="Arial" w:eastAsia="宋体" w:hAnsi="Arial"/>
          <w:b/>
          <w:sz w:val="24"/>
          <w:lang w:val="en-US" w:eastAsia="zh-CN"/>
        </w:rPr>
        <w:t xml:space="preserve">Discussion on remaining issues for R17 </w:t>
      </w:r>
      <w:proofErr w:type="spellStart"/>
      <w:r w:rsidR="004B07D2" w:rsidRPr="004B07D2">
        <w:rPr>
          <w:rFonts w:ascii="Arial" w:eastAsia="宋体" w:hAnsi="Arial"/>
          <w:b/>
          <w:sz w:val="24"/>
          <w:lang w:val="en-US" w:eastAsia="zh-CN"/>
        </w:rPr>
        <w:t>FeMIMO</w:t>
      </w:r>
      <w:proofErr w:type="spellEnd"/>
      <w:r w:rsidR="004B07D2" w:rsidRPr="004B07D2">
        <w:rPr>
          <w:rFonts w:ascii="Arial" w:eastAsia="宋体" w:hAnsi="Arial"/>
          <w:b/>
          <w:sz w:val="24"/>
          <w:lang w:val="en-US" w:eastAsia="zh-CN"/>
        </w:rPr>
        <w:t xml:space="preserve"> test cases</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70CC25A4"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41B2B">
        <w:rPr>
          <w:rFonts w:ascii="Arial" w:eastAsia="宋体" w:hAnsi="Arial"/>
          <w:b/>
          <w:sz w:val="24"/>
          <w:lang w:val="en-US" w:eastAsia="zh-CN"/>
        </w:rPr>
        <w:t>6</w:t>
      </w:r>
      <w:r w:rsidR="00C07BD0" w:rsidRPr="00C07BD0">
        <w:rPr>
          <w:rFonts w:ascii="Arial" w:eastAsia="宋体" w:hAnsi="Arial"/>
          <w:b/>
          <w:sz w:val="24"/>
          <w:lang w:val="en-US" w:eastAsia="zh-CN"/>
        </w:rPr>
        <w:t>.5.</w:t>
      </w:r>
      <w:r w:rsidR="00A41B2B">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2B07E221" w14:textId="7583EF32" w:rsidR="00993BFA" w:rsidRDefault="00532912" w:rsidP="0064026D">
      <w:pPr>
        <w:adjustRightInd w:val="0"/>
        <w:snapToGrid w:val="0"/>
        <w:spacing w:before="180" w:after="120"/>
        <w:rPr>
          <w:rFonts w:eastAsia="宋体"/>
          <w:sz w:val="22"/>
          <w:lang w:eastAsia="zh-CN"/>
        </w:rPr>
      </w:pPr>
      <w:r w:rsidRPr="00922D0A">
        <w:rPr>
          <w:rFonts w:eastAsia="宋体"/>
          <w:sz w:val="22"/>
          <w:lang w:eastAsia="zh-CN"/>
        </w:rPr>
        <w:t>In this contribution, we provide discussion on</w:t>
      </w:r>
      <w:r w:rsidR="00312B4E">
        <w:rPr>
          <w:rFonts w:eastAsia="宋体"/>
          <w:sz w:val="22"/>
          <w:lang w:eastAsia="zh-CN"/>
        </w:rPr>
        <w:t xml:space="preserve"> </w:t>
      </w:r>
      <w:r w:rsidR="001D7992">
        <w:rPr>
          <w:rFonts w:eastAsia="宋体"/>
          <w:sz w:val="22"/>
          <w:lang w:eastAsia="zh-CN"/>
        </w:rPr>
        <w:t xml:space="preserve">remaining </w:t>
      </w:r>
      <w:r w:rsidR="00804A67">
        <w:rPr>
          <w:rFonts w:eastAsia="宋体"/>
          <w:sz w:val="22"/>
          <w:lang w:eastAsia="zh-CN"/>
        </w:rPr>
        <w:t xml:space="preserve">open </w:t>
      </w:r>
      <w:r w:rsidR="001D7992">
        <w:rPr>
          <w:rFonts w:eastAsia="宋体"/>
          <w:sz w:val="22"/>
          <w:lang w:eastAsia="zh-CN"/>
        </w:rPr>
        <w:t xml:space="preserve">issues </w:t>
      </w:r>
      <w:r w:rsidR="00D21407">
        <w:rPr>
          <w:rFonts w:eastAsia="宋体"/>
          <w:sz w:val="22"/>
          <w:lang w:eastAsia="zh-CN"/>
        </w:rPr>
        <w:t xml:space="preserve">on </w:t>
      </w:r>
      <w:r w:rsidR="00804A67">
        <w:rPr>
          <w:rFonts w:eastAsia="宋体"/>
          <w:sz w:val="22"/>
          <w:lang w:eastAsia="zh-CN"/>
        </w:rPr>
        <w:t xml:space="preserve">for NR </w:t>
      </w:r>
      <w:proofErr w:type="spellStart"/>
      <w:r w:rsidR="00804A67">
        <w:rPr>
          <w:rFonts w:eastAsia="宋体"/>
          <w:sz w:val="22"/>
          <w:lang w:eastAsia="zh-CN"/>
        </w:rPr>
        <w:t>FeMIMO</w:t>
      </w:r>
      <w:proofErr w:type="spellEnd"/>
      <w:r w:rsidR="00D21407">
        <w:rPr>
          <w:rFonts w:eastAsia="宋体"/>
          <w:sz w:val="22"/>
          <w:lang w:eastAsia="zh-CN"/>
        </w:rPr>
        <w:t xml:space="preserve"> test cases</w:t>
      </w:r>
      <w:r w:rsidR="0058759B">
        <w:rPr>
          <w:rFonts w:eastAsia="宋体"/>
          <w:sz w:val="22"/>
          <w:lang w:eastAsia="zh-CN"/>
        </w:rPr>
        <w:t>.</w:t>
      </w:r>
    </w:p>
    <w:p w14:paraId="687ADD95" w14:textId="77777777" w:rsidR="00754DE9" w:rsidRDefault="00C643FE" w:rsidP="00754DE9">
      <w:pPr>
        <w:pStyle w:val="1"/>
        <w:jc w:val="both"/>
        <w:rPr>
          <w:lang w:val="en-US"/>
        </w:rPr>
      </w:pPr>
      <w:r w:rsidRPr="00C643FE">
        <w:rPr>
          <w:lang w:val="en-US"/>
        </w:rPr>
        <w:t>Discussion</w:t>
      </w:r>
    </w:p>
    <w:p w14:paraId="6EAC6F1A" w14:textId="35F579D4" w:rsidR="00804A67" w:rsidRDefault="003F1E82" w:rsidP="00804A67">
      <w:pPr>
        <w:pStyle w:val="2"/>
        <w:rPr>
          <w:lang w:val="en-US" w:eastAsia="zh-CN"/>
        </w:rPr>
      </w:pPr>
      <w:r>
        <w:rPr>
          <w:lang w:val="en-US" w:eastAsia="zh-CN"/>
        </w:rPr>
        <w:t>Unified</w:t>
      </w:r>
      <w:r w:rsidR="00804A67" w:rsidRPr="00804A67">
        <w:rPr>
          <w:lang w:val="en-US" w:eastAsia="zh-CN"/>
        </w:rPr>
        <w:t xml:space="preserve"> TCI state switch</w:t>
      </w:r>
      <w:r>
        <w:rPr>
          <w:lang w:val="en-US" w:eastAsia="zh-CN"/>
        </w:rPr>
        <w:t xml:space="preserve"> test</w:t>
      </w:r>
    </w:p>
    <w:p w14:paraId="45EFADC4" w14:textId="5462AA09" w:rsidR="00FF55F5" w:rsidRDefault="002B1FA2" w:rsidP="002B1FA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RAN4, the </w:t>
      </w:r>
      <w:r w:rsidR="00FF55F5">
        <w:rPr>
          <w:rFonts w:eastAsiaTheme="minorEastAsia"/>
          <w:sz w:val="22"/>
          <w:lang w:val="en-US" w:eastAsia="zh-CN"/>
        </w:rPr>
        <w:t xml:space="preserve">following open </w:t>
      </w:r>
      <w:r>
        <w:rPr>
          <w:rFonts w:eastAsiaTheme="minorEastAsia"/>
          <w:sz w:val="22"/>
          <w:lang w:val="en-US" w:eastAsia="zh-CN"/>
        </w:rPr>
        <w:t xml:space="preserve">issue </w:t>
      </w:r>
      <w:r w:rsidR="00FF55F5">
        <w:rPr>
          <w:rFonts w:eastAsiaTheme="minorEastAsia"/>
          <w:sz w:val="22"/>
          <w:lang w:val="en-US" w:eastAsia="zh-CN"/>
        </w:rPr>
        <w:t>captured in WF</w:t>
      </w:r>
    </w:p>
    <w:tbl>
      <w:tblPr>
        <w:tblStyle w:val="afa"/>
        <w:tblW w:w="0" w:type="auto"/>
        <w:tblLook w:val="04A0" w:firstRow="1" w:lastRow="0" w:firstColumn="1" w:lastColumn="0" w:noHBand="0" w:noVBand="1"/>
      </w:tblPr>
      <w:tblGrid>
        <w:gridCol w:w="9621"/>
      </w:tblGrid>
      <w:tr w:rsidR="00FF55F5" w14:paraId="36D8A743" w14:textId="77777777" w:rsidTr="00FF55F5">
        <w:tc>
          <w:tcPr>
            <w:tcW w:w="9621" w:type="dxa"/>
          </w:tcPr>
          <w:p w14:paraId="34E615FA" w14:textId="566F8319" w:rsidR="00FF55F5" w:rsidRPr="00FF55F5" w:rsidRDefault="00FF55F5" w:rsidP="00FF55F5">
            <w:pPr>
              <w:rPr>
                <w:u w:val="single"/>
                <w:lang w:eastAsia="ko-KR"/>
              </w:rPr>
            </w:pPr>
            <w:r w:rsidRPr="00FF55F5">
              <w:rPr>
                <w:u w:val="single"/>
                <w:lang w:eastAsia="ko-KR"/>
              </w:rPr>
              <w:t xml:space="preserve">Issue 1-1-1b/3: Whether PL-RS is maintained or not maintained in joint TCI test cases and </w:t>
            </w:r>
            <w:proofErr w:type="gramStart"/>
            <w:r w:rsidRPr="00FF55F5">
              <w:rPr>
                <w:u w:val="single"/>
                <w:lang w:eastAsia="ko-KR"/>
              </w:rPr>
              <w:t>how to</w:t>
            </w:r>
            <w:proofErr w:type="gramEnd"/>
            <w:r w:rsidRPr="00FF55F5">
              <w:rPr>
                <w:u w:val="single"/>
                <w:lang w:eastAsia="ko-KR"/>
              </w:rPr>
              <w:t xml:space="preserve"> config?</w:t>
            </w:r>
          </w:p>
          <w:p w14:paraId="0197DE8F" w14:textId="77777777" w:rsidR="00FF55F5" w:rsidRPr="00FF55F5" w:rsidRDefault="00FF55F5" w:rsidP="00FF55F5">
            <w:pPr>
              <w:rPr>
                <w:u w:val="single"/>
                <w:lang w:eastAsia="ko-KR"/>
              </w:rPr>
            </w:pPr>
            <w:r w:rsidRPr="00FF55F5">
              <w:rPr>
                <w:u w:val="single"/>
                <w:lang w:eastAsia="ko-KR"/>
              </w:rPr>
              <w:t>Issue 1-1-2: How to define P</w:t>
            </w:r>
            <w:r w:rsidRPr="00FF55F5">
              <w:rPr>
                <w:rFonts w:hint="eastAsia"/>
                <w:u w:val="single"/>
                <w:lang w:eastAsia="zh-CN"/>
              </w:rPr>
              <w:t>L</w:t>
            </w:r>
            <w:r w:rsidRPr="00FF55F5">
              <w:rPr>
                <w:u w:val="single"/>
                <w:lang w:eastAsia="ko-KR"/>
              </w:rPr>
              <w:t>-RS of target TCI?</w:t>
            </w:r>
          </w:p>
          <w:p w14:paraId="00FE4CE5" w14:textId="0F052B81" w:rsidR="00FF55F5" w:rsidRPr="00FF55F5" w:rsidRDefault="00FF55F5" w:rsidP="00FF55F5">
            <w:pPr>
              <w:spacing w:afterLines="50" w:after="120"/>
              <w:rPr>
                <w:rFonts w:eastAsiaTheme="minorEastAsia"/>
                <w:b/>
                <w:lang w:eastAsia="zh-CN"/>
              </w:rPr>
            </w:pPr>
            <w:r w:rsidRPr="00FF55F5">
              <w:rPr>
                <w:rFonts w:hint="eastAsia"/>
                <w:u w:val="single"/>
                <w:lang w:eastAsia="zh-CN"/>
              </w:rPr>
              <w:t>I</w:t>
            </w:r>
            <w:r w:rsidRPr="00FF55F5">
              <w:rPr>
                <w:u w:val="single"/>
                <w:lang w:eastAsia="zh-CN"/>
              </w:rPr>
              <w:t>ssue 1-2-2: Whether to provide RRC configuration of the cell of additional PCI?</w:t>
            </w:r>
          </w:p>
        </w:tc>
      </w:tr>
    </w:tbl>
    <w:p w14:paraId="2DCE55A4" w14:textId="5C0A036A" w:rsidR="00FF55F5" w:rsidRDefault="00BC1A3C" w:rsidP="002B1FA2">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sidR="00323D34">
        <w:rPr>
          <w:rFonts w:eastAsiaTheme="minorEastAsia"/>
          <w:sz w:val="22"/>
          <w:lang w:val="en-US" w:eastAsia="zh-CN"/>
        </w:rPr>
        <w:t>joint TCI switching test cases</w:t>
      </w:r>
      <w:r w:rsidR="00323D34">
        <w:rPr>
          <w:rFonts w:eastAsiaTheme="minorEastAsia" w:hint="eastAsia"/>
          <w:sz w:val="22"/>
          <w:lang w:val="en-US" w:eastAsia="zh-CN"/>
        </w:rPr>
        <w:t>,</w:t>
      </w:r>
      <w:r w:rsidR="00323D34">
        <w:rPr>
          <w:rFonts w:eastAsiaTheme="minorEastAsia"/>
          <w:sz w:val="22"/>
          <w:lang w:val="en-US" w:eastAsia="zh-CN"/>
        </w:rPr>
        <w:t xml:space="preserve"> </w:t>
      </w:r>
      <w:r w:rsidR="001C499F">
        <w:rPr>
          <w:rFonts w:eastAsiaTheme="minorEastAsia"/>
          <w:sz w:val="22"/>
          <w:lang w:val="en-US" w:eastAsia="zh-CN"/>
        </w:rPr>
        <w:t xml:space="preserve">only </w:t>
      </w:r>
      <w:r w:rsidR="00323D34">
        <w:rPr>
          <w:rFonts w:eastAsiaTheme="minorEastAsia"/>
          <w:sz w:val="22"/>
          <w:lang w:val="en-US" w:eastAsia="zh-CN"/>
        </w:rPr>
        <w:t xml:space="preserve">two TCI states </w:t>
      </w:r>
      <w:r w:rsidR="001C499F">
        <w:rPr>
          <w:rFonts w:eastAsiaTheme="minorEastAsia"/>
          <w:sz w:val="22"/>
          <w:lang w:val="en-US" w:eastAsia="zh-CN"/>
        </w:rPr>
        <w:t xml:space="preserve">in total are configured in TCI state list by RRC signaling </w:t>
      </w:r>
      <w:r w:rsidR="001C499F" w:rsidRPr="001C499F">
        <w:rPr>
          <w:rFonts w:eastAsiaTheme="minorEastAsia"/>
          <w:i/>
          <w:sz w:val="22"/>
          <w:lang w:val="en-US" w:eastAsia="zh-CN"/>
        </w:rPr>
        <w:t>dl-OrJoint-TCIStateList-r17</w:t>
      </w:r>
      <w:r w:rsidR="001C499F">
        <w:rPr>
          <w:rFonts w:eastAsiaTheme="minorEastAsia"/>
          <w:sz w:val="22"/>
          <w:lang w:val="en-US" w:eastAsia="zh-CN"/>
        </w:rPr>
        <w:t>.</w:t>
      </w:r>
      <w:r w:rsidR="00F45EAC">
        <w:rPr>
          <w:rFonts w:eastAsiaTheme="minorEastAsia"/>
          <w:sz w:val="22"/>
          <w:lang w:val="en-US" w:eastAsia="zh-CN"/>
        </w:rPr>
        <w:t xml:space="preserve"> Then, there are only two PL-RSs configured by RRC signaling. When the total number of PL-RS for uplink is no more than 4, UE is assumed to be able to maintain all the PL-RSs. So, the two PL-RSs in TCI state list can be assumed to be maintained by UE.</w:t>
      </w:r>
    </w:p>
    <w:p w14:paraId="1B0208C5" w14:textId="7213FD89" w:rsidR="00F45EAC" w:rsidRDefault="00F45EAC" w:rsidP="00F45EA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joint TCI state</w:t>
      </w:r>
      <w:r w:rsidR="004A6EB1">
        <w:rPr>
          <w:rFonts w:eastAsiaTheme="minorEastAsia"/>
          <w:b/>
          <w:i/>
          <w:sz w:val="22"/>
          <w:lang w:val="en-US" w:eastAsia="zh-CN"/>
        </w:rPr>
        <w:t xml:space="preserve"> switching tests</w:t>
      </w:r>
      <w:r>
        <w:rPr>
          <w:rFonts w:eastAsiaTheme="minorEastAsia"/>
          <w:b/>
          <w:i/>
          <w:sz w:val="22"/>
          <w:lang w:val="en-US" w:eastAsia="zh-CN"/>
        </w:rPr>
        <w:t xml:space="preserve">, </w:t>
      </w:r>
      <w:r w:rsidR="004A6EB1">
        <w:rPr>
          <w:rFonts w:eastAsiaTheme="minorEastAsia"/>
          <w:b/>
          <w:i/>
          <w:sz w:val="22"/>
          <w:lang w:val="en-US" w:eastAsia="zh-CN"/>
        </w:rPr>
        <w:t xml:space="preserve">the PL-RSs in only two joint TCI states indicated by </w:t>
      </w:r>
      <w:r w:rsidR="004A6EB1" w:rsidRPr="004A6EB1">
        <w:rPr>
          <w:rFonts w:eastAsiaTheme="minorEastAsia"/>
          <w:b/>
          <w:i/>
          <w:sz w:val="22"/>
          <w:lang w:val="en-US" w:eastAsia="zh-CN"/>
        </w:rPr>
        <w:t>RRC signaling dl-OrJoint-TCIStateList-r17</w:t>
      </w:r>
      <w:r w:rsidR="004A6EB1">
        <w:rPr>
          <w:rFonts w:eastAsiaTheme="minorEastAsia"/>
          <w:b/>
          <w:i/>
          <w:sz w:val="22"/>
          <w:lang w:val="en-US" w:eastAsia="zh-CN"/>
        </w:rPr>
        <w:t xml:space="preserve"> can be assumed to be maintained</w:t>
      </w:r>
      <w:r w:rsidRPr="002F2D73">
        <w:rPr>
          <w:rFonts w:eastAsiaTheme="minorEastAsia"/>
          <w:b/>
          <w:i/>
          <w:sz w:val="22"/>
          <w:lang w:val="en-US" w:eastAsia="zh-CN"/>
        </w:rPr>
        <w:t>.</w:t>
      </w:r>
    </w:p>
    <w:p w14:paraId="65AF2078" w14:textId="023AC478" w:rsidR="005B4518" w:rsidRDefault="005B4518" w:rsidP="003913D2">
      <w:pPr>
        <w:widowControl w:val="0"/>
        <w:adjustRightInd w:val="0"/>
        <w:snapToGrid w:val="0"/>
        <w:spacing w:before="180"/>
        <w:rPr>
          <w:rFonts w:eastAsiaTheme="minorEastAsia"/>
          <w:sz w:val="22"/>
          <w:lang w:val="en-US" w:eastAsia="zh-CN"/>
        </w:rPr>
      </w:pPr>
      <w:r>
        <w:rPr>
          <w:rFonts w:eastAsiaTheme="minorEastAsia"/>
          <w:sz w:val="22"/>
          <w:lang w:val="en-US" w:eastAsia="zh-CN"/>
        </w:rPr>
        <w:t>For joint/UL TCI switching test cases,</w:t>
      </w:r>
      <w:r>
        <w:rPr>
          <w:rFonts w:eastAsiaTheme="minorEastAsia" w:hint="eastAsia"/>
          <w:sz w:val="22"/>
          <w:lang w:val="en-US" w:eastAsia="zh-CN"/>
        </w:rPr>
        <w:t xml:space="preserve"> </w:t>
      </w:r>
      <w:r>
        <w:rPr>
          <w:rFonts w:eastAsiaTheme="minorEastAsia"/>
          <w:sz w:val="22"/>
          <w:lang w:val="en-US" w:eastAsia="zh-CN"/>
        </w:rPr>
        <w:t>CSI-RS resource is configured as t</w:t>
      </w:r>
      <w:r w:rsidR="004A6EB1">
        <w:rPr>
          <w:rFonts w:eastAsiaTheme="minorEastAsia"/>
          <w:sz w:val="22"/>
          <w:lang w:val="en-US" w:eastAsia="zh-CN"/>
        </w:rPr>
        <w:t>he PL-RS in joint/UL TCI</w:t>
      </w:r>
      <w:r w:rsidR="006776EB">
        <w:rPr>
          <w:rFonts w:eastAsiaTheme="minorEastAsia"/>
          <w:sz w:val="22"/>
          <w:lang w:val="en-US" w:eastAsia="zh-CN"/>
        </w:rPr>
        <w:t xml:space="preserve"> </w:t>
      </w:r>
      <w:r>
        <w:rPr>
          <w:rFonts w:eastAsiaTheme="minorEastAsia"/>
          <w:sz w:val="22"/>
          <w:lang w:val="en-US" w:eastAsia="zh-CN"/>
        </w:rPr>
        <w:t xml:space="preserve">state. UE performs PL-RS measurements for power control of uplink transmissions. So, in the same joint/UL TCI, PL-RS is expected to have the same beam information with the source RS. </w:t>
      </w:r>
    </w:p>
    <w:p w14:paraId="64D11A19" w14:textId="2BBDB2D9" w:rsidR="003913D2" w:rsidRDefault="003913D2" w:rsidP="003913D2">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joint/UL TCI state switching tests, the PL-RS are </w:t>
      </w:r>
      <w:r w:rsidR="005B4518">
        <w:rPr>
          <w:rFonts w:eastAsiaTheme="minorEastAsia"/>
          <w:b/>
          <w:i/>
          <w:sz w:val="22"/>
          <w:lang w:val="en-US" w:eastAsia="zh-CN"/>
        </w:rPr>
        <w:t xml:space="preserve">configured to be </w:t>
      </w:r>
      <w:r>
        <w:rPr>
          <w:rFonts w:eastAsiaTheme="minorEastAsia"/>
          <w:b/>
          <w:i/>
          <w:sz w:val="22"/>
          <w:lang w:val="en-US" w:eastAsia="zh-CN"/>
        </w:rPr>
        <w:t>QCL</w:t>
      </w:r>
      <w:r w:rsidR="005B4518">
        <w:rPr>
          <w:rFonts w:eastAsiaTheme="minorEastAsia"/>
          <w:b/>
          <w:i/>
          <w:sz w:val="22"/>
          <w:lang w:val="en-US" w:eastAsia="zh-CN"/>
        </w:rPr>
        <w:t xml:space="preserve"> type D with the source RS in the same joint/UL TCI</w:t>
      </w:r>
      <w:r w:rsidRPr="002F2D73">
        <w:rPr>
          <w:rFonts w:eastAsiaTheme="minorEastAsia"/>
          <w:b/>
          <w:i/>
          <w:sz w:val="22"/>
          <w:lang w:val="en-US" w:eastAsia="zh-CN"/>
        </w:rPr>
        <w:t>.</w:t>
      </w:r>
    </w:p>
    <w:p w14:paraId="08044546" w14:textId="1F555BBA" w:rsidR="004A6EB1" w:rsidRPr="00753A33" w:rsidRDefault="00753A33" w:rsidP="002B1FA2">
      <w:pPr>
        <w:widowControl w:val="0"/>
        <w:adjustRightInd w:val="0"/>
        <w:snapToGrid w:val="0"/>
        <w:spacing w:before="180"/>
        <w:rPr>
          <w:rFonts w:eastAsiaTheme="minorEastAsia"/>
          <w:sz w:val="22"/>
          <w:lang w:val="en-US" w:eastAsia="zh-CN"/>
        </w:rPr>
      </w:pPr>
      <w:r>
        <w:rPr>
          <w:rFonts w:eastAsiaTheme="minorEastAsia"/>
          <w:sz w:val="22"/>
          <w:lang w:val="en-US" w:eastAsia="zh-CN"/>
        </w:rPr>
        <w:t xml:space="preserve">For DL TCL state switching test cases, TCI state 1 is configured to be associated with an additional PCI. However, the additional PCI is not provided with a specific value in the test. For DL TCL state switching tests, </w:t>
      </w:r>
      <w:r w:rsidR="001E63DC">
        <w:rPr>
          <w:rFonts w:eastAsiaTheme="minorEastAsia"/>
          <w:sz w:val="22"/>
          <w:lang w:val="en-US" w:eastAsia="zh-CN"/>
        </w:rPr>
        <w:t>there is no need to provide specific values for both serving PCI and additional PCI as long as the serving PCI and additional PCI are different.</w:t>
      </w:r>
    </w:p>
    <w:p w14:paraId="73874F50" w14:textId="2FE355EC" w:rsidR="00753A33" w:rsidRDefault="00753A33" w:rsidP="00753A33">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sidR="001E63DC">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For </w:t>
      </w:r>
      <w:r w:rsidR="001E63DC">
        <w:rPr>
          <w:rFonts w:eastAsiaTheme="minorEastAsia"/>
          <w:b/>
          <w:i/>
          <w:sz w:val="22"/>
          <w:lang w:val="en-US" w:eastAsia="zh-CN"/>
        </w:rPr>
        <w:t>D</w:t>
      </w:r>
      <w:r>
        <w:rPr>
          <w:rFonts w:eastAsiaTheme="minorEastAsia"/>
          <w:b/>
          <w:i/>
          <w:sz w:val="22"/>
          <w:lang w:val="en-US" w:eastAsia="zh-CN"/>
        </w:rPr>
        <w:t>L TCI state switching tests, the</w:t>
      </w:r>
      <w:r w:rsidR="001E63DC">
        <w:rPr>
          <w:rFonts w:eastAsiaTheme="minorEastAsia"/>
          <w:b/>
          <w:i/>
          <w:sz w:val="22"/>
          <w:lang w:val="en-US" w:eastAsia="zh-CN"/>
        </w:rPr>
        <w:t xml:space="preserve">re is no need to </w:t>
      </w:r>
      <w:r w:rsidR="001E63DC" w:rsidRPr="001E63DC">
        <w:rPr>
          <w:rFonts w:eastAsiaTheme="minorEastAsia"/>
          <w:b/>
          <w:i/>
          <w:sz w:val="22"/>
          <w:lang w:val="en-US" w:eastAsia="zh-CN"/>
        </w:rPr>
        <w:t>provide specific values for both serving PCI and additional PCI as long as the serving PCI and additional PCI are different.</w:t>
      </w:r>
    </w:p>
    <w:p w14:paraId="3ED3E80A" w14:textId="5CBA7BE4" w:rsidR="008A6B56" w:rsidRDefault="001E63DC" w:rsidP="008A6B56">
      <w:pPr>
        <w:pStyle w:val="2"/>
        <w:rPr>
          <w:lang w:val="en-US" w:eastAsia="zh-CN"/>
        </w:rPr>
      </w:pPr>
      <w:bookmarkStart w:id="4" w:name="OLE_LINK232"/>
      <w:bookmarkStart w:id="5" w:name="OLE_LINK233"/>
      <w:bookmarkStart w:id="6" w:name="OLE_LINK665"/>
      <w:bookmarkStart w:id="7" w:name="OLE_LINK666"/>
      <w:bookmarkStart w:id="8" w:name="OLE_LINK667"/>
      <w:r>
        <w:rPr>
          <w:lang w:val="en-US" w:eastAsia="zh-CN"/>
        </w:rPr>
        <w:t>TRP specific BFR test</w:t>
      </w:r>
    </w:p>
    <w:p w14:paraId="62798D5A" w14:textId="01C319B3" w:rsidR="008A6B56" w:rsidRDefault="001E63DC" w:rsidP="008A6B56">
      <w:pPr>
        <w:widowControl w:val="0"/>
        <w:adjustRightInd w:val="0"/>
        <w:snapToGrid w:val="0"/>
        <w:spacing w:before="180"/>
        <w:rPr>
          <w:rFonts w:eastAsiaTheme="minorEastAsia"/>
          <w:sz w:val="22"/>
          <w:lang w:val="en-US" w:eastAsia="zh-CN"/>
        </w:rPr>
      </w:pPr>
      <w:r>
        <w:rPr>
          <w:rFonts w:eastAsiaTheme="minorEastAsia"/>
          <w:sz w:val="22"/>
          <w:lang w:val="en-US" w:eastAsia="zh-CN"/>
        </w:rPr>
        <w:t>In RAN4, the issue on whether intra-cell TRP or inter-cell TRP specific BFR test cases are designed need to be further studied.</w:t>
      </w:r>
    </w:p>
    <w:p w14:paraId="34BD9AE8" w14:textId="675FF6AE" w:rsidR="001E63DC" w:rsidRDefault="001E63DC" w:rsidP="008A6B56">
      <w:pPr>
        <w:widowControl w:val="0"/>
        <w:adjustRightInd w:val="0"/>
        <w:snapToGrid w:val="0"/>
        <w:spacing w:before="180"/>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TRP specific BFR, whether it is intra-cell TRP case or inter-cell TRP case depends on whether SSBs in two resource sets are different. Hence, the scenario of intra-cell TRP</w:t>
      </w:r>
      <w:r w:rsidRPr="001E63DC">
        <w:rPr>
          <w:rFonts w:eastAsiaTheme="minorEastAsia"/>
          <w:sz w:val="22"/>
          <w:lang w:val="en-US" w:eastAsia="zh-CN"/>
        </w:rPr>
        <w:t xml:space="preserve"> </w:t>
      </w:r>
      <w:r>
        <w:rPr>
          <w:rFonts w:eastAsiaTheme="minorEastAsia"/>
          <w:sz w:val="22"/>
          <w:lang w:val="en-US" w:eastAsia="zh-CN"/>
        </w:rPr>
        <w:t xml:space="preserve">or inter-cell TRP only can be reflected by SSB configuration, i.e. SSB based TRP specific BFR tests. For SSB based TRP specific BFR, RAN4 </w:t>
      </w:r>
      <w:r>
        <w:rPr>
          <w:rFonts w:eastAsiaTheme="minorEastAsia"/>
          <w:sz w:val="22"/>
          <w:lang w:val="en-US" w:eastAsia="zh-CN"/>
        </w:rPr>
        <w:lastRenderedPageBreak/>
        <w:t>agreed that SSBs from two resource sets are configured as non-overlapped. So, the test requirements will be no difference between intra-cell TRP</w:t>
      </w:r>
      <w:r w:rsidRPr="001E63DC">
        <w:rPr>
          <w:rFonts w:eastAsiaTheme="minorEastAsia"/>
          <w:sz w:val="22"/>
          <w:lang w:val="en-US" w:eastAsia="zh-CN"/>
        </w:rPr>
        <w:t xml:space="preserve"> </w:t>
      </w:r>
      <w:r>
        <w:rPr>
          <w:rFonts w:eastAsiaTheme="minorEastAsia"/>
          <w:sz w:val="22"/>
          <w:lang w:val="en-US" w:eastAsia="zh-CN"/>
        </w:rPr>
        <w:t xml:space="preserve">and inter-cell TRP. Besides, the test purpose is to verify that UE is able to perform beam failure recovery on the corresponding TRP when beam failure occurs on one TRP. Hence, we suggest to design all </w:t>
      </w:r>
    </w:p>
    <w:p w14:paraId="0784274E" w14:textId="4CF3D000" w:rsidR="001E63DC" w:rsidRDefault="001E63DC" w:rsidP="001E63D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4</w:t>
      </w:r>
      <w:r w:rsidRPr="00BD2CE3">
        <w:rPr>
          <w:rFonts w:eastAsiaTheme="minorEastAsia"/>
          <w:b/>
          <w:i/>
          <w:sz w:val="22"/>
          <w:lang w:val="en-US" w:eastAsia="zh-CN"/>
        </w:rPr>
        <w:t>:</w:t>
      </w:r>
      <w:r>
        <w:rPr>
          <w:rFonts w:eastAsiaTheme="minorEastAsia"/>
          <w:b/>
          <w:i/>
          <w:sz w:val="22"/>
          <w:lang w:val="en-US" w:eastAsia="zh-CN"/>
        </w:rPr>
        <w:t xml:space="preserve"> For TRP specific BFR testing, it is suggested to design all test cases as intra-cell TRP scenario</w:t>
      </w:r>
      <w:r w:rsidRPr="001E63DC">
        <w:rPr>
          <w:rFonts w:eastAsiaTheme="minorEastAsia"/>
          <w:b/>
          <w:i/>
          <w:sz w:val="22"/>
          <w:lang w:val="en-US" w:eastAsia="zh-CN"/>
        </w:rPr>
        <w:t>.</w:t>
      </w:r>
    </w:p>
    <w:p w14:paraId="65DB80F4" w14:textId="77777777" w:rsidR="001E63DC" w:rsidRPr="001E63DC" w:rsidRDefault="001E63DC" w:rsidP="008A6B56">
      <w:pPr>
        <w:widowControl w:val="0"/>
        <w:adjustRightInd w:val="0"/>
        <w:snapToGrid w:val="0"/>
        <w:spacing w:before="180"/>
        <w:rPr>
          <w:rFonts w:eastAsiaTheme="minorEastAsia"/>
          <w:sz w:val="22"/>
          <w:lang w:val="en-US" w:eastAsia="zh-CN"/>
        </w:rPr>
      </w:pPr>
    </w:p>
    <w:bookmarkEnd w:id="4"/>
    <w:bookmarkEnd w:id="5"/>
    <w:bookmarkEnd w:id="6"/>
    <w:bookmarkEnd w:id="7"/>
    <w:bookmarkEnd w:id="8"/>
    <w:p w14:paraId="0C3F8523" w14:textId="77777777" w:rsidR="001B0BA7" w:rsidRDefault="001B0BA7" w:rsidP="001B0BA7">
      <w:pPr>
        <w:pStyle w:val="1"/>
        <w:jc w:val="both"/>
        <w:rPr>
          <w:lang w:val="en-US"/>
        </w:rPr>
      </w:pPr>
      <w:r>
        <w:rPr>
          <w:lang w:val="en-US"/>
        </w:rPr>
        <w:t>Conclusions</w:t>
      </w:r>
    </w:p>
    <w:p w14:paraId="7BE33DCB" w14:textId="58610424" w:rsidR="00105C3C" w:rsidRDefault="00C80159" w:rsidP="00105C3C">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 xml:space="preserve">our </w:t>
      </w:r>
      <w:r w:rsidRPr="0046206D">
        <w:rPr>
          <w:rFonts w:eastAsia="宋体" w:hint="eastAsia"/>
          <w:sz w:val="22"/>
          <w:lang w:eastAsia="zh-CN"/>
        </w:rPr>
        <w:t>analysis on</w:t>
      </w:r>
      <w:r w:rsidR="003A48D5" w:rsidRPr="003A48D5">
        <w:rPr>
          <w:rFonts w:eastAsia="宋体"/>
          <w:sz w:val="22"/>
          <w:lang w:eastAsia="zh-CN"/>
        </w:rPr>
        <w:t xml:space="preserve"> </w:t>
      </w:r>
      <w:r w:rsidR="001E63DC">
        <w:rPr>
          <w:rFonts w:eastAsia="宋体"/>
          <w:sz w:val="22"/>
          <w:lang w:eastAsia="zh-CN"/>
        </w:rPr>
        <w:t>remaining issues</w:t>
      </w:r>
      <w:r w:rsidR="003A48D5">
        <w:rPr>
          <w:rFonts w:eastAsia="宋体"/>
          <w:sz w:val="22"/>
          <w:lang w:eastAsia="zh-CN"/>
        </w:rPr>
        <w:t xml:space="preserve"> </w:t>
      </w:r>
      <w:r w:rsidR="006A0A91">
        <w:rPr>
          <w:rFonts w:eastAsia="宋体"/>
          <w:sz w:val="22"/>
          <w:lang w:eastAsia="zh-CN"/>
        </w:rPr>
        <w:t>for</w:t>
      </w:r>
      <w:r w:rsidR="003A48D5">
        <w:rPr>
          <w:rFonts w:eastAsia="宋体"/>
          <w:sz w:val="22"/>
          <w:lang w:eastAsia="zh-CN"/>
        </w:rPr>
        <w:t xml:space="preserve"> Rel-17 </w:t>
      </w:r>
      <w:proofErr w:type="spellStart"/>
      <w:r w:rsidR="00E63350">
        <w:rPr>
          <w:rFonts w:eastAsia="宋体"/>
          <w:sz w:val="22"/>
          <w:lang w:eastAsia="zh-CN"/>
        </w:rPr>
        <w:t>FeMIMO</w:t>
      </w:r>
      <w:proofErr w:type="spellEnd"/>
      <w:r w:rsidR="001E63DC" w:rsidRPr="001E63DC">
        <w:rPr>
          <w:rFonts w:eastAsia="宋体"/>
          <w:sz w:val="22"/>
          <w:lang w:eastAsia="zh-CN"/>
        </w:rPr>
        <w:t xml:space="preserve"> </w:t>
      </w:r>
      <w:r w:rsidR="001E63DC">
        <w:rPr>
          <w:rFonts w:eastAsia="宋体"/>
          <w:sz w:val="22"/>
          <w:lang w:eastAsia="zh-CN"/>
        </w:rPr>
        <w:t>test cases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sidR="00506E7B">
        <w:rPr>
          <w:rFonts w:eastAsia="宋体"/>
          <w:sz w:val="22"/>
          <w:lang w:eastAsia="zh-CN"/>
        </w:rPr>
        <w:t>are</w:t>
      </w:r>
      <w:r>
        <w:rPr>
          <w:rFonts w:eastAsia="宋体" w:hint="eastAsia"/>
          <w:sz w:val="22"/>
          <w:lang w:eastAsia="zh-CN"/>
        </w:rPr>
        <w:t xml:space="preserve"> </w:t>
      </w:r>
      <w:r w:rsidR="00506E7B">
        <w:rPr>
          <w:rFonts w:eastAsia="宋体"/>
          <w:sz w:val="22"/>
          <w:lang w:eastAsia="zh-CN"/>
        </w:rPr>
        <w:t>provided</w:t>
      </w:r>
      <w:r w:rsidRPr="0046206D">
        <w:rPr>
          <w:rFonts w:eastAsia="宋体" w:hint="eastAsia"/>
          <w:sz w:val="22"/>
          <w:lang w:eastAsia="zh-CN"/>
        </w:rPr>
        <w:t>:</w:t>
      </w:r>
    </w:p>
    <w:p w14:paraId="74E58135" w14:textId="77777777" w:rsidR="001E63DC" w:rsidRDefault="001E63DC" w:rsidP="001E63D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1</w:t>
      </w:r>
      <w:r w:rsidRPr="00BD2CE3">
        <w:rPr>
          <w:rFonts w:eastAsiaTheme="minorEastAsia"/>
          <w:b/>
          <w:i/>
          <w:sz w:val="22"/>
          <w:lang w:val="en-US" w:eastAsia="zh-CN"/>
        </w:rPr>
        <w:t>:</w:t>
      </w:r>
      <w:r>
        <w:rPr>
          <w:rFonts w:eastAsiaTheme="minorEastAsia"/>
          <w:b/>
          <w:i/>
          <w:sz w:val="22"/>
          <w:lang w:val="en-US" w:eastAsia="zh-CN"/>
        </w:rPr>
        <w:t xml:space="preserve"> For joint TCI state switching tests, the PL-RSs in only two joint TCI states indicated by </w:t>
      </w:r>
      <w:r w:rsidRPr="004A6EB1">
        <w:rPr>
          <w:rFonts w:eastAsiaTheme="minorEastAsia"/>
          <w:b/>
          <w:i/>
          <w:sz w:val="22"/>
          <w:lang w:val="en-US" w:eastAsia="zh-CN"/>
        </w:rPr>
        <w:t>RRC signaling dl-OrJoint-TCIStateList-r17</w:t>
      </w:r>
      <w:r>
        <w:rPr>
          <w:rFonts w:eastAsiaTheme="minorEastAsia"/>
          <w:b/>
          <w:i/>
          <w:sz w:val="22"/>
          <w:lang w:val="en-US" w:eastAsia="zh-CN"/>
        </w:rPr>
        <w:t xml:space="preserve"> can be assumed to be maintained</w:t>
      </w:r>
      <w:r w:rsidRPr="002F2D73">
        <w:rPr>
          <w:rFonts w:eastAsiaTheme="minorEastAsia"/>
          <w:b/>
          <w:i/>
          <w:sz w:val="22"/>
          <w:lang w:val="en-US" w:eastAsia="zh-CN"/>
        </w:rPr>
        <w:t>.</w:t>
      </w:r>
    </w:p>
    <w:p w14:paraId="01E7132C" w14:textId="77777777" w:rsidR="001E63DC" w:rsidRDefault="001E63DC" w:rsidP="001E63D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2</w:t>
      </w:r>
      <w:r w:rsidRPr="00BD2CE3">
        <w:rPr>
          <w:rFonts w:eastAsiaTheme="minorEastAsia"/>
          <w:b/>
          <w:i/>
          <w:sz w:val="22"/>
          <w:lang w:val="en-US" w:eastAsia="zh-CN"/>
        </w:rPr>
        <w:t>:</w:t>
      </w:r>
      <w:r>
        <w:rPr>
          <w:rFonts w:eastAsiaTheme="minorEastAsia"/>
          <w:b/>
          <w:i/>
          <w:sz w:val="22"/>
          <w:lang w:val="en-US" w:eastAsia="zh-CN"/>
        </w:rPr>
        <w:t xml:space="preserve"> For joint/UL TCI state switching tests, the PL-RS are configured to be QCL type D with the source RS in the same joint/UL TCI</w:t>
      </w:r>
      <w:r w:rsidRPr="002F2D73">
        <w:rPr>
          <w:rFonts w:eastAsiaTheme="minorEastAsia"/>
          <w:b/>
          <w:i/>
          <w:sz w:val="22"/>
          <w:lang w:val="en-US" w:eastAsia="zh-CN"/>
        </w:rPr>
        <w:t>.</w:t>
      </w:r>
    </w:p>
    <w:p w14:paraId="791692B2" w14:textId="77777777" w:rsidR="001E63DC" w:rsidRDefault="001E63DC" w:rsidP="001E63D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3</w:t>
      </w:r>
      <w:r w:rsidRPr="00BD2CE3">
        <w:rPr>
          <w:rFonts w:eastAsiaTheme="minorEastAsia"/>
          <w:b/>
          <w:i/>
          <w:sz w:val="22"/>
          <w:lang w:val="en-US" w:eastAsia="zh-CN"/>
        </w:rPr>
        <w:t>:</w:t>
      </w:r>
      <w:r>
        <w:rPr>
          <w:rFonts w:eastAsiaTheme="minorEastAsia"/>
          <w:b/>
          <w:i/>
          <w:sz w:val="22"/>
          <w:lang w:val="en-US" w:eastAsia="zh-CN"/>
        </w:rPr>
        <w:t xml:space="preserve"> For DL TCI state switching tests, there is no need to </w:t>
      </w:r>
      <w:r w:rsidRPr="001E63DC">
        <w:rPr>
          <w:rFonts w:eastAsiaTheme="minorEastAsia"/>
          <w:b/>
          <w:i/>
          <w:sz w:val="22"/>
          <w:lang w:val="en-US" w:eastAsia="zh-CN"/>
        </w:rPr>
        <w:t>provide specific values for both serving PCI and additional PCI as long as the serving PCI and additional PCI are different.</w:t>
      </w:r>
    </w:p>
    <w:p w14:paraId="2B0F219E" w14:textId="77777777" w:rsidR="001E63DC" w:rsidRDefault="001E63DC" w:rsidP="001E63DC">
      <w:pPr>
        <w:widowControl w:val="0"/>
        <w:adjustRightInd w:val="0"/>
        <w:snapToGrid w:val="0"/>
        <w:spacing w:before="180"/>
        <w:rPr>
          <w:rFonts w:eastAsiaTheme="minorEastAsia"/>
          <w:b/>
          <w:i/>
          <w:sz w:val="22"/>
          <w:lang w:val="en-US" w:eastAsia="zh-CN"/>
        </w:rPr>
      </w:pPr>
      <w:r w:rsidRPr="00BD2CE3">
        <w:rPr>
          <w:rFonts w:eastAsiaTheme="minorEastAsia" w:hint="eastAsia"/>
          <w:b/>
          <w:i/>
          <w:sz w:val="22"/>
          <w:lang w:val="en-US" w:eastAsia="zh-CN"/>
        </w:rPr>
        <w:t>P</w:t>
      </w:r>
      <w:r w:rsidRPr="00BD2CE3">
        <w:rPr>
          <w:rFonts w:eastAsiaTheme="minorEastAsia"/>
          <w:b/>
          <w:i/>
          <w:sz w:val="22"/>
          <w:lang w:val="en-US" w:eastAsia="zh-CN"/>
        </w:rPr>
        <w:t xml:space="preserve">roposal </w:t>
      </w:r>
      <w:r>
        <w:rPr>
          <w:rFonts w:eastAsiaTheme="minorEastAsia"/>
          <w:b/>
          <w:i/>
          <w:sz w:val="22"/>
          <w:lang w:val="en-US" w:eastAsia="zh-CN"/>
        </w:rPr>
        <w:t>4</w:t>
      </w:r>
      <w:r w:rsidRPr="00BD2CE3">
        <w:rPr>
          <w:rFonts w:eastAsiaTheme="minorEastAsia"/>
          <w:b/>
          <w:i/>
          <w:sz w:val="22"/>
          <w:lang w:val="en-US" w:eastAsia="zh-CN"/>
        </w:rPr>
        <w:t>:</w:t>
      </w:r>
      <w:r>
        <w:rPr>
          <w:rFonts w:eastAsiaTheme="minorEastAsia"/>
          <w:b/>
          <w:i/>
          <w:sz w:val="22"/>
          <w:lang w:val="en-US" w:eastAsia="zh-CN"/>
        </w:rPr>
        <w:t xml:space="preserve"> For TRP specific BFR testing, it is suggested to design all test cases as intra-cell TRP scenario</w:t>
      </w:r>
      <w:r w:rsidRPr="001E63DC">
        <w:rPr>
          <w:rFonts w:eastAsiaTheme="minorEastAsia"/>
          <w:b/>
          <w:i/>
          <w:sz w:val="22"/>
          <w:lang w:val="en-US" w:eastAsia="zh-CN"/>
        </w:rPr>
        <w:t>.</w:t>
      </w:r>
    </w:p>
    <w:p w14:paraId="6E993AA9" w14:textId="77777777" w:rsidR="001946EB" w:rsidRPr="001E63DC" w:rsidRDefault="001946EB" w:rsidP="00EA6E51">
      <w:pPr>
        <w:widowControl w:val="0"/>
        <w:adjustRightInd w:val="0"/>
        <w:snapToGrid w:val="0"/>
        <w:spacing w:before="180"/>
        <w:rPr>
          <w:rFonts w:eastAsia="宋体"/>
          <w:b/>
          <w:i/>
          <w:sz w:val="22"/>
          <w:szCs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48966B1E" w14:textId="7984ECDB" w:rsidR="00867766" w:rsidRDefault="00867766" w:rsidP="00A16B4C">
      <w:pPr>
        <w:widowControl w:val="0"/>
        <w:numPr>
          <w:ilvl w:val="0"/>
          <w:numId w:val="5"/>
        </w:numPr>
        <w:tabs>
          <w:tab w:val="left" w:pos="426"/>
        </w:tabs>
        <w:rPr>
          <w:rFonts w:eastAsia="宋体"/>
          <w:sz w:val="22"/>
          <w:szCs w:val="22"/>
          <w:lang w:eastAsia="zh-CN"/>
        </w:rPr>
      </w:pPr>
      <w:r w:rsidRPr="00867766">
        <w:rPr>
          <w:rFonts w:eastAsia="宋体"/>
          <w:sz w:val="22"/>
          <w:szCs w:val="22"/>
          <w:lang w:eastAsia="zh-CN"/>
        </w:rPr>
        <w:t>R4-22</w:t>
      </w:r>
      <w:r w:rsidR="00C3596F">
        <w:rPr>
          <w:rFonts w:eastAsia="宋体"/>
          <w:sz w:val="22"/>
          <w:szCs w:val="22"/>
          <w:lang w:eastAsia="zh-CN"/>
        </w:rPr>
        <w:t>1</w:t>
      </w:r>
      <w:r w:rsidR="008F5E31">
        <w:rPr>
          <w:rFonts w:eastAsia="宋体"/>
          <w:sz w:val="22"/>
          <w:szCs w:val="22"/>
          <w:lang w:eastAsia="zh-CN"/>
        </w:rPr>
        <w:t>720</w:t>
      </w:r>
      <w:r w:rsidR="00FF55F5">
        <w:rPr>
          <w:rFonts w:eastAsia="宋体"/>
          <w:sz w:val="22"/>
          <w:szCs w:val="22"/>
          <w:lang w:eastAsia="zh-CN"/>
        </w:rPr>
        <w:t>8</w:t>
      </w:r>
      <w:r w:rsidRPr="00867766">
        <w:rPr>
          <w:rFonts w:eastAsia="宋体"/>
          <w:sz w:val="22"/>
          <w:szCs w:val="22"/>
          <w:lang w:eastAsia="zh-CN"/>
        </w:rPr>
        <w:t>, “</w:t>
      </w:r>
      <w:r w:rsidR="00FF55F5" w:rsidRPr="00FF55F5">
        <w:rPr>
          <w:rFonts w:eastAsia="宋体"/>
          <w:sz w:val="22"/>
          <w:szCs w:val="22"/>
          <w:lang w:eastAsia="zh-CN"/>
        </w:rPr>
        <w:t xml:space="preserve">WF on </w:t>
      </w:r>
      <w:proofErr w:type="spellStart"/>
      <w:r w:rsidR="00FF55F5" w:rsidRPr="00FF55F5">
        <w:rPr>
          <w:rFonts w:eastAsia="宋体"/>
          <w:sz w:val="22"/>
          <w:szCs w:val="22"/>
          <w:lang w:eastAsia="zh-CN"/>
        </w:rPr>
        <w:t>FeMIMO</w:t>
      </w:r>
      <w:proofErr w:type="spellEnd"/>
      <w:r w:rsidR="00FF55F5" w:rsidRPr="00FF55F5">
        <w:rPr>
          <w:rFonts w:eastAsia="宋体"/>
          <w:sz w:val="22"/>
          <w:szCs w:val="22"/>
          <w:lang w:eastAsia="zh-CN"/>
        </w:rPr>
        <w:t xml:space="preserve"> RRM Performance Requirement and Test Case</w:t>
      </w:r>
      <w:r w:rsidRPr="00867766">
        <w:rPr>
          <w:rFonts w:eastAsia="宋体"/>
          <w:sz w:val="22"/>
          <w:szCs w:val="22"/>
          <w:lang w:eastAsia="zh-CN"/>
        </w:rPr>
        <w:t xml:space="preserve">”, </w:t>
      </w:r>
      <w:r w:rsidR="00FF55F5" w:rsidRPr="00FF55F5">
        <w:rPr>
          <w:rFonts w:eastAsia="宋体"/>
          <w:sz w:val="22"/>
          <w:szCs w:val="22"/>
          <w:lang w:eastAsia="zh-CN"/>
        </w:rPr>
        <w:t>Samsung</w:t>
      </w:r>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B47BA7" w14:textId="77777777" w:rsidR="002C7F1E" w:rsidRDefault="002C7F1E">
      <w:r>
        <w:separator/>
      </w:r>
    </w:p>
  </w:endnote>
  <w:endnote w:type="continuationSeparator" w:id="0">
    <w:p w14:paraId="68D774B8" w14:textId="77777777" w:rsidR="002C7F1E" w:rsidRDefault="002C7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C3596F" w:rsidRDefault="00C359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C3596F" w:rsidRDefault="00C3596F">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C07BD0">
      <w:rPr>
        <w:rStyle w:val="af6"/>
      </w:rPr>
      <w:t>2</w:t>
    </w:r>
    <w:r>
      <w:rPr>
        <w:rStyle w:val="af6"/>
      </w:rPr>
      <w:fldChar w:fldCharType="end"/>
    </w:r>
  </w:p>
  <w:p w14:paraId="53820B6B" w14:textId="77777777" w:rsidR="00C3596F" w:rsidRDefault="00C359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3C3CD" w14:textId="77777777" w:rsidR="002C7F1E" w:rsidRDefault="002C7F1E">
      <w:r>
        <w:separator/>
      </w:r>
    </w:p>
  </w:footnote>
  <w:footnote w:type="continuationSeparator" w:id="0">
    <w:p w14:paraId="6E841D6B" w14:textId="77777777" w:rsidR="002C7F1E" w:rsidRDefault="002C7F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8C60B7"/>
    <w:multiLevelType w:val="hybridMultilevel"/>
    <w:tmpl w:val="2FE011F8"/>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9"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923082"/>
    <w:multiLevelType w:val="hybridMultilevel"/>
    <w:tmpl w:val="35988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E1C60E5"/>
    <w:multiLevelType w:val="multilevel"/>
    <w:tmpl w:val="1E1C60E5"/>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15"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F45E2D"/>
    <w:multiLevelType w:val="hybridMultilevel"/>
    <w:tmpl w:val="7CA0966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8B53F6"/>
    <w:multiLevelType w:val="hybridMultilevel"/>
    <w:tmpl w:val="8EE2F5E2"/>
    <w:lvl w:ilvl="0" w:tplc="C6C4CD60">
      <w:start w:val="6"/>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DC130F2"/>
    <w:multiLevelType w:val="multilevel"/>
    <w:tmpl w:val="4DC130F2"/>
    <w:lvl w:ilvl="0">
      <w:numFmt w:val="bullet"/>
      <w:lvlText w:val="-"/>
      <w:lvlJc w:val="left"/>
      <w:pPr>
        <w:ind w:left="2790" w:hanging="360"/>
      </w:pPr>
      <w:rPr>
        <w:rFonts w:ascii="Arial" w:eastAsia="Times New Roman" w:hAnsi="Arial" w:cs="Arial" w:hint="default"/>
      </w:rPr>
    </w:lvl>
    <w:lvl w:ilvl="1">
      <w:start w:val="1"/>
      <w:numFmt w:val="bullet"/>
      <w:lvlText w:val="o"/>
      <w:lvlJc w:val="left"/>
      <w:pPr>
        <w:ind w:left="3510" w:hanging="360"/>
      </w:pPr>
      <w:rPr>
        <w:rFonts w:ascii="Courier New" w:hAnsi="Courier New" w:cs="Courier New" w:hint="default"/>
      </w:rPr>
    </w:lvl>
    <w:lvl w:ilvl="2">
      <w:start w:val="1"/>
      <w:numFmt w:val="bullet"/>
      <w:lvlText w:val=""/>
      <w:lvlJc w:val="left"/>
      <w:pPr>
        <w:ind w:left="4230" w:hanging="360"/>
      </w:pPr>
      <w:rPr>
        <w:rFonts w:ascii="Wingdings" w:hAnsi="Wingdings" w:hint="default"/>
      </w:rPr>
    </w:lvl>
    <w:lvl w:ilvl="3">
      <w:start w:val="1"/>
      <w:numFmt w:val="bullet"/>
      <w:lvlText w:val=""/>
      <w:lvlJc w:val="left"/>
      <w:pPr>
        <w:ind w:left="4950" w:hanging="360"/>
      </w:pPr>
      <w:rPr>
        <w:rFonts w:ascii="Symbol" w:hAnsi="Symbol" w:hint="default"/>
      </w:rPr>
    </w:lvl>
    <w:lvl w:ilvl="4">
      <w:start w:val="1"/>
      <w:numFmt w:val="bullet"/>
      <w:lvlText w:val="o"/>
      <w:lvlJc w:val="left"/>
      <w:pPr>
        <w:ind w:left="5670" w:hanging="360"/>
      </w:pPr>
      <w:rPr>
        <w:rFonts w:ascii="Courier New" w:hAnsi="Courier New" w:cs="Courier New" w:hint="default"/>
      </w:rPr>
    </w:lvl>
    <w:lvl w:ilvl="5">
      <w:start w:val="1"/>
      <w:numFmt w:val="bullet"/>
      <w:lvlText w:val=""/>
      <w:lvlJc w:val="left"/>
      <w:pPr>
        <w:ind w:left="6390" w:hanging="360"/>
      </w:pPr>
      <w:rPr>
        <w:rFonts w:ascii="Wingdings" w:hAnsi="Wingdings" w:hint="default"/>
      </w:rPr>
    </w:lvl>
    <w:lvl w:ilvl="6">
      <w:start w:val="1"/>
      <w:numFmt w:val="bullet"/>
      <w:lvlText w:val=""/>
      <w:lvlJc w:val="left"/>
      <w:pPr>
        <w:ind w:left="7110" w:hanging="360"/>
      </w:pPr>
      <w:rPr>
        <w:rFonts w:ascii="Symbol" w:hAnsi="Symbol" w:hint="default"/>
      </w:rPr>
    </w:lvl>
    <w:lvl w:ilvl="7">
      <w:start w:val="1"/>
      <w:numFmt w:val="bullet"/>
      <w:lvlText w:val="o"/>
      <w:lvlJc w:val="left"/>
      <w:pPr>
        <w:ind w:left="7830" w:hanging="360"/>
      </w:pPr>
      <w:rPr>
        <w:rFonts w:ascii="Courier New" w:hAnsi="Courier New" w:cs="Courier New" w:hint="default"/>
      </w:rPr>
    </w:lvl>
    <w:lvl w:ilvl="8">
      <w:start w:val="1"/>
      <w:numFmt w:val="bullet"/>
      <w:lvlText w:val=""/>
      <w:lvlJc w:val="left"/>
      <w:pPr>
        <w:ind w:left="8550" w:hanging="360"/>
      </w:pPr>
      <w:rPr>
        <w:rFonts w:ascii="Wingdings" w:hAnsi="Wingdings" w:hint="default"/>
      </w:rPr>
    </w:lvl>
  </w:abstractNum>
  <w:abstractNum w:abstractNumId="24" w15:restartNumberingAfterBreak="0">
    <w:nsid w:val="4E1B1F96"/>
    <w:multiLevelType w:val="hybridMultilevel"/>
    <w:tmpl w:val="C6DA1DEA"/>
    <w:lvl w:ilvl="0" w:tplc="E93E9CE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8"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402604C"/>
    <w:multiLevelType w:val="hybridMultilevel"/>
    <w:tmpl w:val="8D5EC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036189"/>
    <w:multiLevelType w:val="hybridMultilevel"/>
    <w:tmpl w:val="FBDE1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B80E10"/>
    <w:multiLevelType w:val="hybridMultilevel"/>
    <w:tmpl w:val="F36E6AEC"/>
    <w:lvl w:ilvl="0" w:tplc="EE3051A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1"/>
  </w:num>
  <w:num w:numId="4">
    <w:abstractNumId w:val="13"/>
  </w:num>
  <w:num w:numId="5">
    <w:abstractNumId w:val="17"/>
  </w:num>
  <w:num w:numId="6">
    <w:abstractNumId w:val="3"/>
  </w:num>
  <w:num w:numId="7">
    <w:abstractNumId w:val="30"/>
  </w:num>
  <w:num w:numId="8">
    <w:abstractNumId w:val="18"/>
  </w:num>
  <w:num w:numId="9">
    <w:abstractNumId w:val="26"/>
  </w:num>
  <w:num w:numId="10">
    <w:abstractNumId w:val="33"/>
  </w:num>
  <w:num w:numId="11">
    <w:abstractNumId w:val="6"/>
  </w:num>
  <w:num w:numId="12">
    <w:abstractNumId w:val="37"/>
  </w:num>
  <w:num w:numId="13">
    <w:abstractNumId w:val="7"/>
  </w:num>
  <w:num w:numId="14">
    <w:abstractNumId w:val="10"/>
  </w:num>
  <w:num w:numId="15">
    <w:abstractNumId w:val="28"/>
  </w:num>
  <w:num w:numId="16">
    <w:abstractNumId w:val="22"/>
  </w:num>
  <w:num w:numId="17">
    <w:abstractNumId w:val="2"/>
  </w:num>
  <w:num w:numId="18">
    <w:abstractNumId w:val="4"/>
  </w:num>
  <w:num w:numId="19">
    <w:abstractNumId w:val="42"/>
  </w:num>
  <w:num w:numId="20">
    <w:abstractNumId w:val="1"/>
  </w:num>
  <w:num w:numId="21">
    <w:abstractNumId w:val="34"/>
  </w:num>
  <w:num w:numId="22">
    <w:abstractNumId w:val="31"/>
  </w:num>
  <w:num w:numId="23">
    <w:abstractNumId w:val="32"/>
  </w:num>
  <w:num w:numId="24">
    <w:abstractNumId w:val="5"/>
  </w:num>
  <w:num w:numId="25">
    <w:abstractNumId w:val="9"/>
  </w:num>
  <w:num w:numId="26">
    <w:abstractNumId w:val="39"/>
  </w:num>
  <w:num w:numId="27">
    <w:abstractNumId w:val="15"/>
  </w:num>
  <w:num w:numId="28">
    <w:abstractNumId w:val="8"/>
  </w:num>
  <w:num w:numId="29">
    <w:abstractNumId w:val="40"/>
  </w:num>
  <w:num w:numId="30">
    <w:abstractNumId w:val="25"/>
  </w:num>
  <w:num w:numId="31">
    <w:abstractNumId w:val="29"/>
  </w:num>
  <w:num w:numId="32">
    <w:abstractNumId w:val="0"/>
  </w:num>
  <w:num w:numId="33">
    <w:abstractNumId w:val="20"/>
  </w:num>
  <w:num w:numId="34">
    <w:abstractNumId w:val="27"/>
  </w:num>
  <w:num w:numId="35">
    <w:abstractNumId w:val="38"/>
  </w:num>
  <w:num w:numId="36">
    <w:abstractNumId w:val="11"/>
  </w:num>
  <w:num w:numId="37">
    <w:abstractNumId w:val="35"/>
  </w:num>
  <w:num w:numId="38">
    <w:abstractNumId w:val="16"/>
  </w:num>
  <w:num w:numId="39">
    <w:abstractNumId w:val="14"/>
  </w:num>
  <w:num w:numId="40">
    <w:abstractNumId w:val="24"/>
  </w:num>
  <w:num w:numId="41">
    <w:abstractNumId w:val="19"/>
  </w:num>
  <w:num w:numId="42">
    <w:abstractNumId w:val="19"/>
  </w:num>
  <w:num w:numId="43">
    <w:abstractNumId w:val="23"/>
  </w:num>
  <w:num w:numId="44">
    <w:abstractNumId w:val="12"/>
  </w:num>
  <w:num w:numId="4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CA7"/>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590"/>
    <w:rsid w:val="000549BA"/>
    <w:rsid w:val="00054A77"/>
    <w:rsid w:val="00054BB9"/>
    <w:rsid w:val="000550EF"/>
    <w:rsid w:val="000557FD"/>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7B3"/>
    <w:rsid w:val="00076A42"/>
    <w:rsid w:val="00076ABF"/>
    <w:rsid w:val="00076CA3"/>
    <w:rsid w:val="00076CFC"/>
    <w:rsid w:val="00076D13"/>
    <w:rsid w:val="00076F27"/>
    <w:rsid w:val="00076F8C"/>
    <w:rsid w:val="000772B1"/>
    <w:rsid w:val="00077837"/>
    <w:rsid w:val="000778C2"/>
    <w:rsid w:val="00077FE0"/>
    <w:rsid w:val="00080142"/>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38D"/>
    <w:rsid w:val="000A4511"/>
    <w:rsid w:val="000A4864"/>
    <w:rsid w:val="000A4A5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0B2"/>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C52"/>
    <w:rsid w:val="00125E63"/>
    <w:rsid w:val="001266F1"/>
    <w:rsid w:val="00126848"/>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5DF"/>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2B"/>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6766"/>
    <w:rsid w:val="00156D1B"/>
    <w:rsid w:val="00156DF3"/>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7A7"/>
    <w:rsid w:val="00193DB7"/>
    <w:rsid w:val="00193DEA"/>
    <w:rsid w:val="001946EB"/>
    <w:rsid w:val="00194E03"/>
    <w:rsid w:val="00194F63"/>
    <w:rsid w:val="00195683"/>
    <w:rsid w:val="00195706"/>
    <w:rsid w:val="00195A89"/>
    <w:rsid w:val="0019646C"/>
    <w:rsid w:val="00196550"/>
    <w:rsid w:val="001966D2"/>
    <w:rsid w:val="0019785D"/>
    <w:rsid w:val="001A03A7"/>
    <w:rsid w:val="001A040A"/>
    <w:rsid w:val="001A0684"/>
    <w:rsid w:val="001A06E9"/>
    <w:rsid w:val="001A0956"/>
    <w:rsid w:val="001A0A24"/>
    <w:rsid w:val="001A12AC"/>
    <w:rsid w:val="001A144F"/>
    <w:rsid w:val="001A14A3"/>
    <w:rsid w:val="001A1B9D"/>
    <w:rsid w:val="001A1D6F"/>
    <w:rsid w:val="001A1F68"/>
    <w:rsid w:val="001A24F6"/>
    <w:rsid w:val="001A31AE"/>
    <w:rsid w:val="001A37C3"/>
    <w:rsid w:val="001A3A5D"/>
    <w:rsid w:val="001A4206"/>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D10"/>
    <w:rsid w:val="001C0FBC"/>
    <w:rsid w:val="001C121D"/>
    <w:rsid w:val="001C1D78"/>
    <w:rsid w:val="001C23D4"/>
    <w:rsid w:val="001C26CE"/>
    <w:rsid w:val="001C2A3F"/>
    <w:rsid w:val="001C3588"/>
    <w:rsid w:val="001C3850"/>
    <w:rsid w:val="001C3F4C"/>
    <w:rsid w:val="001C3FC8"/>
    <w:rsid w:val="001C41EF"/>
    <w:rsid w:val="001C4833"/>
    <w:rsid w:val="001C499F"/>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3DC"/>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7F6"/>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74D"/>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2A02"/>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239"/>
    <w:rsid w:val="00257423"/>
    <w:rsid w:val="0025785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928"/>
    <w:rsid w:val="00266CAB"/>
    <w:rsid w:val="00267038"/>
    <w:rsid w:val="0026741D"/>
    <w:rsid w:val="0026750E"/>
    <w:rsid w:val="00267702"/>
    <w:rsid w:val="0026779D"/>
    <w:rsid w:val="00267A28"/>
    <w:rsid w:val="002704D5"/>
    <w:rsid w:val="00270F79"/>
    <w:rsid w:val="0027102E"/>
    <w:rsid w:val="002717DF"/>
    <w:rsid w:val="00271956"/>
    <w:rsid w:val="00271B1A"/>
    <w:rsid w:val="002721A4"/>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B61"/>
    <w:rsid w:val="00293C4F"/>
    <w:rsid w:val="00293CDE"/>
    <w:rsid w:val="00294135"/>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1FA2"/>
    <w:rsid w:val="002B2C2C"/>
    <w:rsid w:val="002B2C81"/>
    <w:rsid w:val="002B2E84"/>
    <w:rsid w:val="002B3626"/>
    <w:rsid w:val="002B36AF"/>
    <w:rsid w:val="002B3BEC"/>
    <w:rsid w:val="002B3D2D"/>
    <w:rsid w:val="002B446A"/>
    <w:rsid w:val="002B46B8"/>
    <w:rsid w:val="002B472F"/>
    <w:rsid w:val="002B4D87"/>
    <w:rsid w:val="002B57BE"/>
    <w:rsid w:val="002B591F"/>
    <w:rsid w:val="002B597E"/>
    <w:rsid w:val="002B5AE1"/>
    <w:rsid w:val="002B6395"/>
    <w:rsid w:val="002B6A24"/>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C7F1E"/>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2D73"/>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5D"/>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D34"/>
    <w:rsid w:val="00323F04"/>
    <w:rsid w:val="003242BC"/>
    <w:rsid w:val="00324937"/>
    <w:rsid w:val="00324A71"/>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31F"/>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3D2"/>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7385"/>
    <w:rsid w:val="00397792"/>
    <w:rsid w:val="00397D90"/>
    <w:rsid w:val="003A01AB"/>
    <w:rsid w:val="003A01D9"/>
    <w:rsid w:val="003A0432"/>
    <w:rsid w:val="003A06B7"/>
    <w:rsid w:val="003A06F1"/>
    <w:rsid w:val="003A0787"/>
    <w:rsid w:val="003A089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E6F"/>
    <w:rsid w:val="003B5F4D"/>
    <w:rsid w:val="003B6120"/>
    <w:rsid w:val="003B663C"/>
    <w:rsid w:val="003B671C"/>
    <w:rsid w:val="003B6C1C"/>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24C"/>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82"/>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400187"/>
    <w:rsid w:val="0040051B"/>
    <w:rsid w:val="00400742"/>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115"/>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496"/>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1EE"/>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900"/>
    <w:rsid w:val="004A6EB1"/>
    <w:rsid w:val="004A74B6"/>
    <w:rsid w:val="004A7B1E"/>
    <w:rsid w:val="004B01F1"/>
    <w:rsid w:val="004B0416"/>
    <w:rsid w:val="004B074B"/>
    <w:rsid w:val="004B07D2"/>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F7E"/>
    <w:rsid w:val="004C223C"/>
    <w:rsid w:val="004C226E"/>
    <w:rsid w:val="004C2B05"/>
    <w:rsid w:val="004C2FC5"/>
    <w:rsid w:val="004C321F"/>
    <w:rsid w:val="004C348D"/>
    <w:rsid w:val="004C3617"/>
    <w:rsid w:val="004C363E"/>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CD4"/>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B1F"/>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9B4"/>
    <w:rsid w:val="00517EB6"/>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A3B"/>
    <w:rsid w:val="0056113F"/>
    <w:rsid w:val="005614B8"/>
    <w:rsid w:val="0056158D"/>
    <w:rsid w:val="00561D9A"/>
    <w:rsid w:val="00562E05"/>
    <w:rsid w:val="00562F8E"/>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518"/>
    <w:rsid w:val="005B47A3"/>
    <w:rsid w:val="005B486F"/>
    <w:rsid w:val="005B4A61"/>
    <w:rsid w:val="005B4A9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07842"/>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4D4"/>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A53"/>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A0E"/>
    <w:rsid w:val="006307AE"/>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AB"/>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6EB"/>
    <w:rsid w:val="00677FB7"/>
    <w:rsid w:val="00680097"/>
    <w:rsid w:val="00680259"/>
    <w:rsid w:val="00680629"/>
    <w:rsid w:val="00680635"/>
    <w:rsid w:val="00680720"/>
    <w:rsid w:val="00680E00"/>
    <w:rsid w:val="00680F82"/>
    <w:rsid w:val="0068109C"/>
    <w:rsid w:val="006813B7"/>
    <w:rsid w:val="0068160A"/>
    <w:rsid w:val="00681853"/>
    <w:rsid w:val="00681B13"/>
    <w:rsid w:val="00681FDE"/>
    <w:rsid w:val="006825A5"/>
    <w:rsid w:val="00682892"/>
    <w:rsid w:val="00682C79"/>
    <w:rsid w:val="00682D86"/>
    <w:rsid w:val="00682E09"/>
    <w:rsid w:val="00682EC2"/>
    <w:rsid w:val="0068341A"/>
    <w:rsid w:val="00683F7E"/>
    <w:rsid w:val="006843AF"/>
    <w:rsid w:val="006847EE"/>
    <w:rsid w:val="00684CED"/>
    <w:rsid w:val="00684EB8"/>
    <w:rsid w:val="00685632"/>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7E9"/>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194"/>
    <w:rsid w:val="006F683B"/>
    <w:rsid w:val="006F6B0A"/>
    <w:rsid w:val="006F6B45"/>
    <w:rsid w:val="006F6BD6"/>
    <w:rsid w:val="006F6E6E"/>
    <w:rsid w:val="006F7119"/>
    <w:rsid w:val="006F71E9"/>
    <w:rsid w:val="006F7B07"/>
    <w:rsid w:val="006F7BA6"/>
    <w:rsid w:val="006F7BC8"/>
    <w:rsid w:val="006F7C49"/>
    <w:rsid w:val="007002E6"/>
    <w:rsid w:val="007006F5"/>
    <w:rsid w:val="00700830"/>
    <w:rsid w:val="00700B03"/>
    <w:rsid w:val="00700C7C"/>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0F"/>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3A33"/>
    <w:rsid w:val="00754CE6"/>
    <w:rsid w:val="00754D26"/>
    <w:rsid w:val="00754DE9"/>
    <w:rsid w:val="00754F83"/>
    <w:rsid w:val="007550B4"/>
    <w:rsid w:val="00755327"/>
    <w:rsid w:val="00755446"/>
    <w:rsid w:val="007555B3"/>
    <w:rsid w:val="00755BF9"/>
    <w:rsid w:val="00756052"/>
    <w:rsid w:val="00756289"/>
    <w:rsid w:val="00756BAF"/>
    <w:rsid w:val="00756E8E"/>
    <w:rsid w:val="00756EA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F03"/>
    <w:rsid w:val="00781FF4"/>
    <w:rsid w:val="007822EB"/>
    <w:rsid w:val="00782483"/>
    <w:rsid w:val="00783092"/>
    <w:rsid w:val="00783A15"/>
    <w:rsid w:val="00783AB7"/>
    <w:rsid w:val="00783FD5"/>
    <w:rsid w:val="00784143"/>
    <w:rsid w:val="0078441B"/>
    <w:rsid w:val="007846F4"/>
    <w:rsid w:val="00785601"/>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1A8"/>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8ED"/>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A67"/>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C83"/>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D76"/>
    <w:rsid w:val="008533A1"/>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3EE4"/>
    <w:rsid w:val="008745A7"/>
    <w:rsid w:val="0087464A"/>
    <w:rsid w:val="00874DFD"/>
    <w:rsid w:val="00875148"/>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B56"/>
    <w:rsid w:val="008A6E06"/>
    <w:rsid w:val="008A7086"/>
    <w:rsid w:val="008A713E"/>
    <w:rsid w:val="008A7873"/>
    <w:rsid w:val="008A79AD"/>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7ED"/>
    <w:rsid w:val="008C10DA"/>
    <w:rsid w:val="008C1918"/>
    <w:rsid w:val="008C1FDE"/>
    <w:rsid w:val="008C22B2"/>
    <w:rsid w:val="008C23A2"/>
    <w:rsid w:val="008C37AC"/>
    <w:rsid w:val="008C3C2B"/>
    <w:rsid w:val="008C3C74"/>
    <w:rsid w:val="008C3C7E"/>
    <w:rsid w:val="008C4D7E"/>
    <w:rsid w:val="008C5317"/>
    <w:rsid w:val="008C54FF"/>
    <w:rsid w:val="008C5BDA"/>
    <w:rsid w:val="008C6CAB"/>
    <w:rsid w:val="008C6DD8"/>
    <w:rsid w:val="008C6FFC"/>
    <w:rsid w:val="008C709D"/>
    <w:rsid w:val="008C7629"/>
    <w:rsid w:val="008C78C6"/>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31"/>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A0"/>
    <w:rsid w:val="009B73DC"/>
    <w:rsid w:val="009B7626"/>
    <w:rsid w:val="009B7794"/>
    <w:rsid w:val="009B79B6"/>
    <w:rsid w:val="009B7BF3"/>
    <w:rsid w:val="009B7C56"/>
    <w:rsid w:val="009C0115"/>
    <w:rsid w:val="009C0462"/>
    <w:rsid w:val="009C04FC"/>
    <w:rsid w:val="009C0601"/>
    <w:rsid w:val="009C062C"/>
    <w:rsid w:val="009C0981"/>
    <w:rsid w:val="009C0A4C"/>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EA3"/>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17B16"/>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1B3"/>
    <w:rsid w:val="00A405E4"/>
    <w:rsid w:val="00A40A95"/>
    <w:rsid w:val="00A40C7F"/>
    <w:rsid w:val="00A40D0F"/>
    <w:rsid w:val="00A40E1A"/>
    <w:rsid w:val="00A40F36"/>
    <w:rsid w:val="00A415CE"/>
    <w:rsid w:val="00A419BE"/>
    <w:rsid w:val="00A41B10"/>
    <w:rsid w:val="00A41B2B"/>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ABF"/>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55F6"/>
    <w:rsid w:val="00A85DBB"/>
    <w:rsid w:val="00A86416"/>
    <w:rsid w:val="00A86D3E"/>
    <w:rsid w:val="00A86E84"/>
    <w:rsid w:val="00A87552"/>
    <w:rsid w:val="00A87640"/>
    <w:rsid w:val="00A879B7"/>
    <w:rsid w:val="00A87FB6"/>
    <w:rsid w:val="00A903C8"/>
    <w:rsid w:val="00A909D6"/>
    <w:rsid w:val="00A914E7"/>
    <w:rsid w:val="00A915FB"/>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4966"/>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1856"/>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5DB"/>
    <w:rsid w:val="00AE2805"/>
    <w:rsid w:val="00AE2CF3"/>
    <w:rsid w:val="00AE2D55"/>
    <w:rsid w:val="00AE2DBB"/>
    <w:rsid w:val="00AE3A91"/>
    <w:rsid w:val="00AE3DD0"/>
    <w:rsid w:val="00AE3EE8"/>
    <w:rsid w:val="00AE453E"/>
    <w:rsid w:val="00AE4D59"/>
    <w:rsid w:val="00AE5086"/>
    <w:rsid w:val="00AE50F2"/>
    <w:rsid w:val="00AE5ADF"/>
    <w:rsid w:val="00AE5CBE"/>
    <w:rsid w:val="00AE60C6"/>
    <w:rsid w:val="00AE642D"/>
    <w:rsid w:val="00AE665D"/>
    <w:rsid w:val="00AE697C"/>
    <w:rsid w:val="00AE6A35"/>
    <w:rsid w:val="00AE6A91"/>
    <w:rsid w:val="00AE6D3E"/>
    <w:rsid w:val="00AE6F9E"/>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814"/>
    <w:rsid w:val="00B0350A"/>
    <w:rsid w:val="00B03724"/>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3CFF"/>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FA6"/>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18"/>
    <w:rsid w:val="00B73820"/>
    <w:rsid w:val="00B73B55"/>
    <w:rsid w:val="00B742F7"/>
    <w:rsid w:val="00B745E0"/>
    <w:rsid w:val="00B74757"/>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5E0"/>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3C"/>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8D0"/>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BD0"/>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96F"/>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41A"/>
    <w:rsid w:val="00C9061E"/>
    <w:rsid w:val="00C906AE"/>
    <w:rsid w:val="00C90924"/>
    <w:rsid w:val="00C909B4"/>
    <w:rsid w:val="00C90A37"/>
    <w:rsid w:val="00C90A9A"/>
    <w:rsid w:val="00C90BBD"/>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313"/>
    <w:rsid w:val="00CC4CC5"/>
    <w:rsid w:val="00CC5292"/>
    <w:rsid w:val="00CC5427"/>
    <w:rsid w:val="00CC543E"/>
    <w:rsid w:val="00CC5AE6"/>
    <w:rsid w:val="00CC5BA7"/>
    <w:rsid w:val="00CC5D0B"/>
    <w:rsid w:val="00CC627B"/>
    <w:rsid w:val="00CC63D5"/>
    <w:rsid w:val="00CC67ED"/>
    <w:rsid w:val="00CC685A"/>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2972"/>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5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F65"/>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407"/>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6C6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6FA"/>
    <w:rsid w:val="00D56891"/>
    <w:rsid w:val="00D5689B"/>
    <w:rsid w:val="00D56B9E"/>
    <w:rsid w:val="00D56C02"/>
    <w:rsid w:val="00D56D8F"/>
    <w:rsid w:val="00D56E4D"/>
    <w:rsid w:val="00D56F8B"/>
    <w:rsid w:val="00D57248"/>
    <w:rsid w:val="00D5755E"/>
    <w:rsid w:val="00D57587"/>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CC"/>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83"/>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7"/>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6BBD"/>
    <w:rsid w:val="00E37595"/>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2BFD"/>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0CA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70B"/>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77A"/>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1CE2"/>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AC"/>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2E47"/>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E55"/>
    <w:rsid w:val="00F70EE6"/>
    <w:rsid w:val="00F71107"/>
    <w:rsid w:val="00F7176F"/>
    <w:rsid w:val="00F7179C"/>
    <w:rsid w:val="00F71920"/>
    <w:rsid w:val="00F72CD2"/>
    <w:rsid w:val="00F73062"/>
    <w:rsid w:val="00F734A5"/>
    <w:rsid w:val="00F738B5"/>
    <w:rsid w:val="00F738E0"/>
    <w:rsid w:val="00F739BC"/>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004"/>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8EA"/>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499"/>
    <w:rsid w:val="00FD6525"/>
    <w:rsid w:val="00FD6563"/>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5F5"/>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71E9438C-EDF8-484D-B2D0-F31463C69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63DC"/>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c"/>
    <w:link w:val="24"/>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3"/>
    <w:link w:val="31"/>
    <w:pPr>
      <w:ind w:left="1135"/>
    </w:pPr>
  </w:style>
  <w:style w:type="character" w:customStyle="1" w:styleId="31">
    <w:name w:val="列表项目符号 3 字符"/>
    <w:link w:val="30"/>
    <w:rsid w:val="00EB33EC"/>
    <w:rPr>
      <w:lang w:val="en-GB" w:eastAsia="en-US" w:bidi="ar-SA"/>
    </w:rPr>
  </w:style>
  <w:style w:type="paragraph" w:styleId="25">
    <w:name w:val="List 2"/>
    <w:basedOn w:val="aa"/>
    <w:link w:val="26"/>
    <w:pPr>
      <w:ind w:left="851"/>
    </w:pPr>
  </w:style>
  <w:style w:type="character" w:customStyle="1" w:styleId="26">
    <w:name w:val="列表 2 字符"/>
    <w:link w:val="25"/>
    <w:rsid w:val="00EB33EC"/>
    <w:rPr>
      <w:lang w:val="en-GB" w:eastAsia="en-US" w:bidi="ar-SA"/>
    </w:rPr>
  </w:style>
  <w:style w:type="paragraph" w:styleId="32">
    <w:name w:val="List 3"/>
    <w:basedOn w:val="25"/>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5"/>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7">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8">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2"/>
      </w:numPr>
      <w:tabs>
        <w:tab w:val="num" w:pos="1069"/>
      </w:tabs>
      <w:spacing w:before="60" w:after="0"/>
      <w:ind w:left="1069"/>
    </w:pPr>
    <w:rPr>
      <w:rFonts w:ascii="Arial" w:hAnsi="Arial"/>
      <w:b/>
      <w:szCs w:val="24"/>
      <w:lang w:eastAsia="en-GB"/>
    </w:rPr>
  </w:style>
  <w:style w:type="character" w:styleId="aff4">
    <w:name w:val="Emphasis"/>
    <w:uiPriority w:val="20"/>
    <w:qFormat/>
    <w:rsid w:val="002B6A24"/>
    <w:rPr>
      <w:i/>
      <w:iCs/>
    </w:rPr>
  </w:style>
  <w:style w:type="character" w:customStyle="1" w:styleId="20">
    <w:name w:val="标题 2 字符"/>
    <w:aliases w:val="H2 字符,h2 字符,Head2A 字符,2 字符,UNDERRUBRIK 1-2 字符,DO NOT USE_h2 字符,h21 字符,Heading 2 Char 字符,H2 Char 字符,h2 Char 字符"/>
    <w:basedOn w:val="a0"/>
    <w:link w:val="2"/>
    <w:rsid w:val="00804A67"/>
    <w:rPr>
      <w:rFonts w:ascii="Arial" w:hAnsi="Arial"/>
      <w:sz w:val="32"/>
      <w:lang w:val="en-GB" w:eastAsia="en-US"/>
    </w:rPr>
  </w:style>
  <w:style w:type="table" w:customStyle="1" w:styleId="TableGrid1">
    <w:name w:val="TableGrid1"/>
    <w:basedOn w:val="a1"/>
    <w:uiPriority w:val="39"/>
    <w:qFormat/>
    <w:rsid w:val="001A06E9"/>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165216415">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14EA14D-D69E-4BBF-970F-3A7F2271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2</Pages>
  <Words>591</Words>
  <Characters>3374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2022-11-07T14:24:00Z</dcterms:created>
  <dcterms:modified xsi:type="dcterms:W3CDTF">2022-11-07T14:24:00Z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(3)1lyKPvTh0NRb70OFJLbH9Bpof0AGYY1mrOSyY3ERbiSbOPUqrXtrh7SGf5zGeLiXq9JOtwCY
SSN97r1oN+GwO2MKZmreZc93lc2A32nu/ZRqJCtC8SndedR2GeSODNARld/QvGsFYbtfspvK
gehJySXlGDBfey+js5csf29TYCW/RnTfH0+2HeoDeynI5Iz8QnCwenHMEolNJaX018VDWCCT
opJgQdTf85sTUAuRP/</vt:lpwstr>
  </property>
  <property fmtid="{D5CDD505-2E9C-101B-9397-08002B2CF9AE}" pid="17" name="_2015_ms_pID_725343_00">
    <vt:lpwstr>_2015_ms_pID_725343</vt:lpwstr>
  </property>
  <property fmtid="{D5CDD505-2E9C-101B-9397-08002B2CF9AE}" pid="18" name="_2015_ms_pID_7253431">
    <vt:lpwstr>lX9XeiNQeL3NDUcTP1ZXoLrpSkr3Mz2PnTBPrXmQ6kBAD03581WfOf
CDhOcuA6U3j6+Znp8TvhqrFlr9gh7KWe/S0R4DtfSif44P4yR5af0HhMx8mBpDqBdm4TjJDA
34jf3j5Qet4PK7YLIQY5VZQ6e7Y9xdPIeJ69unmM1jcbM6eGYXD1VshQc3stlc880hMYWqXS
zKHS/lD7u73FnMZiR7nmDkkEQhG+4LogMGy3</vt:lpwstr>
  </property>
  <property fmtid="{D5CDD505-2E9C-101B-9397-08002B2CF9AE}" pid="19" name="_2015_ms_pID_7253431_00">
    <vt:lpwstr>_2015_ms_pID_7253431</vt:lpwstr>
  </property>
  <property fmtid="{D5CDD505-2E9C-101B-9397-08002B2CF9AE}" pid="20" name="_2015_ms_pID_7253432">
    <vt:lpwstr>gIVDevhFlUvGnF5Vt9hpC4SzyXeZv2FRAL7j
Ny+g8EWN4Bjzif6njB5vvxSK0BemIESpCsZoUKMjBRge6gC4BMo=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