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B0D4C3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5C56FE" w:rsidRPr="005C56FE">
        <w:rPr>
          <w:rFonts w:ascii="Arial" w:eastAsia="SimSun" w:hAnsi="Arial" w:cs="Times New Roman"/>
          <w:b/>
          <w:bCs/>
          <w:sz w:val="24"/>
          <w:szCs w:val="20"/>
        </w:rPr>
        <w:t>R4-2216581</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C54968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A579F">
        <w:rPr>
          <w:rFonts w:ascii="Arial" w:eastAsia="Calibri" w:hAnsi="Arial" w:cs="Arial"/>
          <w:b/>
          <w:bCs/>
          <w:sz w:val="24"/>
        </w:rPr>
        <w:t xml:space="preserve">Discussion on </w:t>
      </w:r>
      <w:r w:rsidR="00611B25">
        <w:rPr>
          <w:rFonts w:ascii="Arial" w:eastAsia="Calibri" w:hAnsi="Arial" w:cs="Arial"/>
          <w:b/>
          <w:bCs/>
          <w:sz w:val="24"/>
        </w:rPr>
        <w:t xml:space="preserve">RRM </w:t>
      </w:r>
      <w:r w:rsidR="005928EF">
        <w:rPr>
          <w:rFonts w:ascii="Arial" w:eastAsia="Calibri" w:hAnsi="Arial" w:cs="Arial"/>
          <w:b/>
          <w:bCs/>
          <w:sz w:val="24"/>
        </w:rPr>
        <w:t xml:space="preserve">TCI </w:t>
      </w:r>
      <w:r w:rsidR="00641022">
        <w:rPr>
          <w:rFonts w:ascii="Arial" w:eastAsia="Calibri" w:hAnsi="Arial" w:cs="Arial"/>
          <w:b/>
          <w:bCs/>
          <w:sz w:val="24"/>
        </w:rPr>
        <w:t>S</w:t>
      </w:r>
      <w:r w:rsidR="000A3540">
        <w:rPr>
          <w:rFonts w:ascii="Arial" w:eastAsia="Calibri" w:hAnsi="Arial" w:cs="Arial"/>
          <w:b/>
          <w:bCs/>
          <w:sz w:val="24"/>
        </w:rPr>
        <w:t xml:space="preserve">tate </w:t>
      </w:r>
      <w:r w:rsidR="005928EF">
        <w:rPr>
          <w:rFonts w:ascii="Arial" w:eastAsia="Calibri" w:hAnsi="Arial" w:cs="Arial"/>
          <w:b/>
          <w:bCs/>
          <w:sz w:val="24"/>
        </w:rPr>
        <w:t>Switching</w:t>
      </w:r>
      <w:r w:rsidR="00E66149">
        <w:rPr>
          <w:rFonts w:ascii="Arial" w:eastAsia="Calibri" w:hAnsi="Arial" w:cs="Arial"/>
          <w:b/>
          <w:bCs/>
          <w:sz w:val="24"/>
        </w:rPr>
        <w:t xml:space="preserve"> for </w:t>
      </w:r>
      <w:proofErr w:type="gramStart"/>
      <w:r w:rsidR="00E66149">
        <w:rPr>
          <w:rFonts w:ascii="Arial" w:eastAsia="Calibri" w:hAnsi="Arial" w:cs="Arial"/>
          <w:b/>
          <w:bCs/>
          <w:sz w:val="24"/>
        </w:rPr>
        <w:t>multi</w:t>
      </w:r>
      <w:r w:rsidR="00D478A6">
        <w:rPr>
          <w:rFonts w:ascii="Arial" w:eastAsia="Calibri" w:hAnsi="Arial" w:cs="Arial"/>
          <w:b/>
          <w:bCs/>
          <w:sz w:val="24"/>
        </w:rPr>
        <w:t xml:space="preserve"> Rx</w:t>
      </w:r>
      <w:proofErr w:type="gramEnd"/>
      <w:r w:rsidR="00D478A6">
        <w:rPr>
          <w:rFonts w:ascii="Arial" w:eastAsia="Calibri" w:hAnsi="Arial" w:cs="Arial"/>
          <w:b/>
          <w:bCs/>
          <w:sz w:val="24"/>
        </w:rPr>
        <w:t xml:space="preserve"> DL in FR2</w:t>
      </w:r>
    </w:p>
    <w:p w14:paraId="641E8BEA" w14:textId="56A846C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54987">
        <w:rPr>
          <w:rFonts w:ascii="Arial" w:eastAsia="MS Mincho" w:hAnsi="Arial" w:cs="Arial"/>
          <w:b/>
          <w:bCs/>
          <w:sz w:val="24"/>
          <w:szCs w:val="20"/>
        </w:rPr>
        <w:t>6.</w:t>
      </w:r>
      <w:r w:rsidR="004E137B">
        <w:rPr>
          <w:rFonts w:ascii="Arial" w:eastAsia="MS Mincho" w:hAnsi="Arial" w:cs="Arial"/>
          <w:b/>
          <w:bCs/>
          <w:sz w:val="24"/>
          <w:szCs w:val="20"/>
        </w:rPr>
        <w:t>8.3.4</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3D34877E" w:rsidR="00841BCD"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4A328AB4" w14:textId="7777A756" w:rsidR="005A7832" w:rsidRDefault="005A7832" w:rsidP="005A7832">
      <w:pPr>
        <w:rPr>
          <w:rFonts w:eastAsia="Calibri" w:cs="Times New Roman"/>
          <w:szCs w:val="20"/>
        </w:rPr>
      </w:pPr>
      <w:r>
        <w:rPr>
          <w:rFonts w:eastAsia="Calibri" w:cs="Times New Roman"/>
          <w:szCs w:val="20"/>
        </w:rPr>
        <w:t xml:space="preserve">RAN4 #104 the </w:t>
      </w:r>
      <w:r w:rsidR="00074351">
        <w:rPr>
          <w:rFonts w:eastAsia="Calibri" w:cs="Times New Roman"/>
          <w:szCs w:val="20"/>
        </w:rPr>
        <w:t xml:space="preserve">discussions on </w:t>
      </w:r>
      <w:r w:rsidR="0047697C">
        <w:rPr>
          <w:rFonts w:eastAsia="Calibri" w:cs="Times New Roman"/>
          <w:szCs w:val="20"/>
        </w:rPr>
        <w:t xml:space="preserve">multi-RX RRM aspects were started. </w:t>
      </w:r>
      <w:r w:rsidR="00EB31A1">
        <w:rPr>
          <w:rFonts w:eastAsia="Calibri" w:cs="Times New Roman"/>
          <w:szCs w:val="20"/>
        </w:rPr>
        <w:t xml:space="preserve">Among the </w:t>
      </w:r>
      <w:r w:rsidR="007E1716">
        <w:rPr>
          <w:rFonts w:eastAsia="Calibri" w:cs="Times New Roman"/>
          <w:szCs w:val="20"/>
        </w:rPr>
        <w:t>discussed topics, companies brought their views regarding TCI state switch</w:t>
      </w:r>
      <w:r>
        <w:rPr>
          <w:rFonts w:eastAsia="Calibri" w:cs="Times New Roman"/>
          <w:szCs w:val="20"/>
        </w:rPr>
        <w:t xml:space="preserve"> </w:t>
      </w:r>
      <w:r w:rsidR="0051679F">
        <w:rPr>
          <w:rFonts w:eastAsia="Calibri" w:cs="Times New Roman"/>
          <w:szCs w:val="20"/>
        </w:rPr>
        <w:t xml:space="preserve">in multi-RX chain. The following aspects were captured in the WF </w:t>
      </w:r>
      <w:r>
        <w:rPr>
          <w:rFonts w:eastAsia="Calibri" w:cs="Times New Roman"/>
          <w:szCs w:val="20"/>
        </w:rPr>
        <w:t xml:space="preserve"> </w:t>
      </w:r>
      <w:r w:rsidR="00E865BD">
        <w:rPr>
          <w:rFonts w:eastAsia="Calibri" w:cs="Times New Roman"/>
          <w:szCs w:val="20"/>
        </w:rPr>
        <w:fldChar w:fldCharType="begin"/>
      </w:r>
      <w:r w:rsidR="00E865BD">
        <w:rPr>
          <w:rFonts w:eastAsia="Calibri" w:cs="Times New Roman"/>
          <w:szCs w:val="20"/>
        </w:rPr>
        <w:instrText xml:space="preserve"> REF _Ref115419449 \r \h </w:instrText>
      </w:r>
      <w:r w:rsidR="00E865BD">
        <w:rPr>
          <w:rFonts w:eastAsia="Calibri" w:cs="Times New Roman"/>
          <w:szCs w:val="20"/>
        </w:rPr>
      </w:r>
      <w:r w:rsidR="00E865BD">
        <w:rPr>
          <w:rFonts w:eastAsia="Calibri" w:cs="Times New Roman"/>
          <w:szCs w:val="20"/>
        </w:rPr>
        <w:fldChar w:fldCharType="separate"/>
      </w:r>
      <w:r w:rsidR="00E865BD">
        <w:rPr>
          <w:rFonts w:eastAsia="Calibri" w:cs="Times New Roman"/>
          <w:szCs w:val="20"/>
        </w:rPr>
        <w:t>[3]</w:t>
      </w:r>
      <w:r w:rsidR="00E865BD">
        <w:rPr>
          <w:rFonts w:eastAsia="Calibri" w:cs="Times New Roman"/>
          <w:szCs w:val="20"/>
        </w:rPr>
        <w:fldChar w:fldCharType="end"/>
      </w:r>
      <w:r w:rsidR="00E865BD">
        <w:rPr>
          <w:rFonts w:eastAsia="Calibri" w:cs="Times New Roman"/>
          <w:szCs w:val="20"/>
        </w:rPr>
        <w:t>.</w:t>
      </w:r>
    </w:p>
    <w:p w14:paraId="7F8C5237" w14:textId="21562792" w:rsidR="005A7832" w:rsidRPr="000F4569" w:rsidRDefault="005A7832" w:rsidP="005A7832"/>
    <w:tbl>
      <w:tblPr>
        <w:tblStyle w:val="TableGrid"/>
        <w:tblW w:w="0" w:type="auto"/>
        <w:tblLook w:val="04A0" w:firstRow="1" w:lastRow="0" w:firstColumn="1" w:lastColumn="0" w:noHBand="0" w:noVBand="1"/>
      </w:tblPr>
      <w:tblGrid>
        <w:gridCol w:w="9617"/>
      </w:tblGrid>
      <w:tr w:rsidR="00C8178F" w14:paraId="141E47B6" w14:textId="77777777" w:rsidTr="00C8178F">
        <w:tc>
          <w:tcPr>
            <w:tcW w:w="9617" w:type="dxa"/>
          </w:tcPr>
          <w:p w14:paraId="3F684696" w14:textId="77777777" w:rsidR="00E714A2" w:rsidRDefault="00E714A2" w:rsidP="00E714A2">
            <w:r w:rsidRPr="155865C2">
              <w:rPr>
                <w:rFonts w:eastAsia="Times New Roman" w:cs="Times New Roman"/>
                <w:b/>
                <w:bCs/>
                <w:szCs w:val="20"/>
                <w:u w:val="single"/>
                <w:lang w:val="en-GB"/>
              </w:rPr>
              <w:t>Issue 1-3-1: General considerations for TCI related</w:t>
            </w:r>
          </w:p>
          <w:p w14:paraId="1E68CE8C" w14:textId="77777777" w:rsidR="00E714A2" w:rsidRDefault="00E714A2" w:rsidP="00E714A2">
            <w:r w:rsidRPr="155865C2">
              <w:rPr>
                <w:rFonts w:eastAsia="Times New Roman" w:cs="Times New Roman"/>
                <w:b/>
                <w:bCs/>
                <w:szCs w:val="20"/>
                <w:u w:val="single"/>
                <w:lang w:val="en-GB"/>
              </w:rPr>
              <w:t>Issue 1-3-1-1: Independent TCI switching for dual TCIs for multi-Rx chain UE</w:t>
            </w:r>
          </w:p>
          <w:p w14:paraId="35C89379" w14:textId="77777777" w:rsidR="00E714A2" w:rsidRDefault="00E714A2" w:rsidP="00E714A2">
            <w:pPr>
              <w:pStyle w:val="ListParagraph"/>
              <w:numPr>
                <w:ilvl w:val="0"/>
                <w:numId w:val="1"/>
              </w:numPr>
              <w:rPr>
                <w:rFonts w:eastAsia="Times New Roman" w:cs="Times New Roman"/>
                <w:szCs w:val="20"/>
                <w:lang w:val="en-GB"/>
              </w:rPr>
            </w:pPr>
            <w:r w:rsidRPr="155865C2">
              <w:rPr>
                <w:rFonts w:eastAsia="Times New Roman" w:cs="Times New Roman"/>
                <w:szCs w:val="20"/>
                <w:lang w:val="en-GB"/>
              </w:rPr>
              <w:t>Proposals</w:t>
            </w:r>
          </w:p>
          <w:p w14:paraId="6ACE4ECA" w14:textId="77777777"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1: Each TCI switching per RX chain is assumed to be independent in aspect of TCI switching delay. RAN4 to study if Rel-17 TCI switching delay requirements can be applicable as Rel-18 UE requirements with multi-RX chains.</w:t>
            </w:r>
          </w:p>
          <w:p w14:paraId="07B18051" w14:textId="0E004301"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2: RAN4 to study if a UE with multiple RX chains tracks time and frequency per TCI when dual TCIs are activated per RX chain.</w:t>
            </w:r>
          </w:p>
          <w:p w14:paraId="3F944A50" w14:textId="77777777"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3: RAN4 to discuss the requirements for any change to the set of active TCI states used for simultaneous reception, e.g., active TCI state switching within this set.</w:t>
            </w:r>
          </w:p>
          <w:p w14:paraId="36F3C351" w14:textId="77777777" w:rsidR="00E714A2" w:rsidRPr="00DA1807" w:rsidRDefault="00E714A2" w:rsidP="00E714A2">
            <w:r w:rsidRPr="00DA1807">
              <w:rPr>
                <w:rFonts w:eastAsia="Times New Roman" w:cs="Times New Roman"/>
                <w:b/>
                <w:bCs/>
                <w:szCs w:val="20"/>
                <w:u w:val="single"/>
                <w:lang w:val="en-GB"/>
              </w:rPr>
              <w:t>Issue 1-3-1-2:  TCI framework for dual TCIs</w:t>
            </w:r>
          </w:p>
          <w:p w14:paraId="4098D59D" w14:textId="77777777" w:rsidR="00E714A2" w:rsidRPr="00DA1807" w:rsidRDefault="00E714A2" w:rsidP="00E714A2">
            <w:pPr>
              <w:pStyle w:val="ListParagraph"/>
              <w:numPr>
                <w:ilvl w:val="0"/>
                <w:numId w:val="1"/>
              </w:numPr>
              <w:rPr>
                <w:rFonts w:eastAsia="Times New Roman" w:cs="Times New Roman"/>
                <w:szCs w:val="20"/>
                <w:lang w:val="en-GB"/>
              </w:rPr>
            </w:pPr>
            <w:r w:rsidRPr="00DA1807">
              <w:rPr>
                <w:rFonts w:eastAsia="Times New Roman" w:cs="Times New Roman"/>
                <w:szCs w:val="20"/>
                <w:lang w:val="en-GB"/>
              </w:rPr>
              <w:t>Proposals</w:t>
            </w:r>
          </w:p>
          <w:p w14:paraId="4247C40C" w14:textId="77777777"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1: Dual TCI state switching delay requirements shall base on Rel-15/16 TCI framework.</w:t>
            </w:r>
          </w:p>
          <w:p w14:paraId="5638DC4C" w14:textId="3B172A3F"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2: To define requirements for TCI switching delay with dual TCI, both R15/R16 TCI framework and R17 TCI framework, i.e., unified TCI, are considered for UE supporting multi-Rx chain simultaneous reception.</w:t>
            </w:r>
          </w:p>
          <w:p w14:paraId="5E682494" w14:textId="77777777" w:rsidR="00E714A2" w:rsidRPr="00DA1807" w:rsidRDefault="00E714A2" w:rsidP="00E714A2">
            <w:r w:rsidRPr="00DA1807">
              <w:rPr>
                <w:rFonts w:eastAsia="Times New Roman" w:cs="Times New Roman"/>
                <w:b/>
                <w:bCs/>
                <w:szCs w:val="20"/>
                <w:u w:val="single"/>
                <w:lang w:val="en-GB"/>
              </w:rPr>
              <w:t>Issue 1-3-1-4: Inside-panel TCI state switching and cross-panel TCI state switching</w:t>
            </w:r>
          </w:p>
          <w:p w14:paraId="5C501ADB" w14:textId="77777777" w:rsidR="00E714A2" w:rsidRPr="00DA1807" w:rsidRDefault="00E714A2" w:rsidP="00E714A2">
            <w:pPr>
              <w:pStyle w:val="ListParagraph"/>
              <w:numPr>
                <w:ilvl w:val="0"/>
                <w:numId w:val="1"/>
              </w:numPr>
              <w:rPr>
                <w:rFonts w:eastAsia="Times New Roman" w:cs="Times New Roman"/>
                <w:szCs w:val="20"/>
                <w:lang w:val="en-GB"/>
              </w:rPr>
            </w:pPr>
            <w:r w:rsidRPr="00DA1807">
              <w:rPr>
                <w:rFonts w:eastAsia="Times New Roman" w:cs="Times New Roman"/>
                <w:szCs w:val="20"/>
                <w:lang w:val="en-GB"/>
              </w:rPr>
              <w:t>Proposals</w:t>
            </w:r>
          </w:p>
          <w:p w14:paraId="08231C47" w14:textId="02BC8529" w:rsidR="00E714A2" w:rsidRPr="00DA1807"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1: FFS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460085AB" w14:textId="77777777" w:rsidR="00E714A2" w:rsidRPr="00DA1807" w:rsidRDefault="00E714A2" w:rsidP="00E714A2">
            <w:r w:rsidRPr="00DA1807">
              <w:rPr>
                <w:rFonts w:eastAsia="Times New Roman" w:cs="Times New Roman"/>
                <w:b/>
                <w:bCs/>
                <w:szCs w:val="20"/>
                <w:u w:val="single"/>
                <w:lang w:val="en-GB"/>
              </w:rPr>
              <w:t>Issue 1-3-1-5: Whether number of active TCI states can be larger than the UE capability for simultaneous reception</w:t>
            </w:r>
          </w:p>
          <w:p w14:paraId="1D14BB9A" w14:textId="77777777" w:rsidR="00E714A2" w:rsidRPr="00DA1807" w:rsidRDefault="00E714A2" w:rsidP="00E714A2">
            <w:pPr>
              <w:pStyle w:val="ListParagraph"/>
              <w:numPr>
                <w:ilvl w:val="0"/>
                <w:numId w:val="1"/>
              </w:numPr>
              <w:rPr>
                <w:rFonts w:eastAsia="Times New Roman" w:cs="Times New Roman"/>
                <w:szCs w:val="20"/>
                <w:lang w:val="en-GB"/>
              </w:rPr>
            </w:pPr>
            <w:r w:rsidRPr="00DA1807">
              <w:rPr>
                <w:rFonts w:eastAsia="Times New Roman" w:cs="Times New Roman"/>
                <w:szCs w:val="20"/>
                <w:lang w:val="en-GB"/>
              </w:rPr>
              <w:t>Proposals</w:t>
            </w:r>
          </w:p>
          <w:p w14:paraId="3F6DCB8D" w14:textId="77777777" w:rsidR="00E714A2" w:rsidRDefault="00E714A2" w:rsidP="00E714A2">
            <w:pPr>
              <w:pStyle w:val="ListParagraph"/>
              <w:numPr>
                <w:ilvl w:val="1"/>
                <w:numId w:val="1"/>
              </w:numPr>
              <w:rPr>
                <w:rFonts w:eastAsia="Times New Roman" w:cs="Times New Roman"/>
                <w:szCs w:val="20"/>
                <w:lang w:val="en-GB"/>
              </w:rPr>
            </w:pPr>
            <w:r w:rsidRPr="00DA1807">
              <w:rPr>
                <w:rFonts w:eastAsia="Times New Roman" w:cs="Times New Roman"/>
                <w:szCs w:val="20"/>
                <w:lang w:val="en-GB"/>
              </w:rPr>
              <w:t>Option 1: FFS RAN4 to discuss whether there is an issue when the number of active TCI states is larger than the UE capability for simultaneous reception</w:t>
            </w:r>
            <w:r w:rsidRPr="155865C2">
              <w:rPr>
                <w:rFonts w:eastAsia="Times New Roman" w:cs="Times New Roman"/>
                <w:szCs w:val="20"/>
                <w:lang w:val="en-GB"/>
              </w:rPr>
              <w:t>.</w:t>
            </w:r>
          </w:p>
          <w:p w14:paraId="7226BA6F" w14:textId="77777777" w:rsidR="00E714A2" w:rsidRDefault="00E714A2" w:rsidP="00E714A2">
            <w:pPr>
              <w:rPr>
                <w:rFonts w:ascii="Calibri" w:eastAsia="Calibri" w:hAnsi="Calibri" w:cs="Calibri"/>
                <w:sz w:val="22"/>
              </w:rPr>
            </w:pPr>
          </w:p>
          <w:p w14:paraId="52CB28D6" w14:textId="77777777" w:rsidR="00E714A2" w:rsidRDefault="00E714A2" w:rsidP="00E714A2">
            <w:r w:rsidRPr="4E49687F">
              <w:rPr>
                <w:rFonts w:eastAsia="Times New Roman" w:cs="Times New Roman"/>
                <w:b/>
                <w:bCs/>
                <w:szCs w:val="20"/>
                <w:u w:val="single"/>
                <w:lang w:val="en-GB"/>
              </w:rPr>
              <w:t>Issue 1-3-2: Known/unknown conditions for TCI state switching for multi-Rx chain</w:t>
            </w:r>
          </w:p>
          <w:p w14:paraId="56EA84F7" w14:textId="77777777" w:rsidR="00E714A2" w:rsidRDefault="00E714A2" w:rsidP="00E714A2">
            <w:pPr>
              <w:pStyle w:val="ListParagraph"/>
              <w:numPr>
                <w:ilvl w:val="0"/>
                <w:numId w:val="1"/>
              </w:numPr>
              <w:rPr>
                <w:rFonts w:eastAsia="Times New Roman" w:cs="Times New Roman"/>
                <w:szCs w:val="20"/>
                <w:lang w:val="en-GB"/>
              </w:rPr>
            </w:pPr>
            <w:r w:rsidRPr="4E49687F">
              <w:rPr>
                <w:rFonts w:eastAsia="Times New Roman" w:cs="Times New Roman"/>
                <w:szCs w:val="20"/>
                <w:lang w:val="en-GB"/>
              </w:rPr>
              <w:t>Proposals</w:t>
            </w:r>
          </w:p>
          <w:p w14:paraId="7DFBCECB"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 xml:space="preserve">P1: Study whether TCI state switching delay can be modified or not for </w:t>
            </w:r>
            <w:proofErr w:type="gramStart"/>
            <w:r w:rsidRPr="4E49687F">
              <w:rPr>
                <w:rFonts w:eastAsia="Times New Roman" w:cs="Times New Roman"/>
                <w:szCs w:val="20"/>
                <w:lang w:val="en-GB"/>
              </w:rPr>
              <w:t>multi Rx</w:t>
            </w:r>
            <w:proofErr w:type="gramEnd"/>
            <w:r w:rsidRPr="4E49687F">
              <w:rPr>
                <w:rFonts w:eastAsia="Times New Roman" w:cs="Times New Roman"/>
                <w:szCs w:val="20"/>
                <w:lang w:val="en-GB"/>
              </w:rPr>
              <w:t xml:space="preserve"> chain UE, e.g. how to evaluate known/unknown condition by using multi Rx chain, how to define TCI state change delay by the cases that dedicated Rx chain is used, partial Rx chains are used, or all Rx chains are used.</w:t>
            </w:r>
          </w:p>
          <w:p w14:paraId="4039447F"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P1a: For MAC-CE based TCI state switch delay with unknown target TCI state, the reduction on switch delay requirements can be considered (</w:t>
            </w:r>
            <w:proofErr w:type="gramStart"/>
            <w:r w:rsidRPr="4E49687F">
              <w:rPr>
                <w:rFonts w:eastAsia="Times New Roman" w:cs="Times New Roman"/>
                <w:szCs w:val="20"/>
                <w:lang w:val="en-GB"/>
              </w:rPr>
              <w:t>i.e.</w:t>
            </w:r>
            <w:proofErr w:type="gramEnd"/>
            <w:r w:rsidRPr="4E49687F">
              <w:rPr>
                <w:rFonts w:eastAsia="Times New Roman" w:cs="Times New Roman"/>
                <w:szCs w:val="20"/>
                <w:lang w:val="en-GB"/>
              </w:rPr>
              <w:t xml:space="preserve"> consider the improvement of T</w:t>
            </w:r>
            <w:r w:rsidRPr="4E49687F">
              <w:rPr>
                <w:rFonts w:eastAsia="Times New Roman" w:cs="Times New Roman"/>
                <w:szCs w:val="20"/>
                <w:vertAlign w:val="subscript"/>
                <w:lang w:val="en-GB"/>
              </w:rPr>
              <w:t>L1-RSRP</w:t>
            </w:r>
            <w:r w:rsidRPr="4E49687F">
              <w:rPr>
                <w:rFonts w:eastAsia="Times New Roman" w:cs="Times New Roman"/>
                <w:szCs w:val="20"/>
                <w:lang w:val="en-GB"/>
              </w:rPr>
              <w:t xml:space="preserve"> with multiple simultaneous reception)</w:t>
            </w:r>
          </w:p>
          <w:p w14:paraId="700594A0"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P1b: For dual TCI state switching delay requirements, which scenarios of triggering, known/unknown TCI state and TCI association to different PCI could be considered and clarified.</w:t>
            </w:r>
          </w:p>
          <w:p w14:paraId="2123ABD2"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lastRenderedPageBreak/>
              <w:t>P1c: Discuss the known conditions of dual TCI and discuss whether to define requirements for unknown dual TCI state switch.</w:t>
            </w:r>
          </w:p>
          <w:p w14:paraId="70836E21" w14:textId="77777777" w:rsidR="00E714A2" w:rsidRDefault="00E714A2" w:rsidP="00E714A2">
            <w:r w:rsidRPr="4E49687F">
              <w:rPr>
                <w:rFonts w:eastAsia="Times New Roman" w:cs="Times New Roman"/>
                <w:b/>
                <w:bCs/>
                <w:szCs w:val="20"/>
                <w:u w:val="single"/>
                <w:lang w:val="en-GB"/>
              </w:rPr>
              <w:t>Issue 1-3-3: Enhancement for TCI state switching delay requirements</w:t>
            </w:r>
          </w:p>
          <w:p w14:paraId="7D24D5D4" w14:textId="77777777" w:rsidR="00E714A2" w:rsidRDefault="00E714A2" w:rsidP="00E714A2">
            <w:pPr>
              <w:pStyle w:val="ListParagraph"/>
              <w:numPr>
                <w:ilvl w:val="0"/>
                <w:numId w:val="1"/>
              </w:numPr>
              <w:rPr>
                <w:rFonts w:eastAsia="Times New Roman" w:cs="Times New Roman"/>
                <w:szCs w:val="20"/>
                <w:lang w:val="en-GB"/>
              </w:rPr>
            </w:pPr>
            <w:r w:rsidRPr="4E49687F">
              <w:rPr>
                <w:rFonts w:eastAsia="Times New Roman" w:cs="Times New Roman"/>
                <w:szCs w:val="20"/>
                <w:lang w:val="en-GB"/>
              </w:rPr>
              <w:t>Proposals</w:t>
            </w:r>
          </w:p>
          <w:p w14:paraId="092C3150"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 For dual TCI state switch, the legacy TCI state switch delay requirement can be reused</w:t>
            </w:r>
          </w:p>
          <w:p w14:paraId="7F6C70F2"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P2: The new RRM requirements defined for simultaneous measurements and procedures on two chains need to apply, provided the corresponding active TCI states are configured and used for simultaneous reception during the measurement or evaluation period.</w:t>
            </w:r>
          </w:p>
          <w:p w14:paraId="7E35FE87" w14:textId="77777777" w:rsidR="00E714A2" w:rsidRDefault="00E714A2" w:rsidP="00E714A2">
            <w:pPr>
              <w:pStyle w:val="ListParagraph"/>
              <w:numPr>
                <w:ilvl w:val="1"/>
                <w:numId w:val="1"/>
              </w:numPr>
              <w:rPr>
                <w:rFonts w:eastAsia="Times New Roman" w:cs="Times New Roman"/>
                <w:szCs w:val="20"/>
                <w:lang w:val="en-GB"/>
              </w:rPr>
            </w:pPr>
            <w:r w:rsidRPr="4E49687F">
              <w:rPr>
                <w:rFonts w:eastAsia="Times New Roman" w:cs="Times New Roman"/>
                <w:szCs w:val="20"/>
                <w:lang w:val="en-GB"/>
              </w:rPr>
              <w:t>P3: The legacy TCI state switching delay requirement can apply for each RX beam.</w:t>
            </w:r>
          </w:p>
          <w:p w14:paraId="5D0B4336" w14:textId="77777777" w:rsidR="00C8178F" w:rsidRPr="00891DF1" w:rsidRDefault="00C8178F" w:rsidP="005A7832">
            <w:pPr>
              <w:rPr>
                <w:lang w:val="en-GB"/>
              </w:rPr>
            </w:pPr>
          </w:p>
        </w:tc>
      </w:tr>
    </w:tbl>
    <w:p w14:paraId="302F8B0B" w14:textId="4E27A458" w:rsidR="00C8178F" w:rsidRPr="000F4569" w:rsidRDefault="00E714A2" w:rsidP="005A7832">
      <w:r>
        <w:rPr>
          <w:rFonts w:eastAsia="Calibri" w:cs="Times New Roman"/>
          <w:szCs w:val="20"/>
        </w:rPr>
        <w:lastRenderedPageBreak/>
        <w:t>In this contribution we discuss the aspects of the TCI Switching for the operation of UEs supporting multiple Rx chains.</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1DB3A944" w14:textId="2CE7149A" w:rsidR="003B3E65" w:rsidRDefault="003B3E65" w:rsidP="006C6150">
      <w:pPr>
        <w:pStyle w:val="RAN4H2"/>
      </w:pPr>
      <w:r>
        <w:t>Scenarios</w:t>
      </w:r>
      <w:r w:rsidR="006C6150">
        <w:t xml:space="preserve"> for the TCI state switching delay requirements</w:t>
      </w:r>
    </w:p>
    <w:p w14:paraId="00B309DC" w14:textId="722683E6" w:rsidR="001E2C6C" w:rsidRDefault="00C90195" w:rsidP="005C23A4">
      <w:r>
        <w:t>The</w:t>
      </w:r>
      <w:r w:rsidR="0040664A">
        <w:t xml:space="preserve"> </w:t>
      </w:r>
      <w:r>
        <w:t xml:space="preserve">multi-RX </w:t>
      </w:r>
      <w:r w:rsidR="00424385">
        <w:t>WID</w:t>
      </w:r>
      <w:r>
        <w:t xml:space="preserve"> describes</w:t>
      </w:r>
      <w:r w:rsidR="004153AA">
        <w:t xml:space="preserve"> that </w:t>
      </w:r>
      <w:r w:rsidR="00DA78E5">
        <w:t xml:space="preserve">the enhanced RRM requirements </w:t>
      </w:r>
      <w:r w:rsidR="006B492B">
        <w:t xml:space="preserve">for TCI state switch delay </w:t>
      </w:r>
      <w:r w:rsidR="00E93EAA">
        <w:t xml:space="preserve">with dual TCI </w:t>
      </w:r>
      <w:r w:rsidR="006B492B">
        <w:t xml:space="preserve">should be </w:t>
      </w:r>
      <w:r w:rsidR="003B62B8">
        <w:t>studied and specified if ne</w:t>
      </w:r>
      <w:r w:rsidR="00E93EAA">
        <w:t xml:space="preserve">eded. </w:t>
      </w:r>
      <w:r w:rsidR="00C3467C">
        <w:t xml:space="preserve">In the </w:t>
      </w:r>
      <w:r w:rsidR="004B10EC">
        <w:t xml:space="preserve">last RAN4 meeting, companies brought different views </w:t>
      </w:r>
      <w:r w:rsidR="001E2C6C">
        <w:t>about the requirements and the scope of the enhancements to be studied in RAN4.</w:t>
      </w:r>
      <w:r w:rsidR="009E3BD4" w:rsidRPr="009E3BD4">
        <w:t xml:space="preserve"> </w:t>
      </w:r>
      <w:r w:rsidR="009E3BD4">
        <w:t xml:space="preserve">In our companion paper in the general agenda item, we discuss the different scenarios that in our view are applicable for this </w:t>
      </w:r>
      <w:r w:rsidR="00AE1E70">
        <w:t>WI. We consider</w:t>
      </w:r>
      <w:r w:rsidR="009E3BD4">
        <w:t xml:space="preserve"> both the multi-DCI (</w:t>
      </w:r>
      <w:proofErr w:type="spellStart"/>
      <w:r w:rsidR="009E3BD4">
        <w:t>mDCI</w:t>
      </w:r>
      <w:proofErr w:type="spellEnd"/>
      <w:r w:rsidR="009E3BD4">
        <w:t>), multi-TRP (</w:t>
      </w:r>
      <w:proofErr w:type="spellStart"/>
      <w:r w:rsidR="009E3BD4">
        <w:t>mTRP</w:t>
      </w:r>
      <w:proofErr w:type="spellEnd"/>
      <w:r w:rsidR="009E3BD4">
        <w:t>) and the single-DCI, multi-TRP scenarios as in the</w:t>
      </w:r>
      <w:r w:rsidR="00AE1E70">
        <w:t xml:space="preserve"> figures below.</w:t>
      </w:r>
    </w:p>
    <w:p w14:paraId="5758188B" w14:textId="77777777" w:rsidR="00800141" w:rsidRDefault="00B971A0" w:rsidP="00800141">
      <w:pPr>
        <w:keepNext/>
        <w:jc w:val="center"/>
      </w:pPr>
      <w:r>
        <w:object w:dxaOrig="6511" w:dyaOrig="4521" w14:anchorId="73EEE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226.35pt" o:ole="">
            <v:imagedata r:id="rId13" o:title=""/>
          </v:shape>
          <o:OLEObject Type="Embed" ProgID="Visio.Drawing.15" ShapeID="_x0000_i1025" DrawAspect="Content" ObjectID="_1726077079" r:id="rId14"/>
        </w:object>
      </w:r>
    </w:p>
    <w:p w14:paraId="69B2771E" w14:textId="7F088610" w:rsidR="00800141" w:rsidRDefault="00800141" w:rsidP="00800141">
      <w:pPr>
        <w:pStyle w:val="Caption"/>
      </w:pPr>
      <w:r>
        <w:t xml:space="preserve">Figure </w:t>
      </w:r>
      <w:r w:rsidR="00DE076D">
        <w:fldChar w:fldCharType="begin"/>
      </w:r>
      <w:r w:rsidR="00DE076D">
        <w:instrText xml:space="preserve"> SEQ Figure \* ARABIC </w:instrText>
      </w:r>
      <w:r w:rsidR="00DE076D">
        <w:fldChar w:fldCharType="separate"/>
      </w:r>
      <w:r>
        <w:rPr>
          <w:noProof/>
        </w:rPr>
        <w:t>1</w:t>
      </w:r>
      <w:r w:rsidR="00DE076D">
        <w:rPr>
          <w:noProof/>
        </w:rPr>
        <w:fldChar w:fldCharType="end"/>
      </w:r>
      <w:r>
        <w:t xml:space="preserve"> - single DCI, multi-TRP scenario</w:t>
      </w:r>
    </w:p>
    <w:p w14:paraId="719A4825" w14:textId="5EE6CD1F" w:rsidR="00B971A0" w:rsidRDefault="00B971A0" w:rsidP="00B971A0">
      <w:pPr>
        <w:jc w:val="center"/>
      </w:pPr>
    </w:p>
    <w:p w14:paraId="46CEBA50" w14:textId="77777777" w:rsidR="00B971A0" w:rsidRDefault="00B971A0" w:rsidP="00B971A0">
      <w:pPr>
        <w:jc w:val="center"/>
      </w:pPr>
    </w:p>
    <w:p w14:paraId="69AE940B" w14:textId="77777777" w:rsidR="00800141" w:rsidRDefault="00B971A0" w:rsidP="00800141">
      <w:pPr>
        <w:keepNext/>
        <w:jc w:val="center"/>
      </w:pPr>
      <w:r>
        <w:object w:dxaOrig="6511" w:dyaOrig="4521" w14:anchorId="30741D71">
          <v:shape id="_x0000_i1026" type="#_x0000_t75" style="width:325.45pt;height:226.35pt" o:ole="">
            <v:imagedata r:id="rId15" o:title=""/>
          </v:shape>
          <o:OLEObject Type="Embed" ProgID="Visio.Drawing.15" ShapeID="_x0000_i1026" DrawAspect="Content" ObjectID="_1726077080" r:id="rId16"/>
        </w:object>
      </w:r>
    </w:p>
    <w:p w14:paraId="697257D7" w14:textId="6F6DE8C1" w:rsidR="00800141" w:rsidRPr="00891DF1" w:rsidRDefault="00800141" w:rsidP="00800141">
      <w:pPr>
        <w:pStyle w:val="Caption"/>
        <w:rPr>
          <w:lang w:val="pt-BR"/>
        </w:rPr>
      </w:pPr>
      <w:r w:rsidRPr="00891DF1">
        <w:rPr>
          <w:lang w:val="pt-BR"/>
        </w:rPr>
        <w:t xml:space="preserve">Figure </w:t>
      </w:r>
      <w:r>
        <w:fldChar w:fldCharType="begin"/>
      </w:r>
      <w:r w:rsidRPr="00891DF1">
        <w:rPr>
          <w:lang w:val="pt-BR"/>
        </w:rPr>
        <w:instrText xml:space="preserve"> SEQ Figure \* ARABIC </w:instrText>
      </w:r>
      <w:r>
        <w:fldChar w:fldCharType="separate"/>
      </w:r>
      <w:r w:rsidRPr="00891DF1">
        <w:rPr>
          <w:noProof/>
          <w:lang w:val="pt-BR"/>
        </w:rPr>
        <w:t>2</w:t>
      </w:r>
      <w:r>
        <w:fldChar w:fldCharType="end"/>
      </w:r>
      <w:r w:rsidRPr="00891DF1">
        <w:rPr>
          <w:lang w:val="pt-BR"/>
        </w:rPr>
        <w:t xml:space="preserve"> - </w:t>
      </w:r>
      <w:proofErr w:type="spellStart"/>
      <w:r w:rsidRPr="00891DF1">
        <w:rPr>
          <w:lang w:val="pt-BR"/>
        </w:rPr>
        <w:t>mDCI</w:t>
      </w:r>
      <w:proofErr w:type="spellEnd"/>
      <w:r w:rsidRPr="00891DF1">
        <w:rPr>
          <w:lang w:val="pt-BR"/>
        </w:rPr>
        <w:t xml:space="preserve">, </w:t>
      </w:r>
      <w:proofErr w:type="spellStart"/>
      <w:r w:rsidRPr="00891DF1">
        <w:rPr>
          <w:lang w:val="pt-BR"/>
        </w:rPr>
        <w:t>mTRP</w:t>
      </w:r>
      <w:proofErr w:type="spellEnd"/>
      <w:r w:rsidRPr="00891DF1">
        <w:rPr>
          <w:lang w:val="pt-BR"/>
        </w:rPr>
        <w:t xml:space="preserve"> </w:t>
      </w:r>
      <w:proofErr w:type="spellStart"/>
      <w:r w:rsidRPr="00891DF1">
        <w:rPr>
          <w:lang w:val="pt-BR"/>
        </w:rPr>
        <w:t>scenario</w:t>
      </w:r>
      <w:proofErr w:type="spellEnd"/>
    </w:p>
    <w:p w14:paraId="2BA3DFD7" w14:textId="77777777" w:rsidR="00AE1E70" w:rsidRDefault="00AE1E70" w:rsidP="00891DF1"/>
    <w:p w14:paraId="28323A67" w14:textId="27DB1464" w:rsidR="00DD46FD" w:rsidRPr="00891DF1" w:rsidRDefault="00F902EB" w:rsidP="00F902EB">
      <w:pPr>
        <w:pStyle w:val="RAN4proposal"/>
      </w:pPr>
      <w:r>
        <w:t>For definition of TCI state switching delay for dual TCIs, RAN4 to consider at least the scenarios below</w:t>
      </w:r>
      <w:r w:rsidR="009849D8">
        <w:t>, without precluding other scenarios in future discussions:</w:t>
      </w:r>
    </w:p>
    <w:p w14:paraId="11A3DC3F" w14:textId="51FCDD6E" w:rsidR="00F902EB" w:rsidRPr="00C6259E" w:rsidRDefault="0031262E" w:rsidP="00F902EB">
      <w:pPr>
        <w:pStyle w:val="ListParagraph"/>
        <w:numPr>
          <w:ilvl w:val="0"/>
          <w:numId w:val="41"/>
        </w:numPr>
        <w:rPr>
          <w:b/>
        </w:rPr>
      </w:pPr>
      <w:r w:rsidRPr="00C6259E">
        <w:rPr>
          <w:b/>
        </w:rPr>
        <w:t>Single</w:t>
      </w:r>
      <w:r w:rsidR="00122F02" w:rsidRPr="00C6259E">
        <w:rPr>
          <w:b/>
        </w:rPr>
        <w:t>-</w:t>
      </w:r>
      <w:r w:rsidRPr="00C6259E">
        <w:rPr>
          <w:b/>
        </w:rPr>
        <w:t>DCI, multi-TRP scenario</w:t>
      </w:r>
    </w:p>
    <w:p w14:paraId="3B1C588A" w14:textId="604E4231" w:rsidR="0031262E" w:rsidRPr="005F3457" w:rsidRDefault="0031262E" w:rsidP="00F902EB">
      <w:pPr>
        <w:pStyle w:val="ListParagraph"/>
        <w:numPr>
          <w:ilvl w:val="0"/>
          <w:numId w:val="41"/>
        </w:numPr>
        <w:rPr>
          <w:b/>
          <w:lang w:val="fi-FI"/>
        </w:rPr>
      </w:pPr>
      <w:proofErr w:type="spellStart"/>
      <w:r w:rsidRPr="005F3457">
        <w:rPr>
          <w:b/>
          <w:lang w:val="fi-FI"/>
        </w:rPr>
        <w:t>Multi</w:t>
      </w:r>
      <w:proofErr w:type="spellEnd"/>
      <w:r w:rsidRPr="005F3457">
        <w:rPr>
          <w:b/>
          <w:lang w:val="fi-FI"/>
        </w:rPr>
        <w:t xml:space="preserve">-DCI, </w:t>
      </w:r>
      <w:proofErr w:type="spellStart"/>
      <w:r w:rsidRPr="005F3457">
        <w:rPr>
          <w:b/>
          <w:lang w:val="fi-FI"/>
        </w:rPr>
        <w:t>multi</w:t>
      </w:r>
      <w:proofErr w:type="spellEnd"/>
      <w:r w:rsidRPr="005F3457">
        <w:rPr>
          <w:b/>
          <w:lang w:val="fi-FI"/>
        </w:rPr>
        <w:t xml:space="preserve">-TRP </w:t>
      </w:r>
      <w:proofErr w:type="spellStart"/>
      <w:r w:rsidRPr="005F3457">
        <w:rPr>
          <w:b/>
          <w:lang w:val="fi-FI"/>
        </w:rPr>
        <w:t>scenario</w:t>
      </w:r>
      <w:proofErr w:type="spellEnd"/>
    </w:p>
    <w:p w14:paraId="1542E95A" w14:textId="400D1A5D" w:rsidR="0031262E" w:rsidRPr="009D2EA5" w:rsidRDefault="009D2EA5" w:rsidP="0031262E">
      <w:r>
        <w:t>In the context of a multi-RX UE, the definition of Dual TCI is currently not clear in RAN4. Furthermore, the WID also specifies that the case of single TCI is handled as a second priority.</w:t>
      </w:r>
      <w:r w:rsidR="00331B66">
        <w:t xml:space="preserve"> </w:t>
      </w:r>
      <w:r w:rsidR="00C27DC6">
        <w:t xml:space="preserve">Therefore, in our view, it is reasonable to assume that the multi-RX UEs are capable of at least </w:t>
      </w:r>
      <w:r w:rsidR="001E0F50">
        <w:t xml:space="preserve">2 active TCI states. </w:t>
      </w:r>
    </w:p>
    <w:p w14:paraId="631B77C0" w14:textId="43B48170" w:rsidR="00EB1781" w:rsidRPr="009D2EA5" w:rsidRDefault="00782F43" w:rsidP="00782F43">
      <w:pPr>
        <w:pStyle w:val="RAN4proposal"/>
      </w:pPr>
      <w:r>
        <w:t>Multi-Rx UEs are assumed to support at least 2 active TCI states</w:t>
      </w:r>
      <w:r w:rsidR="003619FD">
        <w:t xml:space="preserve"> in Rel-18.</w:t>
      </w:r>
    </w:p>
    <w:p w14:paraId="696B2E9A" w14:textId="2642B492" w:rsidR="00833EA2" w:rsidRDefault="00C6259E" w:rsidP="0031262E">
      <w:r w:rsidRPr="00C6259E">
        <w:t xml:space="preserve">In the context of </w:t>
      </w:r>
      <w:r>
        <w:t xml:space="preserve">a </w:t>
      </w:r>
      <w:r w:rsidRPr="00C6259E">
        <w:t>m</w:t>
      </w:r>
      <w:r>
        <w:t>ulti-Rx chain UE</w:t>
      </w:r>
      <w:r w:rsidR="00081736">
        <w:t xml:space="preserve">, it is important to highlight that the </w:t>
      </w:r>
      <w:r w:rsidR="002F6AD8">
        <w:t xml:space="preserve">multiple Rx chains might not be active at the same time. </w:t>
      </w:r>
      <w:r w:rsidR="0032015B">
        <w:t>Additionally, multip</w:t>
      </w:r>
      <w:r w:rsidR="00BB14D3">
        <w:t>l</w:t>
      </w:r>
      <w:r w:rsidR="0032015B">
        <w:t xml:space="preserve">e TCIs might be active in the same or in different panels. Therefore, </w:t>
      </w:r>
      <w:r w:rsidR="00833EA2">
        <w:t>the following scenarios are possible:</w:t>
      </w:r>
    </w:p>
    <w:p w14:paraId="553AB688" w14:textId="77777777" w:rsidR="00833EA2" w:rsidRDefault="00833EA2" w:rsidP="00833EA2">
      <w:pPr>
        <w:pStyle w:val="ListParagraph"/>
        <w:numPr>
          <w:ilvl w:val="0"/>
          <w:numId w:val="41"/>
        </w:numPr>
      </w:pPr>
      <w:r>
        <w:t>Dual TCIs are activated in the same panel.</w:t>
      </w:r>
    </w:p>
    <w:p w14:paraId="4E0F5C2B" w14:textId="14C598F6" w:rsidR="00833EA2" w:rsidRDefault="00EB6159" w:rsidP="00833EA2">
      <w:pPr>
        <w:pStyle w:val="ListParagraph"/>
        <w:numPr>
          <w:ilvl w:val="0"/>
          <w:numId w:val="41"/>
        </w:numPr>
      </w:pPr>
      <w:r>
        <w:t xml:space="preserve">Dual </w:t>
      </w:r>
      <w:r w:rsidR="00833EA2">
        <w:t>TCIs are active in different panels.</w:t>
      </w:r>
    </w:p>
    <w:p w14:paraId="519A976B" w14:textId="23550309" w:rsidR="00833EA2" w:rsidRDefault="00833EA2" w:rsidP="00833EA2">
      <w:r>
        <w:t xml:space="preserve">In our view, </w:t>
      </w:r>
      <w:r w:rsidR="00955993">
        <w:t xml:space="preserve">the case in which </w:t>
      </w:r>
      <w:r w:rsidR="00F50099">
        <w:t xml:space="preserve">the TCIs are active in the same panel is </w:t>
      </w:r>
      <w:proofErr w:type="gramStart"/>
      <w:r w:rsidR="00F50099">
        <w:t>similar to</w:t>
      </w:r>
      <w:proofErr w:type="gramEnd"/>
      <w:r w:rsidR="00F50099">
        <w:t xml:space="preserve"> </w:t>
      </w:r>
      <w:r w:rsidR="009C03CD">
        <w:t>some</w:t>
      </w:r>
      <w:r w:rsidR="00F50099">
        <w:t xml:space="preserve"> assumptions in previous releases. </w:t>
      </w:r>
      <w:r w:rsidR="005526CE">
        <w:t xml:space="preserve">However, as discussed further in this contribution, there might be improvements in the measurements even in this case. </w:t>
      </w:r>
      <w:r w:rsidR="00F50099">
        <w:t xml:space="preserve">Therefore, RAN4 </w:t>
      </w:r>
      <w:r w:rsidR="0083728B">
        <w:t xml:space="preserve">should focus on the definition of RRM requirements for </w:t>
      </w:r>
      <w:r w:rsidR="00EF16E6">
        <w:t>both cases.</w:t>
      </w:r>
    </w:p>
    <w:p w14:paraId="295E7943" w14:textId="4527FAB8" w:rsidR="00316F19" w:rsidRDefault="00223BAB" w:rsidP="00316F19">
      <w:pPr>
        <w:pStyle w:val="RAN4proposal"/>
      </w:pPr>
      <w:r>
        <w:t xml:space="preserve">The </w:t>
      </w:r>
      <w:r w:rsidR="009A01CA">
        <w:t>dual</w:t>
      </w:r>
      <w:r>
        <w:t xml:space="preserve"> TCI state switch requirements</w:t>
      </w:r>
      <w:r w:rsidR="003039BA">
        <w:t xml:space="preserve"> are applicable when the corresponding </w:t>
      </w:r>
      <w:r w:rsidR="007E79E3">
        <w:t xml:space="preserve">TCI states are </w:t>
      </w:r>
      <w:r w:rsidR="003B1425">
        <w:t xml:space="preserve">in </w:t>
      </w:r>
      <w:r w:rsidR="00DC60A6">
        <w:t>the same, or in</w:t>
      </w:r>
      <w:r w:rsidR="003B1425">
        <w:t xml:space="preserve"> different panels.</w:t>
      </w:r>
    </w:p>
    <w:p w14:paraId="1DBA4047" w14:textId="0C7438E0" w:rsidR="00A17B94" w:rsidRPr="00373AC1" w:rsidRDefault="00AA1AC0" w:rsidP="006A2F09">
      <w:pPr>
        <w:pStyle w:val="RAN4H2"/>
        <w:ind w:left="426"/>
      </w:pPr>
      <w:r>
        <w:rPr>
          <w:lang w:val="en-GB"/>
        </w:rPr>
        <w:t>Time/frequency tracking</w:t>
      </w:r>
      <w:r w:rsidR="00631EB6" w:rsidRPr="00631EB6">
        <w:rPr>
          <w:lang w:val="en-GB"/>
        </w:rPr>
        <w:t xml:space="preserve"> for dual TCIs for multi-Rx chain UE</w:t>
      </w:r>
      <w:r w:rsidR="00A17B94" w:rsidRPr="00631EB6">
        <w:t xml:space="preserve"> </w:t>
      </w:r>
    </w:p>
    <w:p w14:paraId="7B9B1064" w14:textId="036BB2DE" w:rsidR="00474C3D" w:rsidRPr="00474C3D" w:rsidRDefault="00CA5D34" w:rsidP="00474C3D">
      <w:pPr>
        <w:rPr>
          <w:lang w:val="en-GB"/>
        </w:rPr>
      </w:pPr>
      <w:r>
        <w:t>As proposed in our companion paper</w:t>
      </w:r>
      <w:r w:rsidR="00E634F0">
        <w:t>, our understanding is that</w:t>
      </w:r>
      <w:r w:rsidR="00536A07">
        <w:t xml:space="preserve"> the scenarios for </w:t>
      </w:r>
      <w:proofErr w:type="spellStart"/>
      <w:r w:rsidR="00AB49A7">
        <w:t>multiRx</w:t>
      </w:r>
      <w:proofErr w:type="spellEnd"/>
      <w:r w:rsidR="00AB49A7">
        <w:t xml:space="preserve"> should include</w:t>
      </w:r>
      <w:r>
        <w:t xml:space="preserve"> distributed </w:t>
      </w:r>
      <w:r w:rsidR="00AB49A7">
        <w:t>(non-</w:t>
      </w:r>
      <w:proofErr w:type="spellStart"/>
      <w:r w:rsidR="00AB49A7">
        <w:t>colocated</w:t>
      </w:r>
      <w:proofErr w:type="spellEnd"/>
      <w:r w:rsidR="00AB49A7">
        <w:t xml:space="preserve">) </w:t>
      </w:r>
      <w:r>
        <w:t>TRPs case</w:t>
      </w:r>
      <w:r w:rsidR="00AB49A7">
        <w:t>s</w:t>
      </w:r>
      <w:r w:rsidR="003A793F">
        <w:t>. Therefore, when considering</w:t>
      </w:r>
      <w:r>
        <w:t xml:space="preserve"> dual TCI </w:t>
      </w:r>
      <w:r w:rsidR="00BA73DE">
        <w:t>handling,</w:t>
      </w:r>
      <w:r w:rsidR="003A793F">
        <w:t xml:space="preserve"> we should define a scenario that </w:t>
      </w:r>
      <w:r w:rsidR="00DA49E1">
        <w:t>allows for flexible deployment,</w:t>
      </w:r>
      <w:r w:rsidR="00BE5735">
        <w:t xml:space="preserve"> with flexibility on the TRP location. That means that </w:t>
      </w:r>
      <w:r>
        <w:t xml:space="preserve">we </w:t>
      </w:r>
      <w:r w:rsidR="002A5AD0">
        <w:t xml:space="preserve">need to specify </w:t>
      </w:r>
      <w:r w:rsidR="00A10DEA">
        <w:t xml:space="preserve">scenarios that do not </w:t>
      </w:r>
      <w:r w:rsidR="00202F81">
        <w:t>imply in</w:t>
      </w:r>
      <w:r>
        <w:t xml:space="preserve"> strict timing synchronization between Rx chains</w:t>
      </w:r>
      <w:r w:rsidR="00A10DEA">
        <w:t xml:space="preserve">, </w:t>
      </w:r>
      <w:r w:rsidR="00A611F8">
        <w:t xml:space="preserve">or between </w:t>
      </w:r>
      <w:r w:rsidR="00650412">
        <w:t>received signals from different TCI states</w:t>
      </w:r>
      <w:r>
        <w:t>. Further</w:t>
      </w:r>
      <w:r w:rsidR="00317A75">
        <w:t>more</w:t>
      </w:r>
      <w:r>
        <w:t>, for the 2Rx chains we have proposed Independent Beam Management (IBM).</w:t>
      </w:r>
    </w:p>
    <w:p w14:paraId="0F199EC1" w14:textId="14EEE71C" w:rsidR="00F63A5B" w:rsidRPr="00AA1AC0" w:rsidRDefault="00435A02" w:rsidP="00F63A5B">
      <w:pPr>
        <w:pStyle w:val="RAN4Observation"/>
        <w:numPr>
          <w:ilvl w:val="0"/>
          <w:numId w:val="12"/>
        </w:numPr>
        <w:ind w:left="0" w:firstLine="0"/>
      </w:pPr>
      <w:r>
        <w:rPr>
          <w:bCs/>
        </w:rPr>
        <w:t xml:space="preserve">Strict timing synchronization between Rx chains </w:t>
      </w:r>
      <w:r w:rsidR="005C4799">
        <w:rPr>
          <w:bCs/>
        </w:rPr>
        <w:t>is challenging i</w:t>
      </w:r>
      <w:r w:rsidR="004C0327" w:rsidRPr="00AA1AC0">
        <w:rPr>
          <w:bCs/>
        </w:rPr>
        <w:t>n case of distributed TRPs (non-ideal backhaul).</w:t>
      </w:r>
    </w:p>
    <w:p w14:paraId="7A19D9BB" w14:textId="77777777" w:rsidR="00412F12" w:rsidRPr="003C186D" w:rsidRDefault="00412F12" w:rsidP="00412F12">
      <w:pPr>
        <w:pStyle w:val="RAN4Observation"/>
        <w:numPr>
          <w:ilvl w:val="0"/>
          <w:numId w:val="12"/>
        </w:numPr>
        <w:ind w:left="0" w:firstLine="0"/>
      </w:pPr>
      <w:r>
        <w:rPr>
          <w:bCs/>
        </w:rPr>
        <w:t>In multi-Rx chain,</w:t>
      </w:r>
      <w:r w:rsidRPr="003C186D">
        <w:t xml:space="preserve"> time and </w:t>
      </w:r>
      <w:r>
        <w:t>frequency can be tracked independently per Rx chain.</w:t>
      </w:r>
    </w:p>
    <w:p w14:paraId="2F1CFE47" w14:textId="60ABE9BE" w:rsidR="00AA113E" w:rsidRPr="002F18DA" w:rsidRDefault="00625A9F" w:rsidP="00B55FE3">
      <w:pPr>
        <w:pStyle w:val="RAN4proposal"/>
        <w:rPr>
          <w:lang w:val="en-GB"/>
        </w:rPr>
      </w:pPr>
      <w:r w:rsidRPr="00625A9F">
        <w:lastRenderedPageBreak/>
        <w:t xml:space="preserve">In the case of dual TCIs, consider independent frequency/time tracking per Rx chain. </w:t>
      </w:r>
    </w:p>
    <w:p w14:paraId="18DF0323" w14:textId="5FBCA16B" w:rsidR="00F95889" w:rsidRDefault="006924F9" w:rsidP="00F95889">
      <w:pPr>
        <w:pStyle w:val="RAN4H2"/>
        <w:ind w:left="431" w:hanging="431"/>
      </w:pPr>
      <w:r>
        <w:t>TCI Switching Delay</w:t>
      </w:r>
    </w:p>
    <w:p w14:paraId="3D9E9F47" w14:textId="46297D5E" w:rsidR="00F95889" w:rsidRPr="0088235C" w:rsidRDefault="0088235C" w:rsidP="00F95889">
      <w:pPr>
        <w:rPr>
          <w:lang w:val="en-GB"/>
        </w:rPr>
      </w:pPr>
      <w:r w:rsidRPr="0088235C">
        <w:rPr>
          <w:lang w:val="en-GB"/>
        </w:rPr>
        <w:t>The issues related to this topic were discussed during RAN4 #104 and captured in the WF [3] as:</w:t>
      </w:r>
    </w:p>
    <w:tbl>
      <w:tblPr>
        <w:tblStyle w:val="TableGrid"/>
        <w:tblW w:w="0" w:type="auto"/>
        <w:tblLook w:val="04A0" w:firstRow="1" w:lastRow="0" w:firstColumn="1" w:lastColumn="0" w:noHBand="0" w:noVBand="1"/>
      </w:tblPr>
      <w:tblGrid>
        <w:gridCol w:w="9617"/>
      </w:tblGrid>
      <w:tr w:rsidR="00F95889" w:rsidRPr="00373AC1" w14:paraId="7553109C" w14:textId="77777777" w:rsidTr="00F81394">
        <w:tc>
          <w:tcPr>
            <w:tcW w:w="9617" w:type="dxa"/>
          </w:tcPr>
          <w:p w14:paraId="61B1B214" w14:textId="77777777" w:rsidR="006924F9" w:rsidRDefault="006924F9" w:rsidP="006924F9">
            <w:r w:rsidRPr="155865C2">
              <w:rPr>
                <w:rFonts w:eastAsia="Times New Roman" w:cs="Times New Roman"/>
                <w:b/>
                <w:bCs/>
                <w:szCs w:val="20"/>
                <w:u w:val="single"/>
                <w:lang w:val="en-GB"/>
              </w:rPr>
              <w:t>Issue 1-3-1-2:  TCI framework for dual TCIs</w:t>
            </w:r>
          </w:p>
          <w:p w14:paraId="790998D5" w14:textId="77777777" w:rsidR="006924F9" w:rsidRDefault="006924F9" w:rsidP="006924F9">
            <w:pPr>
              <w:pStyle w:val="ListParagraph"/>
              <w:numPr>
                <w:ilvl w:val="0"/>
                <w:numId w:val="1"/>
              </w:numPr>
              <w:rPr>
                <w:rFonts w:eastAsia="Times New Roman" w:cs="Times New Roman"/>
                <w:szCs w:val="20"/>
                <w:lang w:val="en-GB"/>
              </w:rPr>
            </w:pPr>
            <w:r w:rsidRPr="155865C2">
              <w:rPr>
                <w:rFonts w:eastAsia="Times New Roman" w:cs="Times New Roman"/>
                <w:szCs w:val="20"/>
                <w:lang w:val="en-GB"/>
              </w:rPr>
              <w:t>Proposals</w:t>
            </w:r>
          </w:p>
          <w:p w14:paraId="00390EFB" w14:textId="059E22B8" w:rsidR="006924F9" w:rsidRDefault="006924F9" w:rsidP="006924F9">
            <w:pPr>
              <w:pStyle w:val="ListParagraph"/>
              <w:numPr>
                <w:ilvl w:val="1"/>
                <w:numId w:val="1"/>
              </w:numPr>
              <w:rPr>
                <w:rFonts w:eastAsia="Times New Roman" w:cs="Times New Roman"/>
                <w:szCs w:val="20"/>
                <w:lang w:val="en-GB"/>
              </w:rPr>
            </w:pPr>
            <w:r w:rsidRPr="155865C2">
              <w:rPr>
                <w:rFonts w:eastAsia="Times New Roman" w:cs="Times New Roman"/>
                <w:szCs w:val="20"/>
                <w:lang w:val="en-GB"/>
              </w:rPr>
              <w:t>Option 1: Dual TCI state switching delay requirements shall base on Rel-15/16 TCI framework.</w:t>
            </w:r>
          </w:p>
          <w:p w14:paraId="2800605E" w14:textId="15B68773" w:rsidR="006924F9" w:rsidRDefault="006924F9" w:rsidP="006924F9">
            <w:pPr>
              <w:pStyle w:val="ListParagraph"/>
              <w:numPr>
                <w:ilvl w:val="1"/>
                <w:numId w:val="1"/>
              </w:numPr>
              <w:rPr>
                <w:rFonts w:eastAsia="Times New Roman" w:cs="Times New Roman"/>
                <w:szCs w:val="20"/>
                <w:lang w:val="en-GB"/>
              </w:rPr>
            </w:pPr>
            <w:r w:rsidRPr="155865C2">
              <w:rPr>
                <w:rFonts w:eastAsia="Times New Roman" w:cs="Times New Roman"/>
                <w:szCs w:val="20"/>
                <w:lang w:val="en-GB"/>
              </w:rPr>
              <w:t>Option 2: To define requirements for TCI switching delay with dual TCI, both R15/R16 TCI framework and R17 TCI framework, i.e., unified TCI, are considered for UE supporting multi-Rx chain simultaneous reception.</w:t>
            </w:r>
          </w:p>
          <w:p w14:paraId="0B0EE867" w14:textId="77777777" w:rsidR="00B56505" w:rsidRDefault="00B56505" w:rsidP="00B56505">
            <w:pPr>
              <w:pStyle w:val="ListParagraph"/>
              <w:ind w:left="1440"/>
              <w:rPr>
                <w:rFonts w:eastAsia="Times New Roman" w:cs="Times New Roman"/>
                <w:szCs w:val="20"/>
                <w:lang w:val="en-GB"/>
              </w:rPr>
            </w:pPr>
          </w:p>
          <w:p w14:paraId="2DBA13DB" w14:textId="77777777" w:rsidR="00B56505" w:rsidRDefault="00B56505" w:rsidP="00B56505">
            <w:r w:rsidRPr="4E49687F">
              <w:rPr>
                <w:rFonts w:eastAsia="Times New Roman" w:cs="Times New Roman"/>
                <w:b/>
                <w:bCs/>
                <w:szCs w:val="20"/>
                <w:u w:val="single"/>
                <w:lang w:val="en-GB"/>
              </w:rPr>
              <w:t>Issue 1-3-3: Enhancement for TCI state switching delay requirements</w:t>
            </w:r>
          </w:p>
          <w:p w14:paraId="569890D3" w14:textId="77777777" w:rsidR="00B56505" w:rsidRDefault="00B56505" w:rsidP="00B56505">
            <w:pPr>
              <w:pStyle w:val="ListParagraph"/>
              <w:numPr>
                <w:ilvl w:val="0"/>
                <w:numId w:val="1"/>
              </w:numPr>
              <w:rPr>
                <w:rFonts w:eastAsia="Times New Roman" w:cs="Times New Roman"/>
                <w:szCs w:val="20"/>
                <w:lang w:val="en-GB"/>
              </w:rPr>
            </w:pPr>
            <w:r w:rsidRPr="4E49687F">
              <w:rPr>
                <w:rFonts w:eastAsia="Times New Roman" w:cs="Times New Roman"/>
                <w:szCs w:val="20"/>
                <w:lang w:val="en-GB"/>
              </w:rPr>
              <w:t>Proposals</w:t>
            </w:r>
          </w:p>
          <w:p w14:paraId="35F8C771" w14:textId="1EA694C8" w:rsidR="00B56505" w:rsidRDefault="00B56505" w:rsidP="00B56505">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 For dual TCI state switch, the legacy TCI state switch delay requirement can be reused</w:t>
            </w:r>
          </w:p>
          <w:p w14:paraId="24081D42" w14:textId="77A68F60" w:rsidR="00B56505" w:rsidRDefault="00B56505" w:rsidP="00B56505">
            <w:pPr>
              <w:pStyle w:val="ListParagraph"/>
              <w:numPr>
                <w:ilvl w:val="1"/>
                <w:numId w:val="1"/>
              </w:numPr>
              <w:rPr>
                <w:rFonts w:eastAsia="Times New Roman" w:cs="Times New Roman"/>
                <w:szCs w:val="20"/>
                <w:lang w:val="en-GB"/>
              </w:rPr>
            </w:pPr>
            <w:r w:rsidRPr="4E49687F">
              <w:rPr>
                <w:rFonts w:eastAsia="Times New Roman" w:cs="Times New Roman"/>
                <w:szCs w:val="20"/>
                <w:lang w:val="en-GB"/>
              </w:rPr>
              <w:t>P2: The new RRM requirements defined for simultaneous measurements and procedures on two chains need to apply, provided the corresponding active TCI states are configured and used for simultaneous reception during the measurement or evaluation period.</w:t>
            </w:r>
          </w:p>
          <w:p w14:paraId="66573355" w14:textId="4BD74418" w:rsidR="00B56505" w:rsidRDefault="00B56505" w:rsidP="00B56505">
            <w:pPr>
              <w:pStyle w:val="ListParagraph"/>
              <w:numPr>
                <w:ilvl w:val="1"/>
                <w:numId w:val="1"/>
              </w:numPr>
              <w:rPr>
                <w:rFonts w:eastAsia="Times New Roman" w:cs="Times New Roman"/>
                <w:szCs w:val="20"/>
                <w:lang w:val="en-GB"/>
              </w:rPr>
            </w:pPr>
            <w:r w:rsidRPr="4E49687F">
              <w:rPr>
                <w:rFonts w:eastAsia="Times New Roman" w:cs="Times New Roman"/>
                <w:szCs w:val="20"/>
                <w:lang w:val="en-GB"/>
              </w:rPr>
              <w:t>P3: The legacy TCI state switching delay requirement can apply for each RX beam.</w:t>
            </w:r>
          </w:p>
          <w:p w14:paraId="16770CC3" w14:textId="77777777" w:rsidR="00A11BCF" w:rsidRDefault="00A11BCF" w:rsidP="00B56505">
            <w:pPr>
              <w:pStyle w:val="ListParagraph"/>
              <w:rPr>
                <w:rFonts w:eastAsia="Times New Roman" w:cs="Times New Roman"/>
                <w:szCs w:val="20"/>
                <w:lang w:val="en-GB"/>
              </w:rPr>
            </w:pPr>
          </w:p>
          <w:p w14:paraId="317DBDEF" w14:textId="77777777" w:rsidR="006924F9" w:rsidRDefault="006924F9" w:rsidP="006924F9">
            <w:r w:rsidRPr="155865C2">
              <w:rPr>
                <w:rFonts w:eastAsia="Times New Roman" w:cs="Times New Roman"/>
                <w:b/>
                <w:bCs/>
                <w:szCs w:val="20"/>
                <w:u w:val="single"/>
                <w:lang w:val="en-GB"/>
              </w:rPr>
              <w:t>Issue 1-3-1-4: Inside-panel TCI state switching and cross-panel TCI state switching</w:t>
            </w:r>
          </w:p>
          <w:p w14:paraId="3FEC3C23" w14:textId="77777777" w:rsidR="006924F9" w:rsidRDefault="006924F9" w:rsidP="006924F9">
            <w:pPr>
              <w:pStyle w:val="ListParagraph"/>
              <w:numPr>
                <w:ilvl w:val="0"/>
                <w:numId w:val="1"/>
              </w:numPr>
              <w:rPr>
                <w:rFonts w:eastAsia="Times New Roman" w:cs="Times New Roman"/>
                <w:szCs w:val="20"/>
                <w:lang w:val="en-GB"/>
              </w:rPr>
            </w:pPr>
            <w:r w:rsidRPr="155865C2">
              <w:rPr>
                <w:rFonts w:eastAsia="Times New Roman" w:cs="Times New Roman"/>
                <w:szCs w:val="20"/>
                <w:lang w:val="en-GB"/>
              </w:rPr>
              <w:t>Proposals</w:t>
            </w:r>
          </w:p>
          <w:p w14:paraId="64CBDB09" w14:textId="1C5C2E0E" w:rsidR="006924F9" w:rsidRDefault="006924F9" w:rsidP="006924F9">
            <w:pPr>
              <w:pStyle w:val="ListParagraph"/>
              <w:numPr>
                <w:ilvl w:val="1"/>
                <w:numId w:val="1"/>
              </w:numPr>
              <w:rPr>
                <w:rFonts w:eastAsia="Times New Roman" w:cs="Times New Roman"/>
                <w:szCs w:val="20"/>
                <w:lang w:val="en-GB"/>
              </w:rPr>
            </w:pPr>
            <w:r w:rsidRPr="155865C2">
              <w:rPr>
                <w:rFonts w:eastAsia="Times New Roman" w:cs="Times New Roman"/>
                <w:szCs w:val="20"/>
                <w:lang w:val="en-GB"/>
              </w:rPr>
              <w:t xml:space="preserve">Option 1: FFS Except for the consideration of reduction of Rx beam number, considering inside-panel TCI state switching and cross-panel TCI state switching are both possible, so additional panel/RF chain switching time should be </w:t>
            </w:r>
            <w:r w:rsidRPr="00EF6E66">
              <w:rPr>
                <w:rFonts w:eastAsia="Times New Roman" w:cs="Times New Roman"/>
                <w:szCs w:val="20"/>
                <w:lang w:val="en-GB"/>
              </w:rPr>
              <w:t xml:space="preserve">considered within the TCI state switching latency for </w:t>
            </w:r>
            <w:r w:rsidRPr="155865C2">
              <w:rPr>
                <w:rFonts w:eastAsia="Times New Roman" w:cs="Times New Roman"/>
                <w:szCs w:val="20"/>
                <w:lang w:val="en-GB"/>
              </w:rPr>
              <w:t>the case of cross-panel TCI state switching.</w:t>
            </w:r>
          </w:p>
          <w:p w14:paraId="67F6777E" w14:textId="5732A48D" w:rsidR="00F95889" w:rsidRPr="00373AC1" w:rsidRDefault="00F95889" w:rsidP="00F95889">
            <w:pPr>
              <w:rPr>
                <w:rFonts w:cs="Arial"/>
                <w:sz w:val="18"/>
                <w:szCs w:val="18"/>
                <w:highlight w:val="yellow"/>
              </w:rPr>
            </w:pPr>
          </w:p>
        </w:tc>
      </w:tr>
    </w:tbl>
    <w:p w14:paraId="50FDCB17" w14:textId="77777777" w:rsidR="00035920" w:rsidRDefault="00035920" w:rsidP="00F95889"/>
    <w:p w14:paraId="1526AA85" w14:textId="67454BB8" w:rsidR="00035920" w:rsidRDefault="00376D17" w:rsidP="00035920">
      <w:pPr>
        <w:rPr>
          <w:lang w:val="en-GB"/>
        </w:rPr>
      </w:pPr>
      <w:r>
        <w:t xml:space="preserve">Rel17 Unified TCI state Switching framework work is still in progress. </w:t>
      </w:r>
      <w:r w:rsidR="0069135C">
        <w:t>For</w:t>
      </w:r>
      <w:r>
        <w:t xml:space="preserve"> Rel-18, multi-Rx chains are to be controlled independently (</w:t>
      </w:r>
      <w:proofErr w:type="spellStart"/>
      <w:r>
        <w:t>e.g</w:t>
      </w:r>
      <w:proofErr w:type="spellEnd"/>
      <w:r>
        <w:t xml:space="preserve"> non ideal backhaul </w:t>
      </w:r>
      <w:proofErr w:type="spellStart"/>
      <w:r>
        <w:t>mTRP</w:t>
      </w:r>
      <w:proofErr w:type="spellEnd"/>
      <w:r>
        <w:t xml:space="preserve"> deployments). Therefore, to handle dual TCI State Switching, the legacy (R15/R16) TCI State switching delay requirements can </w:t>
      </w:r>
      <w:r w:rsidR="006A7305">
        <w:t>apply.</w:t>
      </w:r>
    </w:p>
    <w:p w14:paraId="5B990DF1" w14:textId="675AB6F2" w:rsidR="00C64EFE" w:rsidRPr="00C64EFE" w:rsidRDefault="00FE239C" w:rsidP="00C64EFE">
      <w:pPr>
        <w:pStyle w:val="RAN4proposal"/>
        <w:ind w:left="0" w:firstLine="0"/>
      </w:pPr>
      <w:bookmarkStart w:id="3" w:name="_Toc111041322"/>
      <w:r>
        <w:t xml:space="preserve">Each TCI switching per RX chain is assumed to be independent in aspect of TCI switching delay. </w:t>
      </w:r>
    </w:p>
    <w:p w14:paraId="5E2D7EEC" w14:textId="6C39B3AF" w:rsidR="00FE239C" w:rsidRDefault="00FE239C" w:rsidP="00FE239C">
      <w:pPr>
        <w:pStyle w:val="RAN4proposal"/>
        <w:ind w:left="0" w:firstLine="0"/>
      </w:pPr>
      <w:r w:rsidRPr="00373AC1">
        <w:t xml:space="preserve">RAN4 </w:t>
      </w:r>
      <w:r>
        <w:t xml:space="preserve">to </w:t>
      </w:r>
      <w:r w:rsidR="00B71472">
        <w:t>consider</w:t>
      </w:r>
      <w:r w:rsidR="00B71472" w:rsidRPr="00373AC1">
        <w:t xml:space="preserve"> </w:t>
      </w:r>
      <w:r w:rsidR="00376D17">
        <w:t xml:space="preserve">legacy </w:t>
      </w:r>
      <w:r w:rsidRPr="00373AC1">
        <w:t>Rel-1</w:t>
      </w:r>
      <w:r w:rsidR="00376D17">
        <w:t>5/Rel-16</w:t>
      </w:r>
      <w:r w:rsidRPr="00373AC1">
        <w:t xml:space="preserve"> TCI switching delay requirements </w:t>
      </w:r>
      <w:r w:rsidR="00B71472">
        <w:t xml:space="preserve">as baseline </w:t>
      </w:r>
      <w:r w:rsidR="00CA57B7">
        <w:t>to</w:t>
      </w:r>
      <w:r w:rsidRPr="00373AC1">
        <w:t xml:space="preserve"> Rel-18 UE requirements with multi-RX chains</w:t>
      </w:r>
      <w:r w:rsidR="00805EE6">
        <w:t xml:space="preserve"> in </w:t>
      </w:r>
      <w:proofErr w:type="gramStart"/>
      <w:r w:rsidR="00D16508">
        <w:t>multi</w:t>
      </w:r>
      <w:r w:rsidR="002F64E1">
        <w:t xml:space="preserve"> DCI</w:t>
      </w:r>
      <w:proofErr w:type="gramEnd"/>
      <w:r w:rsidR="002F64E1">
        <w:t xml:space="preserve"> and multi TRP scenarios</w:t>
      </w:r>
      <w:r w:rsidRPr="00373AC1">
        <w:t>.</w:t>
      </w:r>
      <w:bookmarkEnd w:id="3"/>
      <w:r w:rsidR="005C0D91">
        <w:t xml:space="preserve"> </w:t>
      </w:r>
    </w:p>
    <w:p w14:paraId="18F53B62" w14:textId="23694049" w:rsidR="008A586D" w:rsidRDefault="004F409D" w:rsidP="008A586D">
      <w:r>
        <w:t xml:space="preserve">Additionally, it was pointed out in other discussion issues that TCI state switching delay </w:t>
      </w:r>
      <w:r w:rsidR="007F40C7">
        <w:t xml:space="preserve">could be </w:t>
      </w:r>
      <w:r w:rsidR="006A1483">
        <w:t xml:space="preserve">improved. The TCI state switch delay </w:t>
      </w:r>
      <w:r w:rsidR="00885EB3">
        <w:t xml:space="preserve">is specified </w:t>
      </w:r>
      <w:r w:rsidR="000F3E79">
        <w:t xml:space="preserve">considering also L1-RSRP </w:t>
      </w:r>
      <w:r w:rsidR="000E6CCC">
        <w:t>timing</w:t>
      </w:r>
      <w:r w:rsidR="0022054C">
        <w:t xml:space="preserve">. There is ongoing discussion </w:t>
      </w:r>
      <w:r w:rsidR="005F3457">
        <w:t>regarding</w:t>
      </w:r>
      <w:r w:rsidR="0022054C">
        <w:t xml:space="preserve"> enhancements on L1-RSRP </w:t>
      </w:r>
      <w:r w:rsidR="00702131">
        <w:t xml:space="preserve">which could influence </w:t>
      </w:r>
      <w:r w:rsidR="00B40B66" w:rsidRPr="009C5807">
        <w:t>T</w:t>
      </w:r>
      <w:r w:rsidR="00B40B66" w:rsidRPr="009C5807">
        <w:rPr>
          <w:vertAlign w:val="subscript"/>
        </w:rPr>
        <w:t>L1-RSPR_Measurement_Period_SSB</w:t>
      </w:r>
      <w:r w:rsidR="00B40B66">
        <w:rPr>
          <w:vertAlign w:val="subscript"/>
        </w:rPr>
        <w:t xml:space="preserve"> </w:t>
      </w:r>
      <w:r w:rsidR="00B7022E">
        <w:t>and T</w:t>
      </w:r>
      <w:r w:rsidR="00B7022E" w:rsidRPr="009C5807">
        <w:rPr>
          <w:vertAlign w:val="subscript"/>
        </w:rPr>
        <w:t>L1-RSRP_Measurement_Period_CSI-RS</w:t>
      </w:r>
      <w:r w:rsidR="00B7022E" w:rsidRPr="00B7022E">
        <w:t xml:space="preserve">. </w:t>
      </w:r>
      <w:r w:rsidR="00B7022E">
        <w:t xml:space="preserve">Such </w:t>
      </w:r>
      <w:r w:rsidR="00EC1A1F">
        <w:t xml:space="preserve">enhancements should be considered also for TCI state switch once work has progressed on the L1 measurements. </w:t>
      </w:r>
    </w:p>
    <w:p w14:paraId="3150C8F0" w14:textId="4E05CD56" w:rsidR="002461D8" w:rsidRDefault="00EC1A1F" w:rsidP="00EC1A1F">
      <w:pPr>
        <w:pStyle w:val="RAN4observation0"/>
      </w:pPr>
      <w:r>
        <w:t xml:space="preserve">TCI state switch delay depends on </w:t>
      </w:r>
      <w:r w:rsidRPr="009C5807">
        <w:t>T</w:t>
      </w:r>
      <w:r w:rsidRPr="009C5807">
        <w:rPr>
          <w:vertAlign w:val="subscript"/>
        </w:rPr>
        <w:t>L1-RSPR_Measurement_Period_SSB</w:t>
      </w:r>
      <w:r>
        <w:rPr>
          <w:vertAlign w:val="subscript"/>
        </w:rPr>
        <w:t xml:space="preserve"> </w:t>
      </w:r>
      <w:r>
        <w:t>and T</w:t>
      </w:r>
      <w:r w:rsidRPr="009C5807">
        <w:rPr>
          <w:vertAlign w:val="subscript"/>
        </w:rPr>
        <w:t>L1-RSRP_Measurement_Period_CSI-RS</w:t>
      </w:r>
      <w:r w:rsidRPr="00B7022E">
        <w:t xml:space="preserve"> </w:t>
      </w:r>
    </w:p>
    <w:p w14:paraId="0AA19DE6" w14:textId="53FB8501" w:rsidR="00F0705C" w:rsidRPr="00D754E1" w:rsidRDefault="00506F7E" w:rsidP="00F0705C">
      <w:pPr>
        <w:pStyle w:val="RAN4proposal"/>
        <w:rPr>
          <w:lang w:val="en-GB"/>
        </w:rPr>
      </w:pPr>
      <w:r>
        <w:rPr>
          <w:lang w:val="en-GB"/>
        </w:rPr>
        <w:t xml:space="preserve">Enhancements on L1 RSRP delays should be reflected on TCI state switch delay. </w:t>
      </w:r>
    </w:p>
    <w:p w14:paraId="5B42FBCD" w14:textId="6A6D99EF" w:rsidR="006B6FC2" w:rsidRPr="00035920" w:rsidRDefault="005962E0" w:rsidP="00035920">
      <w:pPr>
        <w:rPr>
          <w:lang w:val="en-GB"/>
        </w:rPr>
      </w:pPr>
      <w:r>
        <w:rPr>
          <w:lang w:val="en-GB"/>
        </w:rPr>
        <w:t xml:space="preserve">When considering cross panel TCI state </w:t>
      </w:r>
      <w:r w:rsidR="00B85F69">
        <w:rPr>
          <w:lang w:val="en-GB"/>
        </w:rPr>
        <w:t>switching,</w:t>
      </w:r>
      <w:r>
        <w:rPr>
          <w:lang w:val="en-GB"/>
        </w:rPr>
        <w:t xml:space="preserve"> we understand that this is not a new issue for </w:t>
      </w:r>
      <w:proofErr w:type="gramStart"/>
      <w:r w:rsidR="00B95F58">
        <w:rPr>
          <w:lang w:val="en-GB"/>
        </w:rPr>
        <w:t>multi Rx UEs</w:t>
      </w:r>
      <w:proofErr w:type="gramEnd"/>
      <w:r w:rsidR="00B95F58">
        <w:rPr>
          <w:lang w:val="en-GB"/>
        </w:rPr>
        <w:t xml:space="preserve">. The panel switching has always been considered as transparent for the </w:t>
      </w:r>
      <w:r w:rsidR="00E24FF2">
        <w:rPr>
          <w:lang w:val="en-GB"/>
        </w:rPr>
        <w:t xml:space="preserve">network </w:t>
      </w:r>
      <w:r w:rsidR="00CD1C99">
        <w:rPr>
          <w:lang w:val="en-GB"/>
        </w:rPr>
        <w:t xml:space="preserve">and </w:t>
      </w:r>
      <w:r w:rsidR="00B95F58">
        <w:rPr>
          <w:lang w:val="en-GB"/>
        </w:rPr>
        <w:t>RAN4 requirements since Rel-15</w:t>
      </w:r>
      <w:r w:rsidR="00BB6747">
        <w:rPr>
          <w:lang w:val="en-GB"/>
        </w:rPr>
        <w:t>.</w:t>
      </w:r>
      <w:r w:rsidR="007961FF">
        <w:rPr>
          <w:lang w:val="en-GB"/>
        </w:rPr>
        <w:t xml:space="preserve"> </w:t>
      </w:r>
      <w:r w:rsidR="00BB6747">
        <w:rPr>
          <w:lang w:val="en-GB"/>
        </w:rPr>
        <w:t>I</w:t>
      </w:r>
      <w:r w:rsidR="007961FF">
        <w:rPr>
          <w:lang w:val="en-GB"/>
        </w:rPr>
        <w:t xml:space="preserve">t is not clear </w:t>
      </w:r>
      <w:r w:rsidR="005B3517">
        <w:rPr>
          <w:lang w:val="en-GB"/>
        </w:rPr>
        <w:t>why</w:t>
      </w:r>
      <w:r w:rsidR="007961FF">
        <w:rPr>
          <w:lang w:val="en-GB"/>
        </w:rPr>
        <w:t xml:space="preserve"> having multiple Rx chains would </w:t>
      </w:r>
      <w:r w:rsidR="00B01693">
        <w:rPr>
          <w:lang w:val="en-GB"/>
        </w:rPr>
        <w:t xml:space="preserve">impose any </w:t>
      </w:r>
      <w:r w:rsidR="00F034DB">
        <w:rPr>
          <w:lang w:val="en-GB"/>
        </w:rPr>
        <w:t>change to existing</w:t>
      </w:r>
      <w:r w:rsidR="00B01693">
        <w:rPr>
          <w:lang w:val="en-GB"/>
        </w:rPr>
        <w:t xml:space="preserve"> panel </w:t>
      </w:r>
      <w:r w:rsidR="00357BDA">
        <w:rPr>
          <w:lang w:val="en-GB"/>
        </w:rPr>
        <w:t>switching</w:t>
      </w:r>
      <w:r w:rsidR="00B01693">
        <w:rPr>
          <w:lang w:val="en-GB"/>
        </w:rPr>
        <w:t xml:space="preserve"> time. </w:t>
      </w:r>
    </w:p>
    <w:p w14:paraId="1D885E53" w14:textId="503D70CF" w:rsidR="00035920" w:rsidRDefault="00035920" w:rsidP="00035920">
      <w:pPr>
        <w:pStyle w:val="RAN4Observation"/>
        <w:numPr>
          <w:ilvl w:val="0"/>
          <w:numId w:val="12"/>
        </w:numPr>
        <w:ind w:left="0" w:firstLine="0"/>
        <w:rPr>
          <w:bCs/>
        </w:rPr>
      </w:pPr>
      <w:r>
        <w:rPr>
          <w:bCs/>
        </w:rPr>
        <w:t xml:space="preserve"> UE is expected to track all the active TCI states independent of the </w:t>
      </w:r>
      <w:r w:rsidR="002D4D6F">
        <w:rPr>
          <w:bCs/>
        </w:rPr>
        <w:t>panel bein</w:t>
      </w:r>
      <w:r w:rsidR="004B0074">
        <w:rPr>
          <w:bCs/>
        </w:rPr>
        <w:t>g</w:t>
      </w:r>
      <w:r w:rsidR="002D4D6F">
        <w:rPr>
          <w:bCs/>
        </w:rPr>
        <w:t xml:space="preserve"> used</w:t>
      </w:r>
      <w:r w:rsidR="008C0839">
        <w:rPr>
          <w:bCs/>
        </w:rPr>
        <w:t>.</w:t>
      </w:r>
      <w:r>
        <w:rPr>
          <w:bCs/>
        </w:rPr>
        <w:t xml:space="preserve"> </w:t>
      </w:r>
      <w:r w:rsidR="008C0839">
        <w:rPr>
          <w:bCs/>
        </w:rPr>
        <w:t>I</w:t>
      </w:r>
      <w:r>
        <w:rPr>
          <w:bCs/>
        </w:rPr>
        <w:t xml:space="preserve">t is </w:t>
      </w:r>
      <w:r w:rsidR="00D02819">
        <w:rPr>
          <w:bCs/>
        </w:rPr>
        <w:t>already</w:t>
      </w:r>
      <w:r>
        <w:rPr>
          <w:bCs/>
        </w:rPr>
        <w:t xml:space="preserve"> assumed that that there is no need of any additional delay for cross panel TCI state switching. </w:t>
      </w:r>
    </w:p>
    <w:p w14:paraId="7C67651A" w14:textId="2CF59AF9" w:rsidR="00AE60A1" w:rsidRDefault="00687954" w:rsidP="00704816">
      <w:pPr>
        <w:pStyle w:val="RAN4proposal"/>
        <w:ind w:left="0" w:firstLine="0"/>
        <w:jc w:val="both"/>
        <w:rPr>
          <w:rFonts w:eastAsia="Times New Roman" w:cs="Times New Roman"/>
          <w:szCs w:val="20"/>
          <w:lang w:val="en-GB"/>
        </w:rPr>
      </w:pPr>
      <w:r>
        <w:rPr>
          <w:rFonts w:eastAsia="Times New Roman" w:cs="Times New Roman"/>
          <w:szCs w:val="20"/>
          <w:lang w:val="en-GB"/>
        </w:rPr>
        <w:t xml:space="preserve">RAN4 not to define </w:t>
      </w:r>
      <w:r w:rsidR="00882286">
        <w:rPr>
          <w:rFonts w:eastAsia="Times New Roman" w:cs="Times New Roman"/>
          <w:szCs w:val="20"/>
          <w:lang w:val="en-GB"/>
        </w:rPr>
        <w:t xml:space="preserve">additional </w:t>
      </w:r>
      <w:r w:rsidR="00AE60A1" w:rsidRPr="00AE60A1">
        <w:rPr>
          <w:rFonts w:eastAsia="Times New Roman" w:cs="Times New Roman"/>
          <w:szCs w:val="20"/>
          <w:lang w:val="en-GB"/>
        </w:rPr>
        <w:t xml:space="preserve">TCI state switching </w:t>
      </w:r>
      <w:r w:rsidR="00010397">
        <w:rPr>
          <w:rFonts w:eastAsia="Times New Roman" w:cs="Times New Roman"/>
          <w:szCs w:val="20"/>
          <w:lang w:val="en-GB"/>
        </w:rPr>
        <w:t xml:space="preserve">delay for </w:t>
      </w:r>
      <w:r w:rsidR="00035920">
        <w:rPr>
          <w:rFonts w:eastAsia="Times New Roman" w:cs="Times New Roman"/>
          <w:szCs w:val="20"/>
          <w:lang w:val="en-GB"/>
        </w:rPr>
        <w:t>cross panel TCI state switching.</w:t>
      </w:r>
    </w:p>
    <w:p w14:paraId="09BC24AB" w14:textId="77777777" w:rsidR="00FC663D" w:rsidRPr="00FC663D" w:rsidRDefault="00FC663D" w:rsidP="00FC663D">
      <w:pPr>
        <w:rPr>
          <w:lang w:val="en-GB"/>
        </w:rPr>
      </w:pPr>
    </w:p>
    <w:p w14:paraId="63AFC34A" w14:textId="7CD8ECDE" w:rsidR="00183521" w:rsidRDefault="0020138C" w:rsidP="00183521">
      <w:pPr>
        <w:pStyle w:val="RAN4H2"/>
        <w:ind w:left="431" w:hanging="431"/>
      </w:pPr>
      <w:r w:rsidRPr="0020138C">
        <w:t xml:space="preserve">Known/unknown </w:t>
      </w:r>
      <w:r w:rsidR="00C169E8">
        <w:t>Conditions for TCI State Switching</w:t>
      </w:r>
    </w:p>
    <w:p w14:paraId="4C26DB49" w14:textId="4DED1F20" w:rsidR="00E80759" w:rsidRPr="00E80759" w:rsidRDefault="0088235C" w:rsidP="00E80759">
      <w:bookmarkStart w:id="4" w:name="_Hlk115430119"/>
      <w:r>
        <w:t xml:space="preserve">The issues related to this topic were discussed during RAN4 #104 and captured in the WF </w:t>
      </w:r>
      <w:r>
        <w:fldChar w:fldCharType="begin"/>
      </w:r>
      <w:r>
        <w:instrText xml:space="preserve"> REF _Ref115419449 \r \h </w:instrText>
      </w:r>
      <w:r>
        <w:fldChar w:fldCharType="separate"/>
      </w:r>
      <w:r>
        <w:t>[3]</w:t>
      </w:r>
      <w:r>
        <w:fldChar w:fldCharType="end"/>
      </w:r>
      <w:r>
        <w:t xml:space="preserve"> as:</w:t>
      </w:r>
    </w:p>
    <w:tbl>
      <w:tblPr>
        <w:tblStyle w:val="TableGrid"/>
        <w:tblW w:w="0" w:type="auto"/>
        <w:tblLook w:val="04A0" w:firstRow="1" w:lastRow="0" w:firstColumn="1" w:lastColumn="0" w:noHBand="0" w:noVBand="1"/>
      </w:tblPr>
      <w:tblGrid>
        <w:gridCol w:w="9617"/>
      </w:tblGrid>
      <w:tr w:rsidR="00183521" w:rsidRPr="00373AC1" w14:paraId="1ACB79A0" w14:textId="77777777" w:rsidTr="00F81394">
        <w:tc>
          <w:tcPr>
            <w:tcW w:w="9617" w:type="dxa"/>
          </w:tcPr>
          <w:bookmarkEnd w:id="4"/>
          <w:p w14:paraId="414D7AB4" w14:textId="77777777" w:rsidR="00183521" w:rsidRDefault="00183521" w:rsidP="00183521">
            <w:r w:rsidRPr="4E49687F">
              <w:rPr>
                <w:rFonts w:eastAsia="Times New Roman" w:cs="Times New Roman"/>
                <w:b/>
                <w:bCs/>
                <w:szCs w:val="20"/>
                <w:u w:val="single"/>
                <w:lang w:val="en-GB"/>
              </w:rPr>
              <w:lastRenderedPageBreak/>
              <w:t>Issue 1-3-2: Known/unknown conditions for TCI state switching for multi-Rx chain</w:t>
            </w:r>
          </w:p>
          <w:p w14:paraId="54691BA3" w14:textId="77777777" w:rsidR="00183521" w:rsidRDefault="00183521" w:rsidP="00183521">
            <w:pPr>
              <w:pStyle w:val="ListParagraph"/>
              <w:numPr>
                <w:ilvl w:val="0"/>
                <w:numId w:val="1"/>
              </w:numPr>
              <w:rPr>
                <w:rFonts w:eastAsia="Times New Roman" w:cs="Times New Roman"/>
                <w:szCs w:val="20"/>
                <w:lang w:val="en-GB"/>
              </w:rPr>
            </w:pPr>
            <w:r w:rsidRPr="4E49687F">
              <w:rPr>
                <w:rFonts w:eastAsia="Times New Roman" w:cs="Times New Roman"/>
                <w:szCs w:val="20"/>
                <w:lang w:val="en-GB"/>
              </w:rPr>
              <w:t>Proposals</w:t>
            </w:r>
          </w:p>
          <w:p w14:paraId="5F562AA8" w14:textId="3F8842B7" w:rsidR="00183521" w:rsidRDefault="00183521" w:rsidP="00183521">
            <w:pPr>
              <w:pStyle w:val="ListParagraph"/>
              <w:numPr>
                <w:ilvl w:val="1"/>
                <w:numId w:val="1"/>
              </w:numPr>
              <w:rPr>
                <w:rFonts w:eastAsia="Times New Roman" w:cs="Times New Roman"/>
                <w:szCs w:val="20"/>
                <w:lang w:val="en-GB"/>
              </w:rPr>
            </w:pPr>
            <w:r w:rsidRPr="4E49687F">
              <w:rPr>
                <w:rFonts w:eastAsia="Times New Roman" w:cs="Times New Roman"/>
                <w:szCs w:val="20"/>
                <w:lang w:val="en-GB"/>
              </w:rPr>
              <w:t xml:space="preserve">P1: Study whether TCI state switching delay can be modified or not for </w:t>
            </w:r>
            <w:proofErr w:type="gramStart"/>
            <w:r w:rsidRPr="4E49687F">
              <w:rPr>
                <w:rFonts w:eastAsia="Times New Roman" w:cs="Times New Roman"/>
                <w:szCs w:val="20"/>
                <w:lang w:val="en-GB"/>
              </w:rPr>
              <w:t>multi Rx</w:t>
            </w:r>
            <w:proofErr w:type="gramEnd"/>
            <w:r w:rsidRPr="4E49687F">
              <w:rPr>
                <w:rFonts w:eastAsia="Times New Roman" w:cs="Times New Roman"/>
                <w:szCs w:val="20"/>
                <w:lang w:val="en-GB"/>
              </w:rPr>
              <w:t xml:space="preserve"> chain UE, e.g. how to evaluate known/unknown condition by using multi Rx chain, how to define TCI state change delay by the cases that dedicated Rx chain is used, partial Rx chains are used, or all Rx chains are used.</w:t>
            </w:r>
          </w:p>
          <w:p w14:paraId="07AF6532" w14:textId="77777777" w:rsidR="00183521" w:rsidRDefault="00183521" w:rsidP="00183521">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P1a: For MAC-CE based TCI state switch delay with unknown target TCI state, the reduction on switch delay requirements can be considered (</w:t>
            </w:r>
            <w:proofErr w:type="gramStart"/>
            <w:r w:rsidRPr="4E49687F">
              <w:rPr>
                <w:rFonts w:eastAsia="Times New Roman" w:cs="Times New Roman"/>
                <w:szCs w:val="20"/>
                <w:lang w:val="en-GB"/>
              </w:rPr>
              <w:t>i.e.</w:t>
            </w:r>
            <w:proofErr w:type="gramEnd"/>
            <w:r w:rsidRPr="4E49687F">
              <w:rPr>
                <w:rFonts w:eastAsia="Times New Roman" w:cs="Times New Roman"/>
                <w:szCs w:val="20"/>
                <w:lang w:val="en-GB"/>
              </w:rPr>
              <w:t xml:space="preserve"> consider the improvement of T</w:t>
            </w:r>
            <w:r w:rsidRPr="4E49687F">
              <w:rPr>
                <w:rFonts w:eastAsia="Times New Roman" w:cs="Times New Roman"/>
                <w:szCs w:val="20"/>
                <w:vertAlign w:val="subscript"/>
                <w:lang w:val="en-GB"/>
              </w:rPr>
              <w:t>L1-RSRP</w:t>
            </w:r>
            <w:r w:rsidRPr="4E49687F">
              <w:rPr>
                <w:rFonts w:eastAsia="Times New Roman" w:cs="Times New Roman"/>
                <w:szCs w:val="20"/>
                <w:lang w:val="en-GB"/>
              </w:rPr>
              <w:t xml:space="preserve"> with multiple simultaneous reception)</w:t>
            </w:r>
          </w:p>
          <w:p w14:paraId="6EC9F3CC" w14:textId="77777777" w:rsidR="00183521" w:rsidRDefault="00183521" w:rsidP="00183521">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P1b: For dual TCI state switching delay requirements, which scenarios of triggering, known/unknown TCI state and TCI association to different PCI could be considered and clarified.</w:t>
            </w:r>
          </w:p>
          <w:p w14:paraId="549AC1A2" w14:textId="67A7CD57" w:rsidR="00183521" w:rsidRDefault="00183521" w:rsidP="00183521">
            <w:pPr>
              <w:pStyle w:val="ListParagraph"/>
              <w:numPr>
                <w:ilvl w:val="1"/>
                <w:numId w:val="1"/>
              </w:numPr>
              <w:rPr>
                <w:rFonts w:eastAsia="Times New Roman" w:cs="Times New Roman"/>
                <w:szCs w:val="20"/>
                <w:lang w:val="en-GB"/>
              </w:rPr>
            </w:pPr>
            <w:r w:rsidRPr="4E49687F">
              <w:rPr>
                <w:rFonts w:eastAsia="Times New Roman" w:cs="Times New Roman"/>
                <w:szCs w:val="20"/>
                <w:lang w:val="en-GB"/>
              </w:rPr>
              <w:t>P1c: Discuss the known conditions of dual TCI and discuss whether to define requirements for unknown dual TCI state switch.</w:t>
            </w:r>
          </w:p>
          <w:p w14:paraId="380E61D2" w14:textId="53D8DAC4" w:rsidR="00183521" w:rsidRPr="00373AC1" w:rsidRDefault="00183521" w:rsidP="00B56505">
            <w:pPr>
              <w:pStyle w:val="ListParagraph"/>
              <w:ind w:left="1440"/>
              <w:rPr>
                <w:rFonts w:cs="Arial"/>
                <w:sz w:val="18"/>
                <w:szCs w:val="18"/>
                <w:highlight w:val="yellow"/>
              </w:rPr>
            </w:pPr>
          </w:p>
        </w:tc>
      </w:tr>
    </w:tbl>
    <w:p w14:paraId="5814854D" w14:textId="75E4215C" w:rsidR="00E80759" w:rsidRDefault="00E80759" w:rsidP="00183521"/>
    <w:p w14:paraId="2CDDE962" w14:textId="1D7730C7" w:rsidR="00714C52" w:rsidRDefault="00714C52" w:rsidP="00183521">
      <w:r>
        <w:t>One example of conditions for know</w:t>
      </w:r>
      <w:r w:rsidR="00D0663C">
        <w:t>n</w:t>
      </w:r>
      <w:r>
        <w:t xml:space="preserve"> TCI state are</w:t>
      </w:r>
      <w:r w:rsidR="00573429">
        <w:t xml:space="preserve"> [38.133]:</w:t>
      </w:r>
    </w:p>
    <w:tbl>
      <w:tblPr>
        <w:tblStyle w:val="TableGrid"/>
        <w:tblW w:w="0" w:type="auto"/>
        <w:tblLook w:val="04A0" w:firstRow="1" w:lastRow="0" w:firstColumn="1" w:lastColumn="0" w:noHBand="0" w:noVBand="1"/>
      </w:tblPr>
      <w:tblGrid>
        <w:gridCol w:w="9617"/>
      </w:tblGrid>
      <w:tr w:rsidR="00714C52" w14:paraId="62189D78" w14:textId="77777777" w:rsidTr="00714C52">
        <w:tc>
          <w:tcPr>
            <w:tcW w:w="9617" w:type="dxa"/>
          </w:tcPr>
          <w:p w14:paraId="1B430E6C" w14:textId="77777777" w:rsidR="00714C52" w:rsidRPr="00714C52" w:rsidRDefault="00714C52" w:rsidP="00714C5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714C52">
              <w:rPr>
                <w:rFonts w:ascii="Arial" w:eastAsia="Times New Roman" w:hAnsi="Arial" w:cs="Times New Roman"/>
                <w:sz w:val="28"/>
                <w:szCs w:val="20"/>
                <w:lang w:eastAsia="en-GB"/>
              </w:rPr>
              <w:t>8.10.2</w:t>
            </w:r>
            <w:r w:rsidRPr="00714C52">
              <w:rPr>
                <w:rFonts w:ascii="Arial" w:eastAsia="Times New Roman" w:hAnsi="Arial" w:cs="Times New Roman"/>
                <w:sz w:val="28"/>
                <w:szCs w:val="20"/>
                <w:lang w:eastAsia="en-GB"/>
              </w:rPr>
              <w:tab/>
              <w:t>Known conditions for TCI state</w:t>
            </w:r>
          </w:p>
          <w:p w14:paraId="768CF7A8" w14:textId="77777777" w:rsidR="00714C52" w:rsidRPr="00714C52" w:rsidRDefault="00714C52" w:rsidP="00714C52">
            <w:pPr>
              <w:tabs>
                <w:tab w:val="left" w:pos="0"/>
              </w:tabs>
              <w:overflowPunct w:val="0"/>
              <w:autoSpaceDE w:val="0"/>
              <w:autoSpaceDN w:val="0"/>
              <w:adjustRightInd w:val="0"/>
              <w:spacing w:after="180"/>
              <w:textAlignment w:val="baseline"/>
              <w:rPr>
                <w:rFonts w:eastAsia="Malgun Gothic" w:cs="v4.2.0"/>
                <w:szCs w:val="20"/>
                <w:lang w:val="en-GB" w:eastAsia="zh-CN"/>
              </w:rPr>
            </w:pPr>
            <w:r w:rsidRPr="00714C52">
              <w:rPr>
                <w:rFonts w:eastAsia="Malgun Gothic" w:cs="v4.2.0"/>
                <w:szCs w:val="20"/>
                <w:lang w:eastAsia="zh-CN"/>
              </w:rPr>
              <w:t>T</w:t>
            </w:r>
            <w:r w:rsidRPr="00714C52">
              <w:rPr>
                <w:rFonts w:eastAsia="Malgun Gothic" w:cs="v4.2.0"/>
                <w:szCs w:val="20"/>
                <w:lang w:val="en-GB" w:eastAsia="zh-CN"/>
              </w:rPr>
              <w:t>he TCI state is known if the following conditions are met:</w:t>
            </w:r>
          </w:p>
          <w:p w14:paraId="1905F19A" w14:textId="77777777" w:rsidR="00714C52" w:rsidRPr="00714C52" w:rsidRDefault="00714C52" w:rsidP="00714C52">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During the period from the last transmission of the RS resource used for the L1-RSRP measurement reporting </w:t>
            </w:r>
            <w:r w:rsidRPr="00714C52">
              <w:rPr>
                <w:rFonts w:eastAsia="Times New Roman" w:cs="Times New Roman"/>
                <w:szCs w:val="20"/>
                <w:lang w:val="en-GB" w:eastAsia="en-GB"/>
              </w:rPr>
              <w:t xml:space="preserve">for the target TCI state to the completion of active TCI state switch, where the RS resource for L1-RSRP measurement is the RS in target TCI state or </w:t>
            </w:r>
            <w:proofErr w:type="spellStart"/>
            <w:r w:rsidRPr="00714C52">
              <w:rPr>
                <w:rFonts w:eastAsia="Times New Roman" w:cs="Times New Roman"/>
                <w:szCs w:val="20"/>
                <w:lang w:val="en-GB" w:eastAsia="en-GB"/>
              </w:rPr>
              <w:t>QCLed</w:t>
            </w:r>
            <w:proofErr w:type="spellEnd"/>
            <w:r w:rsidRPr="00714C52">
              <w:rPr>
                <w:rFonts w:eastAsia="Times New Roman" w:cs="Times New Roman"/>
                <w:szCs w:val="20"/>
                <w:lang w:val="en-GB" w:eastAsia="en-GB"/>
              </w:rPr>
              <w:t xml:space="preserve"> to the target TCI state</w:t>
            </w:r>
          </w:p>
          <w:p w14:paraId="1412674E" w14:textId="77777777" w:rsidR="00714C52" w:rsidRPr="00714C52" w:rsidRDefault="00714C52" w:rsidP="00714C52">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TCI state switch command is received within 1280 </w:t>
            </w:r>
            <w:proofErr w:type="spellStart"/>
            <w:r w:rsidRPr="00714C52">
              <w:rPr>
                <w:rFonts w:eastAsia="Times New Roman" w:cs="Times New Roman"/>
                <w:szCs w:val="20"/>
                <w:lang w:val="en-GB" w:eastAsia="zh-CN"/>
              </w:rPr>
              <w:t>ms</w:t>
            </w:r>
            <w:proofErr w:type="spellEnd"/>
            <w:r w:rsidRPr="00714C52">
              <w:rPr>
                <w:rFonts w:eastAsia="Times New Roman" w:cs="Times New Roman"/>
                <w:szCs w:val="20"/>
                <w:lang w:val="en-GB" w:eastAsia="zh-CN"/>
              </w:rPr>
              <w:t xml:space="preserve"> upon the last transmission of the RS resource for beam reporting or measurement </w:t>
            </w:r>
          </w:p>
          <w:p w14:paraId="2111E451" w14:textId="77777777" w:rsidR="00714C52" w:rsidRPr="00714C52" w:rsidRDefault="00714C52" w:rsidP="00714C52">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The UE has sent at least 1 L1-RSRP report for the target TCI state before the TCI state switch command</w:t>
            </w:r>
          </w:p>
          <w:p w14:paraId="4670CE1E" w14:textId="77777777" w:rsidR="00714C52" w:rsidRPr="00714C52" w:rsidRDefault="00714C52" w:rsidP="00714C52">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The TCI state remains detectable during the TCI state switching period</w:t>
            </w:r>
          </w:p>
          <w:p w14:paraId="70A034CE" w14:textId="77777777" w:rsidR="00714C52" w:rsidRPr="00714C52" w:rsidRDefault="00714C52" w:rsidP="00714C52">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r>
            <w:bookmarkStart w:id="5" w:name="_Hlk18067072"/>
            <w:r w:rsidRPr="00714C52">
              <w:rPr>
                <w:rFonts w:eastAsia="Times New Roman" w:cs="Times New Roman"/>
                <w:szCs w:val="20"/>
                <w:lang w:val="en-GB" w:eastAsia="zh-CN"/>
              </w:rPr>
              <w:t>The SSB associated with the TCI state remain detectable during the TCI switching period</w:t>
            </w:r>
            <w:bookmarkEnd w:id="5"/>
          </w:p>
          <w:p w14:paraId="4D16AFDB" w14:textId="77777777" w:rsidR="00714C52" w:rsidRPr="00714C52" w:rsidRDefault="00714C52" w:rsidP="00714C52">
            <w:pPr>
              <w:overflowPunct w:val="0"/>
              <w:autoSpaceDE w:val="0"/>
              <w:autoSpaceDN w:val="0"/>
              <w:adjustRightInd w:val="0"/>
              <w:spacing w:after="180"/>
              <w:ind w:left="1135"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SNR of the TCI state </w:t>
            </w:r>
            <w:r w:rsidRPr="00714C52">
              <w:rPr>
                <w:rFonts w:eastAsia="Calibri" w:cs="Times New Roman"/>
                <w:szCs w:val="20"/>
                <w:lang w:val="en-GB" w:eastAsia="en-GB"/>
              </w:rPr>
              <w:t>≥</w:t>
            </w:r>
            <w:r w:rsidRPr="00714C52">
              <w:rPr>
                <w:rFonts w:eastAsia="Times New Roman" w:cs="Times New Roman"/>
                <w:szCs w:val="20"/>
                <w:lang w:val="en-GB" w:eastAsia="zh-CN"/>
              </w:rPr>
              <w:t xml:space="preserve"> -3dB</w:t>
            </w:r>
          </w:p>
          <w:p w14:paraId="7A65497C" w14:textId="77777777" w:rsidR="00714C52" w:rsidRPr="00714C52" w:rsidRDefault="00714C52" w:rsidP="00714C52">
            <w:pPr>
              <w:overflowPunct w:val="0"/>
              <w:autoSpaceDE w:val="0"/>
              <w:autoSpaceDN w:val="0"/>
              <w:adjustRightInd w:val="0"/>
              <w:spacing w:after="180"/>
              <w:textAlignment w:val="baseline"/>
              <w:rPr>
                <w:rFonts w:eastAsia="Malgun Gothic" w:cs="Times New Roman"/>
                <w:szCs w:val="20"/>
                <w:lang w:val="en-GB" w:eastAsia="zh-CN"/>
              </w:rPr>
            </w:pPr>
            <w:r w:rsidRPr="00714C52">
              <w:rPr>
                <w:rFonts w:eastAsia="Malgun Gothic" w:cs="Times New Roman"/>
                <w:szCs w:val="20"/>
                <w:lang w:val="en-GB" w:eastAsia="zh-CN"/>
              </w:rPr>
              <w:t>Otherwise, the TCI state is unknown.</w:t>
            </w:r>
          </w:p>
          <w:p w14:paraId="65AABCC4" w14:textId="77777777" w:rsidR="00714C52" w:rsidRPr="00714C52" w:rsidRDefault="00714C52" w:rsidP="00183521">
            <w:pPr>
              <w:rPr>
                <w:lang w:val="en-GB"/>
              </w:rPr>
            </w:pPr>
          </w:p>
        </w:tc>
      </w:tr>
    </w:tbl>
    <w:p w14:paraId="6DA8173E" w14:textId="77777777" w:rsidR="00573429" w:rsidRDefault="00573429" w:rsidP="00183521"/>
    <w:p w14:paraId="6027FDBC" w14:textId="531F4ADA" w:rsidR="00714C52" w:rsidRDefault="00D0663C" w:rsidP="00183521">
      <w:r>
        <w:t xml:space="preserve">The conditions for known TCI state </w:t>
      </w:r>
      <w:r w:rsidR="00C2773E">
        <w:t>are discussed</w:t>
      </w:r>
      <w:r>
        <w:t xml:space="preserve"> in P1c of Issue 1-3-2 in the previous WF on multiple Rx chains</w:t>
      </w:r>
      <w:r w:rsidR="00BA6DDB">
        <w:t xml:space="preserve">, where it is proposed to </w:t>
      </w:r>
      <w:proofErr w:type="gramStart"/>
      <w:r w:rsidR="00BA6DDB">
        <w:t>discussed</w:t>
      </w:r>
      <w:proofErr w:type="gramEnd"/>
      <w:r w:rsidR="00BA6DDB">
        <w:t xml:space="preserve"> if the conditions should be revised. </w:t>
      </w:r>
      <w:r w:rsidR="00A658AD">
        <w:t>These conditions</w:t>
      </w:r>
      <w:r w:rsidR="00BA6DDB">
        <w:t>, which are shown above,</w:t>
      </w:r>
      <w:r w:rsidR="00A658AD">
        <w:t xml:space="preserve"> can be interpreted in a </w:t>
      </w:r>
      <w:r w:rsidR="003E4E80">
        <w:t xml:space="preserve">nutshell as being related to </w:t>
      </w:r>
      <w:r w:rsidR="00C93FB1">
        <w:t xml:space="preserve">whether there is a </w:t>
      </w:r>
      <w:r w:rsidR="00F05E5B">
        <w:t>valid L1-RSRP</w:t>
      </w:r>
      <w:r w:rsidR="00573429">
        <w:t xml:space="preserve"> </w:t>
      </w:r>
      <w:r w:rsidR="003E41F9">
        <w:t xml:space="preserve">measurement for the target TCI state and if the associated RS of the target TCI state remains detectable. When considering multiple Rx chain UE, there is no difference on the interpretation of those conditions. </w:t>
      </w:r>
      <w:r w:rsidR="00C63417">
        <w:t>Therefore</w:t>
      </w:r>
      <w:r w:rsidR="00BA6DDB">
        <w:t>,</w:t>
      </w:r>
      <w:r w:rsidR="00C63417">
        <w:t xml:space="preserve"> we don’t </w:t>
      </w:r>
      <w:r w:rsidR="00BA6DDB">
        <w:t>s</w:t>
      </w:r>
      <w:r w:rsidR="00C63417">
        <w:t xml:space="preserve">ee immediate need to change the conditions for dual TCI state switch compared to the single TCI state switch. </w:t>
      </w:r>
    </w:p>
    <w:p w14:paraId="1AF7F265" w14:textId="7628A3DE" w:rsidR="00573429" w:rsidRDefault="00680B30" w:rsidP="003A2E47">
      <w:pPr>
        <w:pStyle w:val="RAN4observation0"/>
      </w:pPr>
      <w:r>
        <w:t xml:space="preserve">The use of multiple Rx chains is not necessarily helping on the conditions for a target TCI state to be known or unknown. </w:t>
      </w:r>
    </w:p>
    <w:p w14:paraId="7A9B2046" w14:textId="52DE2E24" w:rsidR="00573429" w:rsidRDefault="0072666C" w:rsidP="0045461A">
      <w:pPr>
        <w:pStyle w:val="RAN4proposal"/>
        <w:rPr>
          <w:lang w:val="en-GB"/>
        </w:rPr>
      </w:pPr>
      <w:r>
        <w:rPr>
          <w:lang w:val="en-GB"/>
        </w:rPr>
        <w:t xml:space="preserve">Reuse </w:t>
      </w:r>
      <w:r w:rsidR="00B268D7">
        <w:rPr>
          <w:lang w:val="en-GB"/>
        </w:rPr>
        <w:t xml:space="preserve">existing conditions for known/ unknown TCI state for </w:t>
      </w:r>
      <w:proofErr w:type="gramStart"/>
      <w:r w:rsidR="00B268D7">
        <w:rPr>
          <w:lang w:val="en-GB"/>
        </w:rPr>
        <w:t>multi Rx</w:t>
      </w:r>
      <w:proofErr w:type="gramEnd"/>
      <w:r w:rsidR="00B268D7">
        <w:rPr>
          <w:lang w:val="en-GB"/>
        </w:rPr>
        <w:t xml:space="preserve"> chain capable UEs. </w:t>
      </w:r>
    </w:p>
    <w:p w14:paraId="439B36D4" w14:textId="03A4BF79" w:rsidR="008A7785" w:rsidRDefault="008B77A5" w:rsidP="008A7785">
      <w:pPr>
        <w:rPr>
          <w:lang w:val="en-GB"/>
        </w:rPr>
      </w:pPr>
      <w:r>
        <w:rPr>
          <w:lang w:val="en-GB"/>
        </w:rPr>
        <w:t xml:space="preserve">As for other options on the Issue 1-3-2 of the WF, we understand that many of those are related to the </w:t>
      </w:r>
      <w:r w:rsidR="00D0663C">
        <w:rPr>
          <w:lang w:val="en-GB"/>
        </w:rPr>
        <w:t xml:space="preserve">TCI switching delay, and we already discussed that in previous proposals. </w:t>
      </w:r>
    </w:p>
    <w:p w14:paraId="16CA844C" w14:textId="175F80B1" w:rsidR="00CD7492" w:rsidRPr="00EF698B" w:rsidRDefault="00CD7492" w:rsidP="00A37002">
      <w:pPr>
        <w:pStyle w:val="RAN4H1"/>
        <w:rPr>
          <w:lang w:val="en-US"/>
        </w:rPr>
      </w:pPr>
      <w:r w:rsidRPr="00EF698B">
        <w:rPr>
          <w:lang w:val="en-US"/>
        </w:rPr>
        <w:t>Conclusion</w:t>
      </w:r>
    </w:p>
    <w:p w14:paraId="6D03D0ED" w14:textId="2DE4C68D" w:rsidR="00AF2D2B" w:rsidRDefault="002B1F9E" w:rsidP="005C23A4">
      <w:pPr>
        <w:rPr>
          <w:rFonts w:eastAsia="SimSun"/>
          <w:sz w:val="22"/>
          <w:lang w:eastAsia="zh-CN"/>
        </w:rPr>
      </w:pPr>
      <w:r w:rsidRPr="0046206D">
        <w:rPr>
          <w:rFonts w:eastAsia="SimSun"/>
          <w:sz w:val="22"/>
          <w:lang w:eastAsia="zh-CN"/>
        </w:rPr>
        <w:t>T</w:t>
      </w:r>
      <w:r w:rsidRPr="0046206D">
        <w:rPr>
          <w:rFonts w:eastAsia="SimSun" w:hint="eastAsia"/>
          <w:sz w:val="22"/>
          <w:lang w:eastAsia="zh-CN"/>
        </w:rPr>
        <w:t xml:space="preserve">his contribution provides </w:t>
      </w:r>
      <w:r>
        <w:rPr>
          <w:rFonts w:eastAsia="SimSun"/>
          <w:sz w:val="22"/>
          <w:lang w:eastAsia="zh-CN"/>
        </w:rPr>
        <w:t xml:space="preserve">our analysis on issues related to TCI State switching of NR FR2 </w:t>
      </w:r>
      <w:r w:rsidRPr="00E93B17">
        <w:rPr>
          <w:rFonts w:eastAsia="SimSun"/>
          <w:sz w:val="22"/>
          <w:lang w:eastAsia="zh-CN"/>
        </w:rPr>
        <w:t>multi-Rx chain DL</w:t>
      </w:r>
      <w:r>
        <w:rPr>
          <w:rFonts w:eastAsia="SimSun"/>
          <w:sz w:val="22"/>
          <w:lang w:eastAsia="zh-CN"/>
        </w:rPr>
        <w:t>.</w:t>
      </w:r>
      <w:r w:rsidR="00DB3D75">
        <w:rPr>
          <w:rFonts w:eastAsia="SimSun"/>
          <w:sz w:val="22"/>
          <w:lang w:eastAsia="zh-CN"/>
        </w:rPr>
        <w:t xml:space="preserve"> </w:t>
      </w:r>
      <w:r w:rsidR="00F00792">
        <w:rPr>
          <w:rFonts w:eastAsia="SimSun"/>
          <w:sz w:val="22"/>
          <w:lang w:eastAsia="zh-CN"/>
        </w:rPr>
        <w:t xml:space="preserve">As part of this discussion the following observations and proposals are derived: </w:t>
      </w:r>
    </w:p>
    <w:p w14:paraId="44AB3FF4" w14:textId="77777777" w:rsidR="00EB5E94" w:rsidRPr="00891DF1" w:rsidRDefault="00EB5E94" w:rsidP="00EB5E94">
      <w:pPr>
        <w:pStyle w:val="RAN4proposal"/>
        <w:numPr>
          <w:ilvl w:val="0"/>
          <w:numId w:val="42"/>
        </w:numPr>
      </w:pPr>
      <w:r>
        <w:lastRenderedPageBreak/>
        <w:t>For definition of TCI state switching delay for dual TCIs, RAN4 to consider at least the scenarios below, without precluding other scenarios in future discussions:</w:t>
      </w:r>
    </w:p>
    <w:p w14:paraId="78C15C03" w14:textId="77777777" w:rsidR="00EB5E94" w:rsidRPr="00C6259E" w:rsidRDefault="00EB5E94" w:rsidP="00EB5E94">
      <w:pPr>
        <w:pStyle w:val="ListParagraph"/>
        <w:numPr>
          <w:ilvl w:val="0"/>
          <w:numId w:val="41"/>
        </w:numPr>
        <w:rPr>
          <w:b/>
        </w:rPr>
      </w:pPr>
      <w:r w:rsidRPr="00C6259E">
        <w:rPr>
          <w:b/>
        </w:rPr>
        <w:t>Single-DCI, multi-TRP scenario</w:t>
      </w:r>
    </w:p>
    <w:p w14:paraId="2CF3E045" w14:textId="77777777" w:rsidR="00EB5E94" w:rsidRPr="005F3457" w:rsidRDefault="00EB5E94" w:rsidP="00EB5E94">
      <w:pPr>
        <w:pStyle w:val="ListParagraph"/>
        <w:numPr>
          <w:ilvl w:val="0"/>
          <w:numId w:val="41"/>
        </w:numPr>
        <w:rPr>
          <w:b/>
          <w:lang w:val="fi-FI"/>
        </w:rPr>
      </w:pPr>
      <w:proofErr w:type="spellStart"/>
      <w:r w:rsidRPr="005F3457">
        <w:rPr>
          <w:b/>
          <w:lang w:val="fi-FI"/>
        </w:rPr>
        <w:t>Multi</w:t>
      </w:r>
      <w:proofErr w:type="spellEnd"/>
      <w:r w:rsidRPr="005F3457">
        <w:rPr>
          <w:b/>
          <w:lang w:val="fi-FI"/>
        </w:rPr>
        <w:t xml:space="preserve">-DCI, </w:t>
      </w:r>
      <w:proofErr w:type="spellStart"/>
      <w:r w:rsidRPr="005F3457">
        <w:rPr>
          <w:b/>
          <w:lang w:val="fi-FI"/>
        </w:rPr>
        <w:t>multi</w:t>
      </w:r>
      <w:proofErr w:type="spellEnd"/>
      <w:r w:rsidRPr="005F3457">
        <w:rPr>
          <w:b/>
          <w:lang w:val="fi-FI"/>
        </w:rPr>
        <w:t xml:space="preserve">-TRP </w:t>
      </w:r>
      <w:proofErr w:type="spellStart"/>
      <w:r w:rsidRPr="005F3457">
        <w:rPr>
          <w:b/>
          <w:lang w:val="fi-FI"/>
        </w:rPr>
        <w:t>scenario</w:t>
      </w:r>
      <w:proofErr w:type="spellEnd"/>
    </w:p>
    <w:p w14:paraId="4EDE6ECE" w14:textId="77777777" w:rsidR="003F5948" w:rsidRPr="009D2EA5" w:rsidRDefault="003F5948" w:rsidP="003F5948">
      <w:pPr>
        <w:pStyle w:val="RAN4proposal"/>
      </w:pPr>
      <w:r>
        <w:t>Multi-Rx UEs are assumed to support at least 2 active TCI states in Rel-18.</w:t>
      </w:r>
    </w:p>
    <w:p w14:paraId="4D437F47" w14:textId="77777777" w:rsidR="00D94886" w:rsidRDefault="00D94886" w:rsidP="00D94886">
      <w:pPr>
        <w:pStyle w:val="RAN4proposal"/>
      </w:pPr>
      <w:r>
        <w:t>The dual TCI state switch requirements are applicable when the corresponding TCI states are in the same, or in different panels.</w:t>
      </w:r>
    </w:p>
    <w:p w14:paraId="2F7BAD8B" w14:textId="6B0C28F8" w:rsidR="00F23541" w:rsidRPr="00AA1AC0" w:rsidRDefault="003903A0" w:rsidP="00F23541">
      <w:pPr>
        <w:pStyle w:val="RAN4Observation"/>
        <w:numPr>
          <w:ilvl w:val="0"/>
          <w:numId w:val="43"/>
        </w:numPr>
      </w:pPr>
      <w:r w:rsidRPr="003903A0">
        <w:t>Strict timing synchronization between Rx chains is challenging in case of distributed TRPs (non-ideal backhaul).</w:t>
      </w:r>
    </w:p>
    <w:p w14:paraId="36BD71D5" w14:textId="77777777" w:rsidR="00F23541" w:rsidRPr="003C186D" w:rsidRDefault="00F23541" w:rsidP="00F23541">
      <w:pPr>
        <w:pStyle w:val="RAN4observation0"/>
      </w:pPr>
      <w:r>
        <w:rPr>
          <w:bCs/>
        </w:rPr>
        <w:t>In multi-Rx chain,</w:t>
      </w:r>
      <w:r w:rsidRPr="003C186D">
        <w:t xml:space="preserve"> time and </w:t>
      </w:r>
      <w:r>
        <w:t>frequency can be tracked independently per Rx chain.</w:t>
      </w:r>
    </w:p>
    <w:p w14:paraId="1CC4C508" w14:textId="77777777" w:rsidR="00F23541" w:rsidRPr="002F18DA" w:rsidRDefault="00F23541" w:rsidP="00F23541">
      <w:pPr>
        <w:pStyle w:val="RAN4proposal"/>
        <w:rPr>
          <w:lang w:val="en-GB"/>
        </w:rPr>
      </w:pPr>
      <w:r w:rsidRPr="00625A9F">
        <w:t xml:space="preserve">In the case of dual TCIs, consider independent frequency/time tracking per Rx chain. </w:t>
      </w:r>
    </w:p>
    <w:p w14:paraId="297FD629" w14:textId="77777777" w:rsidR="00C924C6" w:rsidRPr="00C64EFE" w:rsidRDefault="00C924C6" w:rsidP="00C924C6">
      <w:pPr>
        <w:pStyle w:val="RAN4proposal"/>
        <w:ind w:left="0" w:firstLine="0"/>
      </w:pPr>
      <w:r>
        <w:t xml:space="preserve">Each TCI switching per RX chain is assumed to be independent in aspect of TCI switching delay. </w:t>
      </w:r>
    </w:p>
    <w:p w14:paraId="2847B6AB" w14:textId="77777777" w:rsidR="00C924C6" w:rsidRDefault="00C924C6" w:rsidP="00C924C6">
      <w:pPr>
        <w:pStyle w:val="RAN4proposal"/>
        <w:ind w:left="0" w:firstLine="0"/>
      </w:pPr>
      <w:r w:rsidRPr="00373AC1">
        <w:t xml:space="preserve">RAN4 </w:t>
      </w:r>
      <w:r>
        <w:t>to consider</w:t>
      </w:r>
      <w:r w:rsidRPr="00373AC1">
        <w:t xml:space="preserve"> </w:t>
      </w:r>
      <w:r>
        <w:t xml:space="preserve">legacy </w:t>
      </w:r>
      <w:r w:rsidRPr="00373AC1">
        <w:t>Rel-1</w:t>
      </w:r>
      <w:r>
        <w:t>5/Rel-16</w:t>
      </w:r>
      <w:r w:rsidRPr="00373AC1">
        <w:t xml:space="preserve"> TCI switching delay requirements </w:t>
      </w:r>
      <w:r>
        <w:t>as baseline to</w:t>
      </w:r>
      <w:r w:rsidRPr="00373AC1">
        <w:t xml:space="preserve"> Rel-18 UE requirements with multi-RX chains</w:t>
      </w:r>
      <w:r>
        <w:t xml:space="preserve"> in </w:t>
      </w:r>
      <w:proofErr w:type="gramStart"/>
      <w:r>
        <w:t>multi DCI</w:t>
      </w:r>
      <w:proofErr w:type="gramEnd"/>
      <w:r>
        <w:t xml:space="preserve"> and multi TRP scenarios</w:t>
      </w:r>
      <w:r w:rsidRPr="00373AC1">
        <w:t>.</w:t>
      </w:r>
      <w:r>
        <w:t xml:space="preserve"> </w:t>
      </w:r>
    </w:p>
    <w:p w14:paraId="0AC86B2F" w14:textId="77777777" w:rsidR="00AA45B1" w:rsidRPr="00AA45B1" w:rsidRDefault="00AA45B1" w:rsidP="00AA45B1">
      <w:pPr>
        <w:numPr>
          <w:ilvl w:val="0"/>
          <w:numId w:val="7"/>
        </w:numPr>
        <w:rPr>
          <w:lang w:val="en-GB"/>
        </w:rPr>
      </w:pPr>
      <w:r w:rsidRPr="00AA45B1">
        <w:rPr>
          <w:lang w:val="en-GB"/>
        </w:rPr>
        <w:t>TCI state switch delay depends on T</w:t>
      </w:r>
      <w:r w:rsidRPr="00AA45B1">
        <w:rPr>
          <w:vertAlign w:val="subscript"/>
          <w:lang w:val="en-GB"/>
        </w:rPr>
        <w:t xml:space="preserve">L1-RSPR_Measurement_Period_SSB </w:t>
      </w:r>
      <w:r w:rsidRPr="00AA45B1">
        <w:rPr>
          <w:lang w:val="en-GB"/>
        </w:rPr>
        <w:t>and T</w:t>
      </w:r>
      <w:r w:rsidRPr="00AA45B1">
        <w:rPr>
          <w:vertAlign w:val="subscript"/>
          <w:lang w:val="en-GB"/>
        </w:rPr>
        <w:t>L1-RSRP_Measurement_Period_CSI-RS</w:t>
      </w:r>
      <w:r w:rsidRPr="00AA45B1">
        <w:rPr>
          <w:lang w:val="en-GB"/>
        </w:rPr>
        <w:t xml:space="preserve"> </w:t>
      </w:r>
    </w:p>
    <w:p w14:paraId="45C48F50" w14:textId="77777777" w:rsidR="00AA45B1" w:rsidRPr="00AA45B1" w:rsidRDefault="00AA45B1" w:rsidP="00AA45B1">
      <w:pPr>
        <w:numPr>
          <w:ilvl w:val="0"/>
          <w:numId w:val="8"/>
        </w:numPr>
        <w:rPr>
          <w:b/>
          <w:iCs/>
          <w:lang w:val="en-GB"/>
        </w:rPr>
      </w:pPr>
      <w:r w:rsidRPr="00AA45B1">
        <w:rPr>
          <w:b/>
          <w:iCs/>
          <w:lang w:val="en-GB"/>
        </w:rPr>
        <w:t xml:space="preserve">Enhancements on L1 RSRP delays should be reflected on TCI state switch delay. </w:t>
      </w:r>
    </w:p>
    <w:p w14:paraId="1CBD333D" w14:textId="77777777" w:rsidR="00AA45B1" w:rsidRPr="00AA45B1" w:rsidRDefault="00AA45B1" w:rsidP="00AA45B1">
      <w:pPr>
        <w:numPr>
          <w:ilvl w:val="0"/>
          <w:numId w:val="12"/>
        </w:numPr>
        <w:rPr>
          <w:bCs/>
          <w:lang w:val="en-GB"/>
        </w:rPr>
      </w:pPr>
      <w:r w:rsidRPr="00AA45B1">
        <w:rPr>
          <w:bCs/>
          <w:lang w:val="en-GB"/>
        </w:rPr>
        <w:t xml:space="preserve">UE is expected to track all the active TCI states independent of the panel being used. It is already assumed that that there is no need of any additional delay for cross panel TCI state switching. </w:t>
      </w:r>
    </w:p>
    <w:p w14:paraId="216359C5" w14:textId="77777777" w:rsidR="00AA45B1" w:rsidRPr="00AA45B1" w:rsidRDefault="00AA45B1" w:rsidP="00AA45B1">
      <w:pPr>
        <w:numPr>
          <w:ilvl w:val="0"/>
          <w:numId w:val="8"/>
        </w:numPr>
        <w:rPr>
          <w:b/>
          <w:iCs/>
          <w:lang w:val="en-GB"/>
        </w:rPr>
      </w:pPr>
      <w:r w:rsidRPr="00AA45B1">
        <w:rPr>
          <w:b/>
          <w:iCs/>
          <w:lang w:val="en-GB"/>
        </w:rPr>
        <w:t>RAN4 not to define additional TCI state switching delay for cross panel TCI state switching.</w:t>
      </w:r>
    </w:p>
    <w:p w14:paraId="3F093403" w14:textId="77777777" w:rsidR="006778E8" w:rsidRPr="006778E8" w:rsidRDefault="006778E8" w:rsidP="006778E8">
      <w:pPr>
        <w:numPr>
          <w:ilvl w:val="0"/>
          <w:numId w:val="7"/>
        </w:numPr>
        <w:rPr>
          <w:lang w:val="en-GB"/>
        </w:rPr>
      </w:pPr>
      <w:r w:rsidRPr="006778E8">
        <w:rPr>
          <w:lang w:val="en-GB"/>
        </w:rPr>
        <w:t xml:space="preserve">The use of multiple Rx chains is not necessarily helping on the conditions for a target TCI state to be known or unknown. </w:t>
      </w:r>
    </w:p>
    <w:p w14:paraId="134FF1BE" w14:textId="160CBABA" w:rsidR="00090E18" w:rsidRPr="006778E8" w:rsidRDefault="006778E8" w:rsidP="005C23A4">
      <w:pPr>
        <w:numPr>
          <w:ilvl w:val="0"/>
          <w:numId w:val="8"/>
        </w:numPr>
        <w:rPr>
          <w:lang w:val="en-GB"/>
        </w:rPr>
      </w:pPr>
      <w:r w:rsidRPr="006778E8">
        <w:rPr>
          <w:b/>
          <w:iCs/>
          <w:lang w:val="en-GB"/>
        </w:rPr>
        <w:t xml:space="preserve">Reuse existing conditions for known/ unknown TCI state for </w:t>
      </w:r>
      <w:proofErr w:type="gramStart"/>
      <w:r w:rsidRPr="006778E8">
        <w:rPr>
          <w:b/>
          <w:iCs/>
          <w:lang w:val="en-GB"/>
        </w:rPr>
        <w:t>multi Rx</w:t>
      </w:r>
      <w:proofErr w:type="gramEnd"/>
      <w:r w:rsidRPr="006778E8">
        <w:rPr>
          <w:b/>
          <w:iCs/>
          <w:lang w:val="en-GB"/>
        </w:rPr>
        <w:t xml:space="preserve"> chain capable UEs.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8EE2447" w14:textId="77777777" w:rsidR="009A3C84" w:rsidRPr="00BB224E" w:rsidRDefault="009A3C84" w:rsidP="009A3C84">
      <w:pPr>
        <w:pStyle w:val="ListParagraph"/>
        <w:numPr>
          <w:ilvl w:val="0"/>
          <w:numId w:val="22"/>
        </w:numPr>
        <w:ind w:right="-22"/>
        <w:jc w:val="both"/>
        <w:rPr>
          <w:szCs w:val="20"/>
        </w:rPr>
      </w:pPr>
      <w:bookmarkStart w:id="6" w:name="_Ref114500673"/>
      <w:bookmarkEnd w:id="6"/>
      <w:r w:rsidRPr="00BB224E">
        <w:rPr>
          <w:rFonts w:eastAsia="Times New Roman" w:cs="Times New Roman"/>
          <w:szCs w:val="20"/>
          <w:lang w:eastAsia="zh-CN"/>
        </w:rPr>
        <w:t>R4-2212688</w:t>
      </w:r>
      <w:r w:rsidRPr="00BB224E">
        <w:t xml:space="preserve">, </w:t>
      </w:r>
      <w:r>
        <w:t>“</w:t>
      </w:r>
      <w:r w:rsidRPr="00BB224E">
        <w:t>Discussion on RRM requirements for FR2 multi-Rx chain reception</w:t>
      </w:r>
      <w:r>
        <w:t xml:space="preserve">”, </w:t>
      </w:r>
      <w:r w:rsidRPr="00BB224E">
        <w:rPr>
          <w:rFonts w:eastAsia="Times New Roman" w:cs="Times New Roman"/>
          <w:szCs w:val="20"/>
          <w:lang w:eastAsia="zh-CN"/>
        </w:rPr>
        <w:t>Nokia, Nokia Shanghai Bell</w:t>
      </w:r>
      <w:bookmarkStart w:id="7" w:name="_Ref31651909"/>
      <w:bookmarkStart w:id="8" w:name="_Ref13820109"/>
    </w:p>
    <w:bookmarkEnd w:id="7"/>
    <w:p w14:paraId="12F2948F" w14:textId="77777777" w:rsidR="009A3C84" w:rsidRPr="00BB224E" w:rsidRDefault="009A3C84" w:rsidP="009A3C84">
      <w:pPr>
        <w:pStyle w:val="ListParagraph"/>
        <w:numPr>
          <w:ilvl w:val="0"/>
          <w:numId w:val="22"/>
        </w:numPr>
        <w:ind w:right="-22"/>
        <w:jc w:val="both"/>
        <w:rPr>
          <w:szCs w:val="20"/>
        </w:rPr>
      </w:pPr>
      <w:r w:rsidRPr="00BB224E">
        <w:rPr>
          <w:szCs w:val="20"/>
        </w:rPr>
        <w:t>RP-221753, "Revised WID: Requirement for NR frequency range 2 (FR2) multi-Rx chain DL reception", Qualcomm</w:t>
      </w:r>
      <w:bookmarkEnd w:id="8"/>
    </w:p>
    <w:p w14:paraId="7F39E07A" w14:textId="77777777" w:rsidR="009A3C84" w:rsidRPr="005B328B" w:rsidRDefault="009A3C84" w:rsidP="009A3C84">
      <w:pPr>
        <w:pStyle w:val="ListParagraph"/>
        <w:numPr>
          <w:ilvl w:val="0"/>
          <w:numId w:val="22"/>
        </w:numPr>
        <w:tabs>
          <w:tab w:val="left" w:pos="2410"/>
        </w:tabs>
        <w:ind w:right="-22"/>
        <w:rPr>
          <w:szCs w:val="20"/>
        </w:rPr>
      </w:pPr>
      <w:bookmarkStart w:id="9" w:name="_Ref115419449"/>
      <w:r w:rsidRPr="005B328B">
        <w:rPr>
          <w:szCs w:val="20"/>
        </w:rPr>
        <w:t>R4-</w:t>
      </w:r>
      <w:r w:rsidRPr="000D3A65">
        <w:rPr>
          <w:szCs w:val="20"/>
        </w:rPr>
        <w:t>2214344</w:t>
      </w:r>
      <w:r>
        <w:rPr>
          <w:szCs w:val="20"/>
        </w:rPr>
        <w:t>, “</w:t>
      </w:r>
      <w:r w:rsidRPr="009E453E">
        <w:rPr>
          <w:szCs w:val="20"/>
        </w:rPr>
        <w:t xml:space="preserve">WF on FR2 multi-Rx </w:t>
      </w:r>
      <w:r>
        <w:rPr>
          <w:szCs w:val="20"/>
        </w:rPr>
        <w:t>RRM”, Vivo</w:t>
      </w:r>
      <w:bookmarkEnd w:id="9"/>
    </w:p>
    <w:p w14:paraId="39C69540" w14:textId="168E375A" w:rsidR="00687FA0" w:rsidRPr="005A7832" w:rsidRDefault="00687FA0" w:rsidP="007B0671">
      <w:pPr>
        <w:pStyle w:val="ListParagraph"/>
        <w:ind w:right="-22"/>
        <w:jc w:val="both"/>
        <w:rPr>
          <w:szCs w:val="20"/>
        </w:rPr>
      </w:pPr>
    </w:p>
    <w:sectPr w:rsidR="00687FA0" w:rsidRPr="005A783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5C85" w14:textId="77777777" w:rsidR="00E164BD" w:rsidRDefault="00E164BD" w:rsidP="00001C9B">
      <w:pPr>
        <w:spacing w:after="0" w:line="240" w:lineRule="auto"/>
      </w:pPr>
      <w:r>
        <w:separator/>
      </w:r>
    </w:p>
  </w:endnote>
  <w:endnote w:type="continuationSeparator" w:id="0">
    <w:p w14:paraId="0D8F9D85" w14:textId="77777777" w:rsidR="00E164BD" w:rsidRDefault="00E164BD" w:rsidP="00001C9B">
      <w:pPr>
        <w:spacing w:after="0" w:line="240" w:lineRule="auto"/>
      </w:pPr>
      <w:r>
        <w:continuationSeparator/>
      </w:r>
    </w:p>
  </w:endnote>
  <w:endnote w:type="continuationNotice" w:id="1">
    <w:p w14:paraId="1F1B0DF6" w14:textId="77777777" w:rsidR="00E164BD" w:rsidRDefault="00E164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ADE7" w14:textId="77777777" w:rsidR="00E164BD" w:rsidRDefault="00E164BD" w:rsidP="00001C9B">
      <w:pPr>
        <w:spacing w:after="0" w:line="240" w:lineRule="auto"/>
      </w:pPr>
      <w:r>
        <w:separator/>
      </w:r>
    </w:p>
  </w:footnote>
  <w:footnote w:type="continuationSeparator" w:id="0">
    <w:p w14:paraId="0920EDF2" w14:textId="77777777" w:rsidR="00E164BD" w:rsidRDefault="00E164BD" w:rsidP="00001C9B">
      <w:pPr>
        <w:spacing w:after="0" w:line="240" w:lineRule="auto"/>
      </w:pPr>
      <w:r>
        <w:continuationSeparator/>
      </w:r>
    </w:p>
  </w:footnote>
  <w:footnote w:type="continuationNotice" w:id="1">
    <w:p w14:paraId="0C7128DE" w14:textId="77777777" w:rsidR="00E164BD" w:rsidRDefault="00E164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8955EA"/>
    <w:multiLevelType w:val="hybridMultilevel"/>
    <w:tmpl w:val="C0D4F6B0"/>
    <w:lvl w:ilvl="0" w:tplc="4C0CBE6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E12520"/>
    <w:multiLevelType w:val="hybridMultilevel"/>
    <w:tmpl w:val="E52EB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45C8F"/>
    <w:multiLevelType w:val="hybridMultilevel"/>
    <w:tmpl w:val="FFFFFFFF"/>
    <w:lvl w:ilvl="0" w:tplc="E55E087A">
      <w:start w:val="1"/>
      <w:numFmt w:val="bullet"/>
      <w:lvlText w:val=""/>
      <w:lvlJc w:val="left"/>
      <w:pPr>
        <w:ind w:left="720" w:hanging="360"/>
      </w:pPr>
      <w:rPr>
        <w:rFonts w:ascii="Symbol" w:hAnsi="Symbol" w:hint="default"/>
      </w:rPr>
    </w:lvl>
    <w:lvl w:ilvl="1" w:tplc="727ED87C">
      <w:start w:val="1"/>
      <w:numFmt w:val="bullet"/>
      <w:lvlText w:val="o"/>
      <w:lvlJc w:val="left"/>
      <w:pPr>
        <w:ind w:left="1440" w:hanging="360"/>
      </w:pPr>
      <w:rPr>
        <w:rFonts w:ascii="Courier New" w:hAnsi="Courier New" w:hint="default"/>
      </w:rPr>
    </w:lvl>
    <w:lvl w:ilvl="2" w:tplc="A32C4D7A">
      <w:start w:val="1"/>
      <w:numFmt w:val="bullet"/>
      <w:lvlText w:val=""/>
      <w:lvlJc w:val="left"/>
      <w:pPr>
        <w:ind w:left="2160" w:hanging="360"/>
      </w:pPr>
      <w:rPr>
        <w:rFonts w:ascii="Wingdings" w:hAnsi="Wingdings" w:hint="default"/>
      </w:rPr>
    </w:lvl>
    <w:lvl w:ilvl="3" w:tplc="B2F83FF2">
      <w:start w:val="1"/>
      <w:numFmt w:val="bullet"/>
      <w:lvlText w:val=""/>
      <w:lvlJc w:val="left"/>
      <w:pPr>
        <w:ind w:left="2880" w:hanging="360"/>
      </w:pPr>
      <w:rPr>
        <w:rFonts w:ascii="Symbol" w:hAnsi="Symbol" w:hint="default"/>
      </w:rPr>
    </w:lvl>
    <w:lvl w:ilvl="4" w:tplc="A924641A">
      <w:start w:val="1"/>
      <w:numFmt w:val="bullet"/>
      <w:lvlText w:val="o"/>
      <w:lvlJc w:val="left"/>
      <w:pPr>
        <w:ind w:left="3600" w:hanging="360"/>
      </w:pPr>
      <w:rPr>
        <w:rFonts w:ascii="Courier New" w:hAnsi="Courier New" w:hint="default"/>
      </w:rPr>
    </w:lvl>
    <w:lvl w:ilvl="5" w:tplc="C720A5EA">
      <w:start w:val="1"/>
      <w:numFmt w:val="bullet"/>
      <w:lvlText w:val=""/>
      <w:lvlJc w:val="left"/>
      <w:pPr>
        <w:ind w:left="4320" w:hanging="360"/>
      </w:pPr>
      <w:rPr>
        <w:rFonts w:ascii="Wingdings" w:hAnsi="Wingdings" w:hint="default"/>
      </w:rPr>
    </w:lvl>
    <w:lvl w:ilvl="6" w:tplc="775205F2">
      <w:start w:val="1"/>
      <w:numFmt w:val="bullet"/>
      <w:lvlText w:val=""/>
      <w:lvlJc w:val="left"/>
      <w:pPr>
        <w:ind w:left="5040" w:hanging="360"/>
      </w:pPr>
      <w:rPr>
        <w:rFonts w:ascii="Symbol" w:hAnsi="Symbol" w:hint="default"/>
      </w:rPr>
    </w:lvl>
    <w:lvl w:ilvl="7" w:tplc="5FD4CB6A">
      <w:start w:val="1"/>
      <w:numFmt w:val="bullet"/>
      <w:lvlText w:val="o"/>
      <w:lvlJc w:val="left"/>
      <w:pPr>
        <w:ind w:left="5760" w:hanging="360"/>
      </w:pPr>
      <w:rPr>
        <w:rFonts w:ascii="Courier New" w:hAnsi="Courier New" w:hint="default"/>
      </w:rPr>
    </w:lvl>
    <w:lvl w:ilvl="8" w:tplc="204C5240">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552EF5"/>
    <w:multiLevelType w:val="hybridMultilevel"/>
    <w:tmpl w:val="31C47772"/>
    <w:lvl w:ilvl="0" w:tplc="5A54A5D4">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10806"/>
    <w:multiLevelType w:val="hybridMultilevel"/>
    <w:tmpl w:val="D8A24D0A"/>
    <w:lvl w:ilvl="0" w:tplc="7A74215A">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89F79B2"/>
    <w:multiLevelType w:val="hybridMultilevel"/>
    <w:tmpl w:val="54FC9B2C"/>
    <w:lvl w:ilvl="0" w:tplc="C3621712">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1"/>
  </w:num>
  <w:num w:numId="5">
    <w:abstractNumId w:val="4"/>
  </w:num>
  <w:num w:numId="6">
    <w:abstractNumId w:val="15"/>
  </w:num>
  <w:num w:numId="7">
    <w:abstractNumId w:val="8"/>
  </w:num>
  <w:num w:numId="8">
    <w:abstractNumId w:val="10"/>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8"/>
    <w:lvlOverride w:ilvl="0">
      <w:startOverride w:val="1"/>
    </w:lvlOverride>
  </w:num>
  <w:num w:numId="13">
    <w:abstractNumId w:val="10"/>
    <w:lvlOverride w:ilvl="0">
      <w:startOverride w:val="1"/>
    </w:lvlOverride>
  </w:num>
  <w:num w:numId="14">
    <w:abstractNumId w:val="8"/>
    <w:lvlOverride w:ilvl="0">
      <w:startOverride w:val="1"/>
    </w:lvlOverride>
  </w:num>
  <w:num w:numId="15">
    <w:abstractNumId w:val="10"/>
    <w:lvlOverride w:ilvl="0">
      <w:startOverride w:val="1"/>
    </w:lvlOverride>
  </w:num>
  <w:num w:numId="16">
    <w:abstractNumId w:val="17"/>
  </w:num>
  <w:num w:numId="17">
    <w:abstractNumId w:val="2"/>
  </w:num>
  <w:num w:numId="18">
    <w:abstractNumId w:val="14"/>
  </w:num>
  <w:num w:numId="19">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8"/>
    <w:lvlOverride w:ilvl="0">
      <w:startOverride w:val="1"/>
    </w:lvlOverride>
  </w:num>
  <w:num w:numId="24">
    <w:abstractNumId w:val="10"/>
    <w:lvlOverride w:ilvl="0">
      <w:startOverride w:val="1"/>
    </w:lvlOverride>
  </w:num>
  <w:num w:numId="25">
    <w:abstractNumId w:val="14"/>
  </w:num>
  <w:num w:numId="26">
    <w:abstractNumId w:val="9"/>
  </w:num>
  <w:num w:numId="27">
    <w:abstractNumId w:val="8"/>
  </w:num>
  <w:num w:numId="28">
    <w:abstractNumId w:val="8"/>
  </w:num>
  <w:num w:numId="29">
    <w:abstractNumId w:val="8"/>
  </w:num>
  <w:num w:numId="30">
    <w:abstractNumId w:val="8"/>
    <w:lvlOverride w:ilvl="0">
      <w:startOverride w:val="1"/>
    </w:lvlOverride>
  </w:num>
  <w:num w:numId="31">
    <w:abstractNumId w:val="10"/>
    <w:lvlOverride w:ilvl="0">
      <w:startOverride w:val="1"/>
    </w:lvlOverride>
  </w:num>
  <w:num w:numId="32">
    <w:abstractNumId w:val="10"/>
  </w:num>
  <w:num w:numId="33">
    <w:abstractNumId w:val="10"/>
  </w:num>
  <w:num w:numId="34">
    <w:abstractNumId w:val="8"/>
  </w:num>
  <w:num w:numId="35">
    <w:abstractNumId w:val="10"/>
    <w:lvlOverride w:ilvl="0">
      <w:startOverride w:val="1"/>
    </w:lvlOverride>
  </w:num>
  <w:num w:numId="36">
    <w:abstractNumId w:val="10"/>
  </w:num>
  <w:num w:numId="37">
    <w:abstractNumId w:val="8"/>
  </w:num>
  <w:num w:numId="38">
    <w:abstractNumId w:val="3"/>
  </w:num>
  <w:num w:numId="39">
    <w:abstractNumId w:val="1"/>
  </w:num>
  <w:num w:numId="40">
    <w:abstractNumId w:val="13"/>
  </w:num>
  <w:num w:numId="41">
    <w:abstractNumId w:val="16"/>
  </w:num>
  <w:num w:numId="42">
    <w:abstractNumId w:val="10"/>
    <w:lvlOverride w:ilvl="0">
      <w:startOverride w:val="1"/>
    </w:lvlOverride>
  </w:num>
  <w:num w:numId="43">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03FF6"/>
    <w:rsid w:val="000069B3"/>
    <w:rsid w:val="00010397"/>
    <w:rsid w:val="00011C81"/>
    <w:rsid w:val="00012DAD"/>
    <w:rsid w:val="00014223"/>
    <w:rsid w:val="00014FF2"/>
    <w:rsid w:val="00017BA1"/>
    <w:rsid w:val="00023C59"/>
    <w:rsid w:val="00025FDE"/>
    <w:rsid w:val="000309A7"/>
    <w:rsid w:val="00035920"/>
    <w:rsid w:val="00036E13"/>
    <w:rsid w:val="00042DCF"/>
    <w:rsid w:val="000451C5"/>
    <w:rsid w:val="000456C5"/>
    <w:rsid w:val="0004607D"/>
    <w:rsid w:val="0005341D"/>
    <w:rsid w:val="000563AA"/>
    <w:rsid w:val="00056489"/>
    <w:rsid w:val="00061501"/>
    <w:rsid w:val="0006264B"/>
    <w:rsid w:val="00064A01"/>
    <w:rsid w:val="00064A99"/>
    <w:rsid w:val="00066882"/>
    <w:rsid w:val="000669A3"/>
    <w:rsid w:val="000677AC"/>
    <w:rsid w:val="00067D7F"/>
    <w:rsid w:val="0007249B"/>
    <w:rsid w:val="00073F01"/>
    <w:rsid w:val="00074351"/>
    <w:rsid w:val="00075C1B"/>
    <w:rsid w:val="00077AB8"/>
    <w:rsid w:val="00081736"/>
    <w:rsid w:val="0008612A"/>
    <w:rsid w:val="0008692A"/>
    <w:rsid w:val="000906DB"/>
    <w:rsid w:val="00090765"/>
    <w:rsid w:val="00090E18"/>
    <w:rsid w:val="00090F59"/>
    <w:rsid w:val="000914EF"/>
    <w:rsid w:val="00091773"/>
    <w:rsid w:val="000940DA"/>
    <w:rsid w:val="0009415F"/>
    <w:rsid w:val="000941D9"/>
    <w:rsid w:val="000A330A"/>
    <w:rsid w:val="000A3540"/>
    <w:rsid w:val="000A5743"/>
    <w:rsid w:val="000A6547"/>
    <w:rsid w:val="000A7316"/>
    <w:rsid w:val="000B0056"/>
    <w:rsid w:val="000B164B"/>
    <w:rsid w:val="000B1EF0"/>
    <w:rsid w:val="000B1FFD"/>
    <w:rsid w:val="000B696F"/>
    <w:rsid w:val="000C04F9"/>
    <w:rsid w:val="000C06AD"/>
    <w:rsid w:val="000C5108"/>
    <w:rsid w:val="000C54DA"/>
    <w:rsid w:val="000C5DB3"/>
    <w:rsid w:val="000C6020"/>
    <w:rsid w:val="000C66DC"/>
    <w:rsid w:val="000C69A1"/>
    <w:rsid w:val="000C7C74"/>
    <w:rsid w:val="000E3022"/>
    <w:rsid w:val="000E56C4"/>
    <w:rsid w:val="000E6CCC"/>
    <w:rsid w:val="000F1939"/>
    <w:rsid w:val="000F38B9"/>
    <w:rsid w:val="000F3A20"/>
    <w:rsid w:val="000F3E79"/>
    <w:rsid w:val="000F41F0"/>
    <w:rsid w:val="000F518F"/>
    <w:rsid w:val="000F54EE"/>
    <w:rsid w:val="000F6DFE"/>
    <w:rsid w:val="001020F9"/>
    <w:rsid w:val="00102EED"/>
    <w:rsid w:val="001046B6"/>
    <w:rsid w:val="00110D44"/>
    <w:rsid w:val="001149B6"/>
    <w:rsid w:val="00114AE8"/>
    <w:rsid w:val="001207F9"/>
    <w:rsid w:val="00121309"/>
    <w:rsid w:val="00121C67"/>
    <w:rsid w:val="00122F02"/>
    <w:rsid w:val="00123D7D"/>
    <w:rsid w:val="0012502F"/>
    <w:rsid w:val="001255D1"/>
    <w:rsid w:val="00125B0D"/>
    <w:rsid w:val="001264F8"/>
    <w:rsid w:val="00126805"/>
    <w:rsid w:val="001313B4"/>
    <w:rsid w:val="00132C72"/>
    <w:rsid w:val="00133AA9"/>
    <w:rsid w:val="00135908"/>
    <w:rsid w:val="00140221"/>
    <w:rsid w:val="001412BB"/>
    <w:rsid w:val="001429E4"/>
    <w:rsid w:val="00142B39"/>
    <w:rsid w:val="001445E4"/>
    <w:rsid w:val="00145390"/>
    <w:rsid w:val="0014558A"/>
    <w:rsid w:val="00145C84"/>
    <w:rsid w:val="0014624F"/>
    <w:rsid w:val="00146CA8"/>
    <w:rsid w:val="00147F7A"/>
    <w:rsid w:val="00150F68"/>
    <w:rsid w:val="00152FFC"/>
    <w:rsid w:val="0015334F"/>
    <w:rsid w:val="001550CB"/>
    <w:rsid w:val="001568B0"/>
    <w:rsid w:val="00162CEA"/>
    <w:rsid w:val="00165A27"/>
    <w:rsid w:val="00165B1B"/>
    <w:rsid w:val="00165E9D"/>
    <w:rsid w:val="00167897"/>
    <w:rsid w:val="00170750"/>
    <w:rsid w:val="0017240B"/>
    <w:rsid w:val="001745F8"/>
    <w:rsid w:val="001754A9"/>
    <w:rsid w:val="0018104A"/>
    <w:rsid w:val="00182B0D"/>
    <w:rsid w:val="00183521"/>
    <w:rsid w:val="001838CF"/>
    <w:rsid w:val="0018400B"/>
    <w:rsid w:val="001868EE"/>
    <w:rsid w:val="0019123C"/>
    <w:rsid w:val="001915DC"/>
    <w:rsid w:val="00193E2B"/>
    <w:rsid w:val="00194CA2"/>
    <w:rsid w:val="00196817"/>
    <w:rsid w:val="00197ADB"/>
    <w:rsid w:val="00197DD5"/>
    <w:rsid w:val="001A1AC7"/>
    <w:rsid w:val="001A25E1"/>
    <w:rsid w:val="001A3559"/>
    <w:rsid w:val="001A3BA4"/>
    <w:rsid w:val="001B0C47"/>
    <w:rsid w:val="001B26CB"/>
    <w:rsid w:val="001B345B"/>
    <w:rsid w:val="001B67BC"/>
    <w:rsid w:val="001B6990"/>
    <w:rsid w:val="001C42F5"/>
    <w:rsid w:val="001C673B"/>
    <w:rsid w:val="001D0015"/>
    <w:rsid w:val="001D32D8"/>
    <w:rsid w:val="001D4CFD"/>
    <w:rsid w:val="001D64A7"/>
    <w:rsid w:val="001E0F50"/>
    <w:rsid w:val="001E2C6C"/>
    <w:rsid w:val="001E30F6"/>
    <w:rsid w:val="001E36B4"/>
    <w:rsid w:val="001F0E90"/>
    <w:rsid w:val="001F4289"/>
    <w:rsid w:val="001F5482"/>
    <w:rsid w:val="001F71A5"/>
    <w:rsid w:val="0020138C"/>
    <w:rsid w:val="00202F65"/>
    <w:rsid w:val="00202F81"/>
    <w:rsid w:val="002052E6"/>
    <w:rsid w:val="0021040B"/>
    <w:rsid w:val="002108EA"/>
    <w:rsid w:val="002125FF"/>
    <w:rsid w:val="002134A6"/>
    <w:rsid w:val="00214FA2"/>
    <w:rsid w:val="00215B76"/>
    <w:rsid w:val="0021770F"/>
    <w:rsid w:val="0022054C"/>
    <w:rsid w:val="00222960"/>
    <w:rsid w:val="00223BAB"/>
    <w:rsid w:val="00226454"/>
    <w:rsid w:val="002310F5"/>
    <w:rsid w:val="00233914"/>
    <w:rsid w:val="00235F5C"/>
    <w:rsid w:val="002373FA"/>
    <w:rsid w:val="00237A6B"/>
    <w:rsid w:val="002400D4"/>
    <w:rsid w:val="00244DFD"/>
    <w:rsid w:val="002461D8"/>
    <w:rsid w:val="002468CA"/>
    <w:rsid w:val="00251C05"/>
    <w:rsid w:val="0025396F"/>
    <w:rsid w:val="00256EAF"/>
    <w:rsid w:val="002609C2"/>
    <w:rsid w:val="00261C37"/>
    <w:rsid w:val="002644BD"/>
    <w:rsid w:val="00266726"/>
    <w:rsid w:val="00266733"/>
    <w:rsid w:val="00266DCE"/>
    <w:rsid w:val="002670D0"/>
    <w:rsid w:val="00271E21"/>
    <w:rsid w:val="00274751"/>
    <w:rsid w:val="002756F7"/>
    <w:rsid w:val="002761F7"/>
    <w:rsid w:val="00276C79"/>
    <w:rsid w:val="00277762"/>
    <w:rsid w:val="00280FF0"/>
    <w:rsid w:val="00281405"/>
    <w:rsid w:val="00281D7B"/>
    <w:rsid w:val="0028300C"/>
    <w:rsid w:val="00283474"/>
    <w:rsid w:val="002853FA"/>
    <w:rsid w:val="0028779F"/>
    <w:rsid w:val="002A026D"/>
    <w:rsid w:val="002A1444"/>
    <w:rsid w:val="002A3B05"/>
    <w:rsid w:val="002A5AD0"/>
    <w:rsid w:val="002A5E94"/>
    <w:rsid w:val="002B1F9E"/>
    <w:rsid w:val="002B4922"/>
    <w:rsid w:val="002B6D17"/>
    <w:rsid w:val="002B729D"/>
    <w:rsid w:val="002C0160"/>
    <w:rsid w:val="002C25F5"/>
    <w:rsid w:val="002C2D19"/>
    <w:rsid w:val="002D0383"/>
    <w:rsid w:val="002D10FA"/>
    <w:rsid w:val="002D1E33"/>
    <w:rsid w:val="002D4521"/>
    <w:rsid w:val="002D4C55"/>
    <w:rsid w:val="002D4D6F"/>
    <w:rsid w:val="002D6544"/>
    <w:rsid w:val="002D7E8E"/>
    <w:rsid w:val="002E0B7C"/>
    <w:rsid w:val="002E5BA1"/>
    <w:rsid w:val="002E708A"/>
    <w:rsid w:val="002F18DA"/>
    <w:rsid w:val="002F2F4C"/>
    <w:rsid w:val="002F40EB"/>
    <w:rsid w:val="002F64E1"/>
    <w:rsid w:val="002F6AD8"/>
    <w:rsid w:val="002F7288"/>
    <w:rsid w:val="00301E98"/>
    <w:rsid w:val="00303734"/>
    <w:rsid w:val="003038F4"/>
    <w:rsid w:val="003039BA"/>
    <w:rsid w:val="0030624C"/>
    <w:rsid w:val="00306EAA"/>
    <w:rsid w:val="0031262E"/>
    <w:rsid w:val="00314959"/>
    <w:rsid w:val="00316AC5"/>
    <w:rsid w:val="00316F19"/>
    <w:rsid w:val="00317393"/>
    <w:rsid w:val="00317A75"/>
    <w:rsid w:val="0032015B"/>
    <w:rsid w:val="00320908"/>
    <w:rsid w:val="00320BD4"/>
    <w:rsid w:val="00323DE3"/>
    <w:rsid w:val="0032499A"/>
    <w:rsid w:val="00331B66"/>
    <w:rsid w:val="00335BED"/>
    <w:rsid w:val="0034040B"/>
    <w:rsid w:val="00341955"/>
    <w:rsid w:val="00341BAA"/>
    <w:rsid w:val="003446C6"/>
    <w:rsid w:val="0035519F"/>
    <w:rsid w:val="00357BDA"/>
    <w:rsid w:val="00360BF0"/>
    <w:rsid w:val="003616B0"/>
    <w:rsid w:val="003619FD"/>
    <w:rsid w:val="00363BF6"/>
    <w:rsid w:val="003656EE"/>
    <w:rsid w:val="003704B4"/>
    <w:rsid w:val="00371F5C"/>
    <w:rsid w:val="003730FB"/>
    <w:rsid w:val="00373735"/>
    <w:rsid w:val="003762DB"/>
    <w:rsid w:val="00376D17"/>
    <w:rsid w:val="00381CB6"/>
    <w:rsid w:val="003821B9"/>
    <w:rsid w:val="00384D27"/>
    <w:rsid w:val="00386552"/>
    <w:rsid w:val="003903A0"/>
    <w:rsid w:val="0039419B"/>
    <w:rsid w:val="003953EA"/>
    <w:rsid w:val="003A048C"/>
    <w:rsid w:val="003A2E47"/>
    <w:rsid w:val="003A67F6"/>
    <w:rsid w:val="003A710A"/>
    <w:rsid w:val="003A793F"/>
    <w:rsid w:val="003A7B4C"/>
    <w:rsid w:val="003A7FB2"/>
    <w:rsid w:val="003B0D8C"/>
    <w:rsid w:val="003B1425"/>
    <w:rsid w:val="003B14E8"/>
    <w:rsid w:val="003B3E65"/>
    <w:rsid w:val="003B450F"/>
    <w:rsid w:val="003B531E"/>
    <w:rsid w:val="003B62B8"/>
    <w:rsid w:val="003B659E"/>
    <w:rsid w:val="003B7529"/>
    <w:rsid w:val="003B7871"/>
    <w:rsid w:val="003C186D"/>
    <w:rsid w:val="003C4DA8"/>
    <w:rsid w:val="003C7B1D"/>
    <w:rsid w:val="003D045E"/>
    <w:rsid w:val="003D0740"/>
    <w:rsid w:val="003D0AC0"/>
    <w:rsid w:val="003D1A9F"/>
    <w:rsid w:val="003D1E8B"/>
    <w:rsid w:val="003D2DD2"/>
    <w:rsid w:val="003D36C0"/>
    <w:rsid w:val="003D3D2B"/>
    <w:rsid w:val="003D5358"/>
    <w:rsid w:val="003D6485"/>
    <w:rsid w:val="003D6DF0"/>
    <w:rsid w:val="003D7B06"/>
    <w:rsid w:val="003E0E86"/>
    <w:rsid w:val="003E0F5E"/>
    <w:rsid w:val="003E15AA"/>
    <w:rsid w:val="003E303B"/>
    <w:rsid w:val="003E41F9"/>
    <w:rsid w:val="003E4894"/>
    <w:rsid w:val="003E4E80"/>
    <w:rsid w:val="003F01D3"/>
    <w:rsid w:val="003F0239"/>
    <w:rsid w:val="003F25A8"/>
    <w:rsid w:val="003F2E01"/>
    <w:rsid w:val="003F5948"/>
    <w:rsid w:val="003F76D8"/>
    <w:rsid w:val="00400FF5"/>
    <w:rsid w:val="004022E6"/>
    <w:rsid w:val="00405522"/>
    <w:rsid w:val="00405906"/>
    <w:rsid w:val="0040664A"/>
    <w:rsid w:val="00406925"/>
    <w:rsid w:val="00410C41"/>
    <w:rsid w:val="00412F12"/>
    <w:rsid w:val="00412F8E"/>
    <w:rsid w:val="00413CD4"/>
    <w:rsid w:val="004145CD"/>
    <w:rsid w:val="004150FC"/>
    <w:rsid w:val="004153AA"/>
    <w:rsid w:val="00417AB0"/>
    <w:rsid w:val="00420CFD"/>
    <w:rsid w:val="00421834"/>
    <w:rsid w:val="00424385"/>
    <w:rsid w:val="00424E6E"/>
    <w:rsid w:val="004326D4"/>
    <w:rsid w:val="00432E1C"/>
    <w:rsid w:val="00432E7A"/>
    <w:rsid w:val="004339C1"/>
    <w:rsid w:val="004354DB"/>
    <w:rsid w:val="00435A02"/>
    <w:rsid w:val="0043750A"/>
    <w:rsid w:val="00440C1A"/>
    <w:rsid w:val="00444008"/>
    <w:rsid w:val="00447A1A"/>
    <w:rsid w:val="004515C3"/>
    <w:rsid w:val="00451AB9"/>
    <w:rsid w:val="00452F8F"/>
    <w:rsid w:val="0045461A"/>
    <w:rsid w:val="004561A0"/>
    <w:rsid w:val="004576F1"/>
    <w:rsid w:val="00460709"/>
    <w:rsid w:val="00461CFB"/>
    <w:rsid w:val="00462F74"/>
    <w:rsid w:val="00463AE2"/>
    <w:rsid w:val="00471CBA"/>
    <w:rsid w:val="0047495A"/>
    <w:rsid w:val="004749A6"/>
    <w:rsid w:val="00474C3D"/>
    <w:rsid w:val="00475F7F"/>
    <w:rsid w:val="0047697C"/>
    <w:rsid w:val="00476C87"/>
    <w:rsid w:val="00480506"/>
    <w:rsid w:val="004853E9"/>
    <w:rsid w:val="004854BB"/>
    <w:rsid w:val="004919C5"/>
    <w:rsid w:val="00497B2E"/>
    <w:rsid w:val="004A1B75"/>
    <w:rsid w:val="004A256F"/>
    <w:rsid w:val="004A2579"/>
    <w:rsid w:val="004A2864"/>
    <w:rsid w:val="004A4288"/>
    <w:rsid w:val="004A64D2"/>
    <w:rsid w:val="004B0074"/>
    <w:rsid w:val="004B0EAB"/>
    <w:rsid w:val="004B10EC"/>
    <w:rsid w:val="004B1268"/>
    <w:rsid w:val="004B1FED"/>
    <w:rsid w:val="004B2A41"/>
    <w:rsid w:val="004B5B7D"/>
    <w:rsid w:val="004C0327"/>
    <w:rsid w:val="004C0722"/>
    <w:rsid w:val="004C11C9"/>
    <w:rsid w:val="004C1263"/>
    <w:rsid w:val="004C5FA2"/>
    <w:rsid w:val="004C7877"/>
    <w:rsid w:val="004D30B9"/>
    <w:rsid w:val="004D459A"/>
    <w:rsid w:val="004D48FD"/>
    <w:rsid w:val="004D4ABD"/>
    <w:rsid w:val="004D703D"/>
    <w:rsid w:val="004D7124"/>
    <w:rsid w:val="004E0403"/>
    <w:rsid w:val="004E137B"/>
    <w:rsid w:val="004E5E66"/>
    <w:rsid w:val="004E659D"/>
    <w:rsid w:val="004F38ED"/>
    <w:rsid w:val="004F409D"/>
    <w:rsid w:val="004F7080"/>
    <w:rsid w:val="004F74DB"/>
    <w:rsid w:val="00501D34"/>
    <w:rsid w:val="00503B4D"/>
    <w:rsid w:val="00504EE9"/>
    <w:rsid w:val="00506F7E"/>
    <w:rsid w:val="005076DF"/>
    <w:rsid w:val="00507D07"/>
    <w:rsid w:val="00510726"/>
    <w:rsid w:val="00510A72"/>
    <w:rsid w:val="00512501"/>
    <w:rsid w:val="00513778"/>
    <w:rsid w:val="00515CAB"/>
    <w:rsid w:val="00515FD3"/>
    <w:rsid w:val="0051679F"/>
    <w:rsid w:val="00516AE5"/>
    <w:rsid w:val="0051757C"/>
    <w:rsid w:val="0052008A"/>
    <w:rsid w:val="00521C68"/>
    <w:rsid w:val="00522E56"/>
    <w:rsid w:val="0052456B"/>
    <w:rsid w:val="00527491"/>
    <w:rsid w:val="00527E76"/>
    <w:rsid w:val="00534CAE"/>
    <w:rsid w:val="00536A07"/>
    <w:rsid w:val="00537BFA"/>
    <w:rsid w:val="0054123D"/>
    <w:rsid w:val="00542AD4"/>
    <w:rsid w:val="0054442C"/>
    <w:rsid w:val="00547EC5"/>
    <w:rsid w:val="00550020"/>
    <w:rsid w:val="00550285"/>
    <w:rsid w:val="00551564"/>
    <w:rsid w:val="005526CE"/>
    <w:rsid w:val="00556B09"/>
    <w:rsid w:val="0055724D"/>
    <w:rsid w:val="005576A8"/>
    <w:rsid w:val="00557808"/>
    <w:rsid w:val="0056177D"/>
    <w:rsid w:val="00566E01"/>
    <w:rsid w:val="00567038"/>
    <w:rsid w:val="00570D89"/>
    <w:rsid w:val="00570E94"/>
    <w:rsid w:val="00572A20"/>
    <w:rsid w:val="00573429"/>
    <w:rsid w:val="00575706"/>
    <w:rsid w:val="0058300F"/>
    <w:rsid w:val="005836F8"/>
    <w:rsid w:val="00586B71"/>
    <w:rsid w:val="005918FA"/>
    <w:rsid w:val="005928EF"/>
    <w:rsid w:val="005962E0"/>
    <w:rsid w:val="005A181D"/>
    <w:rsid w:val="005A3545"/>
    <w:rsid w:val="005A45C9"/>
    <w:rsid w:val="005A4968"/>
    <w:rsid w:val="005A5059"/>
    <w:rsid w:val="005A7297"/>
    <w:rsid w:val="005A7832"/>
    <w:rsid w:val="005B3517"/>
    <w:rsid w:val="005B4801"/>
    <w:rsid w:val="005B71F9"/>
    <w:rsid w:val="005B7848"/>
    <w:rsid w:val="005C0D91"/>
    <w:rsid w:val="005C0EFA"/>
    <w:rsid w:val="005C15CB"/>
    <w:rsid w:val="005C23A4"/>
    <w:rsid w:val="005C31B9"/>
    <w:rsid w:val="005C33DE"/>
    <w:rsid w:val="005C33E3"/>
    <w:rsid w:val="005C4799"/>
    <w:rsid w:val="005C4BD6"/>
    <w:rsid w:val="005C4FE7"/>
    <w:rsid w:val="005C56FE"/>
    <w:rsid w:val="005C5E96"/>
    <w:rsid w:val="005C7CAA"/>
    <w:rsid w:val="005D1CDF"/>
    <w:rsid w:val="005D649E"/>
    <w:rsid w:val="005E61A8"/>
    <w:rsid w:val="005E76B7"/>
    <w:rsid w:val="005F0634"/>
    <w:rsid w:val="005F205C"/>
    <w:rsid w:val="005F3457"/>
    <w:rsid w:val="005F5DDA"/>
    <w:rsid w:val="005F6419"/>
    <w:rsid w:val="005F70E7"/>
    <w:rsid w:val="005F726D"/>
    <w:rsid w:val="00602C12"/>
    <w:rsid w:val="00606B19"/>
    <w:rsid w:val="006105C4"/>
    <w:rsid w:val="00610F3C"/>
    <w:rsid w:val="00611B25"/>
    <w:rsid w:val="00612F4D"/>
    <w:rsid w:val="00615CDA"/>
    <w:rsid w:val="00617400"/>
    <w:rsid w:val="00617E49"/>
    <w:rsid w:val="006201C8"/>
    <w:rsid w:val="0062129B"/>
    <w:rsid w:val="006231FB"/>
    <w:rsid w:val="00625A9F"/>
    <w:rsid w:val="00625F0A"/>
    <w:rsid w:val="00626783"/>
    <w:rsid w:val="00631EB6"/>
    <w:rsid w:val="00635B3E"/>
    <w:rsid w:val="0064077B"/>
    <w:rsid w:val="00641022"/>
    <w:rsid w:val="0064339A"/>
    <w:rsid w:val="00646B16"/>
    <w:rsid w:val="00647449"/>
    <w:rsid w:val="00650412"/>
    <w:rsid w:val="00650984"/>
    <w:rsid w:val="00656208"/>
    <w:rsid w:val="00656679"/>
    <w:rsid w:val="00657921"/>
    <w:rsid w:val="00664352"/>
    <w:rsid w:val="00664950"/>
    <w:rsid w:val="00666127"/>
    <w:rsid w:val="006665AB"/>
    <w:rsid w:val="00667514"/>
    <w:rsid w:val="00667986"/>
    <w:rsid w:val="006721E2"/>
    <w:rsid w:val="0067499E"/>
    <w:rsid w:val="006750F3"/>
    <w:rsid w:val="006758F6"/>
    <w:rsid w:val="00676038"/>
    <w:rsid w:val="00676224"/>
    <w:rsid w:val="006771B5"/>
    <w:rsid w:val="006775B1"/>
    <w:rsid w:val="006775F4"/>
    <w:rsid w:val="006778E8"/>
    <w:rsid w:val="0068003E"/>
    <w:rsid w:val="006808C7"/>
    <w:rsid w:val="00680B30"/>
    <w:rsid w:val="00680E49"/>
    <w:rsid w:val="00683220"/>
    <w:rsid w:val="006833A9"/>
    <w:rsid w:val="00683C50"/>
    <w:rsid w:val="00683CC0"/>
    <w:rsid w:val="00686FDC"/>
    <w:rsid w:val="00687954"/>
    <w:rsid w:val="00687FA0"/>
    <w:rsid w:val="006908F8"/>
    <w:rsid w:val="00690E33"/>
    <w:rsid w:val="00691296"/>
    <w:rsid w:val="0069135C"/>
    <w:rsid w:val="00691834"/>
    <w:rsid w:val="00691B5F"/>
    <w:rsid w:val="006924F9"/>
    <w:rsid w:val="00695253"/>
    <w:rsid w:val="006A093D"/>
    <w:rsid w:val="006A1483"/>
    <w:rsid w:val="006A2F09"/>
    <w:rsid w:val="006A579F"/>
    <w:rsid w:val="006A7305"/>
    <w:rsid w:val="006A7B5D"/>
    <w:rsid w:val="006B3205"/>
    <w:rsid w:val="006B3470"/>
    <w:rsid w:val="006B492B"/>
    <w:rsid w:val="006B55C5"/>
    <w:rsid w:val="006B5725"/>
    <w:rsid w:val="006B6B03"/>
    <w:rsid w:val="006B6FC2"/>
    <w:rsid w:val="006B7010"/>
    <w:rsid w:val="006C2F5F"/>
    <w:rsid w:val="006C6150"/>
    <w:rsid w:val="006C6703"/>
    <w:rsid w:val="006C7AC0"/>
    <w:rsid w:val="006D09B1"/>
    <w:rsid w:val="006D10E3"/>
    <w:rsid w:val="006D2147"/>
    <w:rsid w:val="006D6306"/>
    <w:rsid w:val="006E297C"/>
    <w:rsid w:val="006E4959"/>
    <w:rsid w:val="006E6311"/>
    <w:rsid w:val="006F084C"/>
    <w:rsid w:val="006F1927"/>
    <w:rsid w:val="006F2114"/>
    <w:rsid w:val="006F269C"/>
    <w:rsid w:val="00700E0E"/>
    <w:rsid w:val="00701533"/>
    <w:rsid w:val="00702131"/>
    <w:rsid w:val="007042E0"/>
    <w:rsid w:val="00704816"/>
    <w:rsid w:val="00705CD8"/>
    <w:rsid w:val="00707144"/>
    <w:rsid w:val="007073CE"/>
    <w:rsid w:val="00710D79"/>
    <w:rsid w:val="00711736"/>
    <w:rsid w:val="00712710"/>
    <w:rsid w:val="007145FF"/>
    <w:rsid w:val="00714C52"/>
    <w:rsid w:val="00715903"/>
    <w:rsid w:val="00715B2A"/>
    <w:rsid w:val="00715DBD"/>
    <w:rsid w:val="007203DB"/>
    <w:rsid w:val="00720845"/>
    <w:rsid w:val="00722B3D"/>
    <w:rsid w:val="007231D2"/>
    <w:rsid w:val="0072666C"/>
    <w:rsid w:val="00733B8B"/>
    <w:rsid w:val="00734784"/>
    <w:rsid w:val="00734790"/>
    <w:rsid w:val="00735D10"/>
    <w:rsid w:val="00737198"/>
    <w:rsid w:val="007372D3"/>
    <w:rsid w:val="007428D9"/>
    <w:rsid w:val="00743AB2"/>
    <w:rsid w:val="007441D0"/>
    <w:rsid w:val="007478A7"/>
    <w:rsid w:val="007505B0"/>
    <w:rsid w:val="00751515"/>
    <w:rsid w:val="00753A57"/>
    <w:rsid w:val="007578A0"/>
    <w:rsid w:val="00764687"/>
    <w:rsid w:val="0077057A"/>
    <w:rsid w:val="007712A4"/>
    <w:rsid w:val="0077295D"/>
    <w:rsid w:val="00773146"/>
    <w:rsid w:val="0077396F"/>
    <w:rsid w:val="00774AAF"/>
    <w:rsid w:val="00776E67"/>
    <w:rsid w:val="00782F43"/>
    <w:rsid w:val="00784DF6"/>
    <w:rsid w:val="00785232"/>
    <w:rsid w:val="007900B5"/>
    <w:rsid w:val="007905F8"/>
    <w:rsid w:val="00790E84"/>
    <w:rsid w:val="007961FF"/>
    <w:rsid w:val="00797A3B"/>
    <w:rsid w:val="007A1166"/>
    <w:rsid w:val="007A1647"/>
    <w:rsid w:val="007A1916"/>
    <w:rsid w:val="007A46A3"/>
    <w:rsid w:val="007A4972"/>
    <w:rsid w:val="007A5C32"/>
    <w:rsid w:val="007A7C4E"/>
    <w:rsid w:val="007B0671"/>
    <w:rsid w:val="007B1A62"/>
    <w:rsid w:val="007B2F1F"/>
    <w:rsid w:val="007B4608"/>
    <w:rsid w:val="007B6814"/>
    <w:rsid w:val="007C0153"/>
    <w:rsid w:val="007C170F"/>
    <w:rsid w:val="007C3B7D"/>
    <w:rsid w:val="007C3ED0"/>
    <w:rsid w:val="007C786F"/>
    <w:rsid w:val="007D0E7F"/>
    <w:rsid w:val="007D3192"/>
    <w:rsid w:val="007E1716"/>
    <w:rsid w:val="007E3412"/>
    <w:rsid w:val="007E4F17"/>
    <w:rsid w:val="007E71F3"/>
    <w:rsid w:val="007E79E3"/>
    <w:rsid w:val="007F0EB0"/>
    <w:rsid w:val="007F1255"/>
    <w:rsid w:val="007F40C7"/>
    <w:rsid w:val="00800141"/>
    <w:rsid w:val="00805EE6"/>
    <w:rsid w:val="00806A76"/>
    <w:rsid w:val="00810E8D"/>
    <w:rsid w:val="00811AEB"/>
    <w:rsid w:val="00811C9D"/>
    <w:rsid w:val="00814E86"/>
    <w:rsid w:val="0081584F"/>
    <w:rsid w:val="00816C80"/>
    <w:rsid w:val="00820167"/>
    <w:rsid w:val="00825309"/>
    <w:rsid w:val="00825602"/>
    <w:rsid w:val="00826812"/>
    <w:rsid w:val="0082709E"/>
    <w:rsid w:val="00830B66"/>
    <w:rsid w:val="00830EA2"/>
    <w:rsid w:val="008323A6"/>
    <w:rsid w:val="00833EA2"/>
    <w:rsid w:val="0083728B"/>
    <w:rsid w:val="008401F6"/>
    <w:rsid w:val="00841BCD"/>
    <w:rsid w:val="00843B1F"/>
    <w:rsid w:val="00850896"/>
    <w:rsid w:val="00851968"/>
    <w:rsid w:val="00851A8E"/>
    <w:rsid w:val="00854BF4"/>
    <w:rsid w:val="00855561"/>
    <w:rsid w:val="0085719D"/>
    <w:rsid w:val="0085738A"/>
    <w:rsid w:val="0085743A"/>
    <w:rsid w:val="00860695"/>
    <w:rsid w:val="008625D5"/>
    <w:rsid w:val="00864B2E"/>
    <w:rsid w:val="00866E74"/>
    <w:rsid w:val="008724A0"/>
    <w:rsid w:val="00875E38"/>
    <w:rsid w:val="008763D0"/>
    <w:rsid w:val="00877F18"/>
    <w:rsid w:val="008804DF"/>
    <w:rsid w:val="00881509"/>
    <w:rsid w:val="00882286"/>
    <w:rsid w:val="0088235C"/>
    <w:rsid w:val="008826C1"/>
    <w:rsid w:val="00884604"/>
    <w:rsid w:val="0088462E"/>
    <w:rsid w:val="00885976"/>
    <w:rsid w:val="00885C65"/>
    <w:rsid w:val="00885EB3"/>
    <w:rsid w:val="00886E09"/>
    <w:rsid w:val="00886F49"/>
    <w:rsid w:val="00887D60"/>
    <w:rsid w:val="00891DF1"/>
    <w:rsid w:val="00897691"/>
    <w:rsid w:val="008A1A83"/>
    <w:rsid w:val="008A41BF"/>
    <w:rsid w:val="008A546C"/>
    <w:rsid w:val="008A586D"/>
    <w:rsid w:val="008A6D3F"/>
    <w:rsid w:val="008A700F"/>
    <w:rsid w:val="008A7785"/>
    <w:rsid w:val="008B0961"/>
    <w:rsid w:val="008B1146"/>
    <w:rsid w:val="008B17F5"/>
    <w:rsid w:val="008B1E7B"/>
    <w:rsid w:val="008B5618"/>
    <w:rsid w:val="008B6AC5"/>
    <w:rsid w:val="008B77A5"/>
    <w:rsid w:val="008C0839"/>
    <w:rsid w:val="008C0C4D"/>
    <w:rsid w:val="008C173A"/>
    <w:rsid w:val="008C3CA1"/>
    <w:rsid w:val="008C469B"/>
    <w:rsid w:val="008C696B"/>
    <w:rsid w:val="008D0062"/>
    <w:rsid w:val="008D0706"/>
    <w:rsid w:val="008D331E"/>
    <w:rsid w:val="008D58F7"/>
    <w:rsid w:val="008E10E2"/>
    <w:rsid w:val="008E14CE"/>
    <w:rsid w:val="008E4FB7"/>
    <w:rsid w:val="008E5552"/>
    <w:rsid w:val="008E6F0A"/>
    <w:rsid w:val="008F46CA"/>
    <w:rsid w:val="0090091A"/>
    <w:rsid w:val="009024C6"/>
    <w:rsid w:val="009042BD"/>
    <w:rsid w:val="00905E4A"/>
    <w:rsid w:val="00910081"/>
    <w:rsid w:val="009108E2"/>
    <w:rsid w:val="00915E05"/>
    <w:rsid w:val="009248E2"/>
    <w:rsid w:val="00924AE2"/>
    <w:rsid w:val="00927375"/>
    <w:rsid w:val="00927B74"/>
    <w:rsid w:val="009310EA"/>
    <w:rsid w:val="00931FC6"/>
    <w:rsid w:val="009373B7"/>
    <w:rsid w:val="00937811"/>
    <w:rsid w:val="00937A64"/>
    <w:rsid w:val="00942535"/>
    <w:rsid w:val="0094581F"/>
    <w:rsid w:val="0094736B"/>
    <w:rsid w:val="0094796C"/>
    <w:rsid w:val="00950732"/>
    <w:rsid w:val="009539BC"/>
    <w:rsid w:val="00955993"/>
    <w:rsid w:val="0095599E"/>
    <w:rsid w:val="00955EE2"/>
    <w:rsid w:val="0095769A"/>
    <w:rsid w:val="009605FD"/>
    <w:rsid w:val="00962F0B"/>
    <w:rsid w:val="00964A15"/>
    <w:rsid w:val="00967249"/>
    <w:rsid w:val="009673DF"/>
    <w:rsid w:val="00970626"/>
    <w:rsid w:val="00970915"/>
    <w:rsid w:val="0097659D"/>
    <w:rsid w:val="00977CDD"/>
    <w:rsid w:val="00977E1D"/>
    <w:rsid w:val="00981412"/>
    <w:rsid w:val="00982274"/>
    <w:rsid w:val="00982459"/>
    <w:rsid w:val="009828DB"/>
    <w:rsid w:val="009842EB"/>
    <w:rsid w:val="009849D8"/>
    <w:rsid w:val="00984AF1"/>
    <w:rsid w:val="009854B7"/>
    <w:rsid w:val="00985DB2"/>
    <w:rsid w:val="00993A95"/>
    <w:rsid w:val="009A01CA"/>
    <w:rsid w:val="009A3C84"/>
    <w:rsid w:val="009A4450"/>
    <w:rsid w:val="009B38DD"/>
    <w:rsid w:val="009B6B3D"/>
    <w:rsid w:val="009C03CD"/>
    <w:rsid w:val="009C049C"/>
    <w:rsid w:val="009C0961"/>
    <w:rsid w:val="009C0EF1"/>
    <w:rsid w:val="009C23CB"/>
    <w:rsid w:val="009C2A1D"/>
    <w:rsid w:val="009C35BA"/>
    <w:rsid w:val="009D06C5"/>
    <w:rsid w:val="009D101C"/>
    <w:rsid w:val="009D2EA5"/>
    <w:rsid w:val="009D6E14"/>
    <w:rsid w:val="009E32CD"/>
    <w:rsid w:val="009E3BD4"/>
    <w:rsid w:val="009E47AE"/>
    <w:rsid w:val="009E5290"/>
    <w:rsid w:val="009E69D9"/>
    <w:rsid w:val="009E6DB6"/>
    <w:rsid w:val="009F2BAF"/>
    <w:rsid w:val="009F79A6"/>
    <w:rsid w:val="00A006E8"/>
    <w:rsid w:val="00A01F85"/>
    <w:rsid w:val="00A0282B"/>
    <w:rsid w:val="00A03408"/>
    <w:rsid w:val="00A04992"/>
    <w:rsid w:val="00A057BA"/>
    <w:rsid w:val="00A10DEA"/>
    <w:rsid w:val="00A11BCF"/>
    <w:rsid w:val="00A13389"/>
    <w:rsid w:val="00A13FB9"/>
    <w:rsid w:val="00A147AA"/>
    <w:rsid w:val="00A1576D"/>
    <w:rsid w:val="00A158CC"/>
    <w:rsid w:val="00A17B94"/>
    <w:rsid w:val="00A20733"/>
    <w:rsid w:val="00A21D71"/>
    <w:rsid w:val="00A22B78"/>
    <w:rsid w:val="00A22DA6"/>
    <w:rsid w:val="00A24524"/>
    <w:rsid w:val="00A25889"/>
    <w:rsid w:val="00A25AE5"/>
    <w:rsid w:val="00A336F4"/>
    <w:rsid w:val="00A33974"/>
    <w:rsid w:val="00A349E8"/>
    <w:rsid w:val="00A34C13"/>
    <w:rsid w:val="00A35B83"/>
    <w:rsid w:val="00A37002"/>
    <w:rsid w:val="00A37609"/>
    <w:rsid w:val="00A40970"/>
    <w:rsid w:val="00A46272"/>
    <w:rsid w:val="00A47CD4"/>
    <w:rsid w:val="00A5118F"/>
    <w:rsid w:val="00A56591"/>
    <w:rsid w:val="00A56592"/>
    <w:rsid w:val="00A569CA"/>
    <w:rsid w:val="00A6017C"/>
    <w:rsid w:val="00A611F8"/>
    <w:rsid w:val="00A6313F"/>
    <w:rsid w:val="00A64700"/>
    <w:rsid w:val="00A6541B"/>
    <w:rsid w:val="00A658AD"/>
    <w:rsid w:val="00A6697A"/>
    <w:rsid w:val="00A75A12"/>
    <w:rsid w:val="00A76D32"/>
    <w:rsid w:val="00A76FB6"/>
    <w:rsid w:val="00A854D6"/>
    <w:rsid w:val="00A870A1"/>
    <w:rsid w:val="00A9136B"/>
    <w:rsid w:val="00A937CA"/>
    <w:rsid w:val="00A941D4"/>
    <w:rsid w:val="00A957A2"/>
    <w:rsid w:val="00A95B45"/>
    <w:rsid w:val="00A966E7"/>
    <w:rsid w:val="00A97B0F"/>
    <w:rsid w:val="00AA06B9"/>
    <w:rsid w:val="00AA113E"/>
    <w:rsid w:val="00AA1AC0"/>
    <w:rsid w:val="00AA1B0E"/>
    <w:rsid w:val="00AA3A9B"/>
    <w:rsid w:val="00AA45B1"/>
    <w:rsid w:val="00AA4720"/>
    <w:rsid w:val="00AA56B8"/>
    <w:rsid w:val="00AA7A68"/>
    <w:rsid w:val="00AB0AE3"/>
    <w:rsid w:val="00AB49A7"/>
    <w:rsid w:val="00AB6092"/>
    <w:rsid w:val="00AC05E7"/>
    <w:rsid w:val="00AC1D6D"/>
    <w:rsid w:val="00AC3EE3"/>
    <w:rsid w:val="00AC45BC"/>
    <w:rsid w:val="00AC5CA7"/>
    <w:rsid w:val="00AC68F9"/>
    <w:rsid w:val="00AC7083"/>
    <w:rsid w:val="00AC7292"/>
    <w:rsid w:val="00AC7788"/>
    <w:rsid w:val="00AE1E70"/>
    <w:rsid w:val="00AE2BA5"/>
    <w:rsid w:val="00AE56B1"/>
    <w:rsid w:val="00AE5F09"/>
    <w:rsid w:val="00AE60A1"/>
    <w:rsid w:val="00AE6D09"/>
    <w:rsid w:val="00AF1B61"/>
    <w:rsid w:val="00AF22D4"/>
    <w:rsid w:val="00AF2328"/>
    <w:rsid w:val="00AF2D2B"/>
    <w:rsid w:val="00AF33B8"/>
    <w:rsid w:val="00AF40E7"/>
    <w:rsid w:val="00AF4339"/>
    <w:rsid w:val="00B01693"/>
    <w:rsid w:val="00B016CA"/>
    <w:rsid w:val="00B03032"/>
    <w:rsid w:val="00B04940"/>
    <w:rsid w:val="00B10E3C"/>
    <w:rsid w:val="00B120A6"/>
    <w:rsid w:val="00B1225A"/>
    <w:rsid w:val="00B128F5"/>
    <w:rsid w:val="00B17B0A"/>
    <w:rsid w:val="00B21028"/>
    <w:rsid w:val="00B213F4"/>
    <w:rsid w:val="00B21C2E"/>
    <w:rsid w:val="00B22E9A"/>
    <w:rsid w:val="00B24C3D"/>
    <w:rsid w:val="00B268D7"/>
    <w:rsid w:val="00B26958"/>
    <w:rsid w:val="00B26A25"/>
    <w:rsid w:val="00B270C7"/>
    <w:rsid w:val="00B27F67"/>
    <w:rsid w:val="00B34C28"/>
    <w:rsid w:val="00B351DB"/>
    <w:rsid w:val="00B370CE"/>
    <w:rsid w:val="00B372F7"/>
    <w:rsid w:val="00B376DB"/>
    <w:rsid w:val="00B40B66"/>
    <w:rsid w:val="00B46049"/>
    <w:rsid w:val="00B46AF2"/>
    <w:rsid w:val="00B51A28"/>
    <w:rsid w:val="00B52744"/>
    <w:rsid w:val="00B55FE3"/>
    <w:rsid w:val="00B56505"/>
    <w:rsid w:val="00B607C0"/>
    <w:rsid w:val="00B630FB"/>
    <w:rsid w:val="00B64C11"/>
    <w:rsid w:val="00B677D0"/>
    <w:rsid w:val="00B7022E"/>
    <w:rsid w:val="00B70C73"/>
    <w:rsid w:val="00B71472"/>
    <w:rsid w:val="00B73829"/>
    <w:rsid w:val="00B73862"/>
    <w:rsid w:val="00B74F56"/>
    <w:rsid w:val="00B779F8"/>
    <w:rsid w:val="00B81102"/>
    <w:rsid w:val="00B829DE"/>
    <w:rsid w:val="00B8526F"/>
    <w:rsid w:val="00B85605"/>
    <w:rsid w:val="00B85C0A"/>
    <w:rsid w:val="00B85F69"/>
    <w:rsid w:val="00B860D9"/>
    <w:rsid w:val="00B87EC1"/>
    <w:rsid w:val="00B95F58"/>
    <w:rsid w:val="00B96B65"/>
    <w:rsid w:val="00B971A0"/>
    <w:rsid w:val="00BA2E34"/>
    <w:rsid w:val="00BA3BE3"/>
    <w:rsid w:val="00BA5115"/>
    <w:rsid w:val="00BA6DDB"/>
    <w:rsid w:val="00BA6E48"/>
    <w:rsid w:val="00BA73DE"/>
    <w:rsid w:val="00BB01ED"/>
    <w:rsid w:val="00BB14D3"/>
    <w:rsid w:val="00BB2D0A"/>
    <w:rsid w:val="00BB657E"/>
    <w:rsid w:val="00BB6747"/>
    <w:rsid w:val="00BB73E6"/>
    <w:rsid w:val="00BC4EFB"/>
    <w:rsid w:val="00BD044C"/>
    <w:rsid w:val="00BD1EF5"/>
    <w:rsid w:val="00BD5576"/>
    <w:rsid w:val="00BE1871"/>
    <w:rsid w:val="00BE37CA"/>
    <w:rsid w:val="00BE48A2"/>
    <w:rsid w:val="00BE513F"/>
    <w:rsid w:val="00BE5735"/>
    <w:rsid w:val="00BE778D"/>
    <w:rsid w:val="00BF2218"/>
    <w:rsid w:val="00BF4856"/>
    <w:rsid w:val="00C02862"/>
    <w:rsid w:val="00C03B19"/>
    <w:rsid w:val="00C04BC8"/>
    <w:rsid w:val="00C05478"/>
    <w:rsid w:val="00C10B3C"/>
    <w:rsid w:val="00C124ED"/>
    <w:rsid w:val="00C12C92"/>
    <w:rsid w:val="00C13BC8"/>
    <w:rsid w:val="00C14B0D"/>
    <w:rsid w:val="00C16730"/>
    <w:rsid w:val="00C169E8"/>
    <w:rsid w:val="00C2293A"/>
    <w:rsid w:val="00C22F27"/>
    <w:rsid w:val="00C23238"/>
    <w:rsid w:val="00C23F9E"/>
    <w:rsid w:val="00C2773E"/>
    <w:rsid w:val="00C27A6A"/>
    <w:rsid w:val="00C27DC6"/>
    <w:rsid w:val="00C32B5E"/>
    <w:rsid w:val="00C3467C"/>
    <w:rsid w:val="00C375B6"/>
    <w:rsid w:val="00C40A48"/>
    <w:rsid w:val="00C410B6"/>
    <w:rsid w:val="00C43727"/>
    <w:rsid w:val="00C4751F"/>
    <w:rsid w:val="00C50C02"/>
    <w:rsid w:val="00C52233"/>
    <w:rsid w:val="00C53B67"/>
    <w:rsid w:val="00C54EEC"/>
    <w:rsid w:val="00C60569"/>
    <w:rsid w:val="00C6259E"/>
    <w:rsid w:val="00C63417"/>
    <w:rsid w:val="00C64B66"/>
    <w:rsid w:val="00C64EFE"/>
    <w:rsid w:val="00C72DAC"/>
    <w:rsid w:val="00C75C9B"/>
    <w:rsid w:val="00C800A4"/>
    <w:rsid w:val="00C81136"/>
    <w:rsid w:val="00C8178F"/>
    <w:rsid w:val="00C840F1"/>
    <w:rsid w:val="00C87799"/>
    <w:rsid w:val="00C87951"/>
    <w:rsid w:val="00C90195"/>
    <w:rsid w:val="00C91647"/>
    <w:rsid w:val="00C924C6"/>
    <w:rsid w:val="00C93D5A"/>
    <w:rsid w:val="00C93FB1"/>
    <w:rsid w:val="00C949CC"/>
    <w:rsid w:val="00C94D6E"/>
    <w:rsid w:val="00C9647A"/>
    <w:rsid w:val="00CA38AB"/>
    <w:rsid w:val="00CA57B7"/>
    <w:rsid w:val="00CA5D34"/>
    <w:rsid w:val="00CA72D4"/>
    <w:rsid w:val="00CA7D6A"/>
    <w:rsid w:val="00CB14F4"/>
    <w:rsid w:val="00CB3C03"/>
    <w:rsid w:val="00CB3E50"/>
    <w:rsid w:val="00CC1CA5"/>
    <w:rsid w:val="00CC288D"/>
    <w:rsid w:val="00CC2F2A"/>
    <w:rsid w:val="00CC59F0"/>
    <w:rsid w:val="00CC6EC6"/>
    <w:rsid w:val="00CD0FD7"/>
    <w:rsid w:val="00CD1C99"/>
    <w:rsid w:val="00CD31CE"/>
    <w:rsid w:val="00CD35FD"/>
    <w:rsid w:val="00CD6214"/>
    <w:rsid w:val="00CD7492"/>
    <w:rsid w:val="00CE17CF"/>
    <w:rsid w:val="00CE3A6B"/>
    <w:rsid w:val="00CE5AE0"/>
    <w:rsid w:val="00CF316E"/>
    <w:rsid w:val="00CF4CAE"/>
    <w:rsid w:val="00D00211"/>
    <w:rsid w:val="00D01349"/>
    <w:rsid w:val="00D01923"/>
    <w:rsid w:val="00D0241F"/>
    <w:rsid w:val="00D02819"/>
    <w:rsid w:val="00D035CC"/>
    <w:rsid w:val="00D03A44"/>
    <w:rsid w:val="00D052C1"/>
    <w:rsid w:val="00D06309"/>
    <w:rsid w:val="00D0663C"/>
    <w:rsid w:val="00D11B73"/>
    <w:rsid w:val="00D12C59"/>
    <w:rsid w:val="00D16508"/>
    <w:rsid w:val="00D17D2E"/>
    <w:rsid w:val="00D204C1"/>
    <w:rsid w:val="00D21EF3"/>
    <w:rsid w:val="00D22DB4"/>
    <w:rsid w:val="00D23DC4"/>
    <w:rsid w:val="00D258D4"/>
    <w:rsid w:val="00D2753C"/>
    <w:rsid w:val="00D27AF7"/>
    <w:rsid w:val="00D351EA"/>
    <w:rsid w:val="00D3565E"/>
    <w:rsid w:val="00D37480"/>
    <w:rsid w:val="00D4148B"/>
    <w:rsid w:val="00D43403"/>
    <w:rsid w:val="00D44BAE"/>
    <w:rsid w:val="00D458CC"/>
    <w:rsid w:val="00D46161"/>
    <w:rsid w:val="00D473FB"/>
    <w:rsid w:val="00D478A6"/>
    <w:rsid w:val="00D479EE"/>
    <w:rsid w:val="00D50E83"/>
    <w:rsid w:val="00D529F7"/>
    <w:rsid w:val="00D539F4"/>
    <w:rsid w:val="00D572EF"/>
    <w:rsid w:val="00D61F77"/>
    <w:rsid w:val="00D62E71"/>
    <w:rsid w:val="00D63802"/>
    <w:rsid w:val="00D640D3"/>
    <w:rsid w:val="00D64519"/>
    <w:rsid w:val="00D64F6B"/>
    <w:rsid w:val="00D66188"/>
    <w:rsid w:val="00D665CA"/>
    <w:rsid w:val="00D6768B"/>
    <w:rsid w:val="00D708D6"/>
    <w:rsid w:val="00D740CA"/>
    <w:rsid w:val="00D754E1"/>
    <w:rsid w:val="00D80DFD"/>
    <w:rsid w:val="00D8194D"/>
    <w:rsid w:val="00D82066"/>
    <w:rsid w:val="00D84957"/>
    <w:rsid w:val="00D84DB6"/>
    <w:rsid w:val="00D85728"/>
    <w:rsid w:val="00D86261"/>
    <w:rsid w:val="00D9220F"/>
    <w:rsid w:val="00D93F80"/>
    <w:rsid w:val="00D946A8"/>
    <w:rsid w:val="00D94886"/>
    <w:rsid w:val="00D95909"/>
    <w:rsid w:val="00D965EE"/>
    <w:rsid w:val="00D972BD"/>
    <w:rsid w:val="00D97E1D"/>
    <w:rsid w:val="00DA075A"/>
    <w:rsid w:val="00DA1807"/>
    <w:rsid w:val="00DA49E1"/>
    <w:rsid w:val="00DA4B0B"/>
    <w:rsid w:val="00DA662A"/>
    <w:rsid w:val="00DA664E"/>
    <w:rsid w:val="00DA78E5"/>
    <w:rsid w:val="00DB1A94"/>
    <w:rsid w:val="00DB2D4E"/>
    <w:rsid w:val="00DB2DB4"/>
    <w:rsid w:val="00DB3D75"/>
    <w:rsid w:val="00DB3DC8"/>
    <w:rsid w:val="00DB6B00"/>
    <w:rsid w:val="00DC0DA3"/>
    <w:rsid w:val="00DC35E6"/>
    <w:rsid w:val="00DC47D3"/>
    <w:rsid w:val="00DC60A6"/>
    <w:rsid w:val="00DC61B2"/>
    <w:rsid w:val="00DC6C8E"/>
    <w:rsid w:val="00DD06A7"/>
    <w:rsid w:val="00DD13D6"/>
    <w:rsid w:val="00DD1C0E"/>
    <w:rsid w:val="00DD4525"/>
    <w:rsid w:val="00DD46FD"/>
    <w:rsid w:val="00DE076D"/>
    <w:rsid w:val="00DE0BD6"/>
    <w:rsid w:val="00DE1A5C"/>
    <w:rsid w:val="00DE2B73"/>
    <w:rsid w:val="00DE563F"/>
    <w:rsid w:val="00DE72D4"/>
    <w:rsid w:val="00DE7D32"/>
    <w:rsid w:val="00DF1F47"/>
    <w:rsid w:val="00DF2997"/>
    <w:rsid w:val="00DF3A28"/>
    <w:rsid w:val="00DF560D"/>
    <w:rsid w:val="00DF5818"/>
    <w:rsid w:val="00DF6681"/>
    <w:rsid w:val="00E04713"/>
    <w:rsid w:val="00E05577"/>
    <w:rsid w:val="00E11E46"/>
    <w:rsid w:val="00E12621"/>
    <w:rsid w:val="00E152F8"/>
    <w:rsid w:val="00E15431"/>
    <w:rsid w:val="00E164BD"/>
    <w:rsid w:val="00E1729A"/>
    <w:rsid w:val="00E1757A"/>
    <w:rsid w:val="00E17D7C"/>
    <w:rsid w:val="00E23619"/>
    <w:rsid w:val="00E24FF2"/>
    <w:rsid w:val="00E27239"/>
    <w:rsid w:val="00E278C4"/>
    <w:rsid w:val="00E34629"/>
    <w:rsid w:val="00E34D8F"/>
    <w:rsid w:val="00E452B9"/>
    <w:rsid w:val="00E46162"/>
    <w:rsid w:val="00E47C5B"/>
    <w:rsid w:val="00E50AD9"/>
    <w:rsid w:val="00E54987"/>
    <w:rsid w:val="00E56EA1"/>
    <w:rsid w:val="00E601D4"/>
    <w:rsid w:val="00E61AE2"/>
    <w:rsid w:val="00E634F0"/>
    <w:rsid w:val="00E64D4D"/>
    <w:rsid w:val="00E66149"/>
    <w:rsid w:val="00E66807"/>
    <w:rsid w:val="00E714A2"/>
    <w:rsid w:val="00E74C55"/>
    <w:rsid w:val="00E80759"/>
    <w:rsid w:val="00E831AA"/>
    <w:rsid w:val="00E865BD"/>
    <w:rsid w:val="00E901F2"/>
    <w:rsid w:val="00E9082E"/>
    <w:rsid w:val="00E90EBB"/>
    <w:rsid w:val="00E93EAA"/>
    <w:rsid w:val="00E958B3"/>
    <w:rsid w:val="00EA2FF3"/>
    <w:rsid w:val="00EA5C38"/>
    <w:rsid w:val="00EB1781"/>
    <w:rsid w:val="00EB2AE4"/>
    <w:rsid w:val="00EB31A1"/>
    <w:rsid w:val="00EB5E94"/>
    <w:rsid w:val="00EB6159"/>
    <w:rsid w:val="00EB693D"/>
    <w:rsid w:val="00EC0952"/>
    <w:rsid w:val="00EC1637"/>
    <w:rsid w:val="00EC1A1F"/>
    <w:rsid w:val="00EC2EA4"/>
    <w:rsid w:val="00EC41D2"/>
    <w:rsid w:val="00EC4F4C"/>
    <w:rsid w:val="00EC7880"/>
    <w:rsid w:val="00EC7BC3"/>
    <w:rsid w:val="00ED5926"/>
    <w:rsid w:val="00ED5B79"/>
    <w:rsid w:val="00ED6C25"/>
    <w:rsid w:val="00ED6CCA"/>
    <w:rsid w:val="00ED7086"/>
    <w:rsid w:val="00ED7600"/>
    <w:rsid w:val="00EE28D3"/>
    <w:rsid w:val="00EE7797"/>
    <w:rsid w:val="00EF0A42"/>
    <w:rsid w:val="00EF16E6"/>
    <w:rsid w:val="00EF2904"/>
    <w:rsid w:val="00EF2FCB"/>
    <w:rsid w:val="00EF4766"/>
    <w:rsid w:val="00EF5098"/>
    <w:rsid w:val="00EF6855"/>
    <w:rsid w:val="00EF698B"/>
    <w:rsid w:val="00EF6E66"/>
    <w:rsid w:val="00EF7893"/>
    <w:rsid w:val="00F00792"/>
    <w:rsid w:val="00F01332"/>
    <w:rsid w:val="00F030A3"/>
    <w:rsid w:val="00F034DB"/>
    <w:rsid w:val="00F04BD7"/>
    <w:rsid w:val="00F05665"/>
    <w:rsid w:val="00F05D6E"/>
    <w:rsid w:val="00F05E5B"/>
    <w:rsid w:val="00F06D17"/>
    <w:rsid w:val="00F06DF6"/>
    <w:rsid w:val="00F0705C"/>
    <w:rsid w:val="00F10727"/>
    <w:rsid w:val="00F111C6"/>
    <w:rsid w:val="00F113D6"/>
    <w:rsid w:val="00F116F3"/>
    <w:rsid w:val="00F11940"/>
    <w:rsid w:val="00F12245"/>
    <w:rsid w:val="00F1362C"/>
    <w:rsid w:val="00F1661C"/>
    <w:rsid w:val="00F17BA1"/>
    <w:rsid w:val="00F2351E"/>
    <w:rsid w:val="00F23541"/>
    <w:rsid w:val="00F2447A"/>
    <w:rsid w:val="00F24B63"/>
    <w:rsid w:val="00F30AF3"/>
    <w:rsid w:val="00F31B3F"/>
    <w:rsid w:val="00F36286"/>
    <w:rsid w:val="00F365D6"/>
    <w:rsid w:val="00F43A66"/>
    <w:rsid w:val="00F4462C"/>
    <w:rsid w:val="00F44E6A"/>
    <w:rsid w:val="00F45C11"/>
    <w:rsid w:val="00F462E0"/>
    <w:rsid w:val="00F50099"/>
    <w:rsid w:val="00F508B8"/>
    <w:rsid w:val="00F54923"/>
    <w:rsid w:val="00F573C4"/>
    <w:rsid w:val="00F63A5B"/>
    <w:rsid w:val="00F679CD"/>
    <w:rsid w:val="00F76027"/>
    <w:rsid w:val="00F804D4"/>
    <w:rsid w:val="00F81394"/>
    <w:rsid w:val="00F81AA8"/>
    <w:rsid w:val="00F81B6A"/>
    <w:rsid w:val="00F81E6E"/>
    <w:rsid w:val="00F824F5"/>
    <w:rsid w:val="00F84026"/>
    <w:rsid w:val="00F902EB"/>
    <w:rsid w:val="00F91C29"/>
    <w:rsid w:val="00F9555D"/>
    <w:rsid w:val="00F95889"/>
    <w:rsid w:val="00F972AF"/>
    <w:rsid w:val="00F97A5A"/>
    <w:rsid w:val="00FA0380"/>
    <w:rsid w:val="00FA2F3B"/>
    <w:rsid w:val="00FA3684"/>
    <w:rsid w:val="00FA43CE"/>
    <w:rsid w:val="00FA45B1"/>
    <w:rsid w:val="00FA61E2"/>
    <w:rsid w:val="00FA7695"/>
    <w:rsid w:val="00FB308E"/>
    <w:rsid w:val="00FB759B"/>
    <w:rsid w:val="00FC0D54"/>
    <w:rsid w:val="00FC29B9"/>
    <w:rsid w:val="00FC329B"/>
    <w:rsid w:val="00FC663D"/>
    <w:rsid w:val="00FC6947"/>
    <w:rsid w:val="00FC6FD3"/>
    <w:rsid w:val="00FD4665"/>
    <w:rsid w:val="00FD5D12"/>
    <w:rsid w:val="00FD68AA"/>
    <w:rsid w:val="00FD6CE0"/>
    <w:rsid w:val="00FE01EE"/>
    <w:rsid w:val="00FE182E"/>
    <w:rsid w:val="00FE239C"/>
    <w:rsid w:val="00FE3D63"/>
    <w:rsid w:val="00FE4278"/>
    <w:rsid w:val="00FE5F11"/>
    <w:rsid w:val="00FE682A"/>
    <w:rsid w:val="00FE782E"/>
    <w:rsid w:val="00FE7F97"/>
    <w:rsid w:val="00FF0301"/>
    <w:rsid w:val="00FF2404"/>
    <w:rsid w:val="00FF277E"/>
    <w:rsid w:val="00FF32D2"/>
    <w:rsid w:val="00FF341C"/>
    <w:rsid w:val="00FF4761"/>
    <w:rsid w:val="00FF4D86"/>
    <w:rsid w:val="00FF5BDD"/>
    <w:rsid w:val="00FF624B"/>
    <w:rsid w:val="00FF6366"/>
    <w:rsid w:val="155865C2"/>
    <w:rsid w:val="306FFF84"/>
    <w:rsid w:val="37BEDBF8"/>
    <w:rsid w:val="4E49687F"/>
    <w:rsid w:val="691F0F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A7764AA"/>
  <w15:chartTrackingRefBased/>
  <w15:docId w15:val="{C57755F2-3F4F-45DF-B595-BD61A46E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35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A3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A330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semiHidden/>
    <w:unhideWhenUsed/>
    <w:qFormat/>
    <w:rsid w:val="005B71F9"/>
    <w:rPr>
      <w:sz w:val="16"/>
      <w:szCs w:val="16"/>
    </w:rPr>
  </w:style>
  <w:style w:type="paragraph" w:styleId="CommentText">
    <w:name w:val="annotation text"/>
    <w:basedOn w:val="Normal"/>
    <w:link w:val="CommentTextChar"/>
    <w:uiPriority w:val="99"/>
    <w:unhideWhenUsed/>
    <w:qFormat/>
    <w:rsid w:val="005B71F9"/>
    <w:pPr>
      <w:spacing w:line="240" w:lineRule="auto"/>
    </w:pPr>
    <w:rPr>
      <w:szCs w:val="20"/>
    </w:rPr>
  </w:style>
  <w:style w:type="character" w:customStyle="1" w:styleId="CommentTextChar">
    <w:name w:val="Comment Text Char"/>
    <w:basedOn w:val="DefaultParagraphFont"/>
    <w:link w:val="CommentText"/>
    <w:uiPriority w:val="99"/>
    <w:qFormat/>
    <w:rsid w:val="005B71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B71F9"/>
    <w:rPr>
      <w:b/>
      <w:bCs/>
    </w:rPr>
  </w:style>
  <w:style w:type="character" w:customStyle="1" w:styleId="CommentSubjectChar">
    <w:name w:val="Comment Subject Char"/>
    <w:basedOn w:val="CommentTextChar"/>
    <w:link w:val="CommentSubject"/>
    <w:uiPriority w:val="99"/>
    <w:semiHidden/>
    <w:rsid w:val="005B71F9"/>
    <w:rPr>
      <w:rFonts w:ascii="Times New Roman" w:hAnsi="Times New Roman"/>
      <w:b/>
      <w:bCs/>
      <w:sz w:val="20"/>
      <w:szCs w:val="20"/>
    </w:rPr>
  </w:style>
  <w:style w:type="character" w:customStyle="1" w:styleId="Heading3Char">
    <w:name w:val="Heading 3 Char"/>
    <w:basedOn w:val="DefaultParagraphFont"/>
    <w:link w:val="Heading3"/>
    <w:uiPriority w:val="9"/>
    <w:semiHidden/>
    <w:rsid w:val="000A330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qFormat/>
    <w:rsid w:val="000A330A"/>
    <w:rPr>
      <w:rFonts w:asciiTheme="majorHAnsi" w:eastAsiaTheme="majorEastAsia" w:hAnsiTheme="majorHAnsi" w:cstheme="majorBidi"/>
      <w:i/>
      <w:iCs/>
      <w:color w:val="2F5496" w:themeColor="accent1" w:themeShade="BF"/>
      <w:sz w:val="20"/>
    </w:rPr>
  </w:style>
  <w:style w:type="paragraph" w:customStyle="1" w:styleId="B1">
    <w:name w:val="B1"/>
    <w:basedOn w:val="List"/>
    <w:link w:val="B1Char"/>
    <w:rsid w:val="000A330A"/>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0A330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A330A"/>
    <w:pPr>
      <w:ind w:left="283" w:hanging="283"/>
      <w:contextualSpacing/>
    </w:pPr>
  </w:style>
  <w:style w:type="paragraph" w:styleId="Header">
    <w:name w:val="header"/>
    <w:basedOn w:val="Normal"/>
    <w:link w:val="HeaderChar"/>
    <w:uiPriority w:val="99"/>
    <w:semiHidden/>
    <w:unhideWhenUsed/>
    <w:rsid w:val="00D93F8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94D6E"/>
    <w:rPr>
      <w:rFonts w:ascii="Times New Roman" w:hAnsi="Times New Roman"/>
      <w:sz w:val="20"/>
    </w:rPr>
  </w:style>
  <w:style w:type="paragraph" w:styleId="Footer">
    <w:name w:val="footer"/>
    <w:basedOn w:val="Normal"/>
    <w:link w:val="FooterChar"/>
    <w:uiPriority w:val="99"/>
    <w:semiHidden/>
    <w:unhideWhenUsed/>
    <w:rsid w:val="00D93F8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94D6E"/>
    <w:rPr>
      <w:rFonts w:ascii="Times New Roman" w:hAnsi="Times New Roman"/>
      <w:sz w:val="20"/>
    </w:rPr>
  </w:style>
  <w:style w:type="character" w:styleId="UnresolvedMention">
    <w:name w:val="Unresolved Mention"/>
    <w:basedOn w:val="DefaultParagraphFont"/>
    <w:uiPriority w:val="99"/>
    <w:unhideWhenUsed/>
    <w:rsid w:val="00C94D6E"/>
    <w:rPr>
      <w:color w:val="605E5C"/>
      <w:shd w:val="clear" w:color="auto" w:fill="E1DFDD"/>
    </w:rPr>
  </w:style>
  <w:style w:type="character" w:styleId="Mention">
    <w:name w:val="Mention"/>
    <w:basedOn w:val="DefaultParagraphFont"/>
    <w:uiPriority w:val="99"/>
    <w:unhideWhenUsed/>
    <w:rsid w:val="00C94D6E"/>
    <w:rPr>
      <w:color w:val="2B579A"/>
      <w:shd w:val="clear" w:color="auto" w:fill="E1DFDD"/>
    </w:rPr>
  </w:style>
  <w:style w:type="paragraph" w:styleId="Revision">
    <w:name w:val="Revision"/>
    <w:hidden/>
    <w:uiPriority w:val="99"/>
    <w:semiHidden/>
    <w:rsid w:val="00615CDA"/>
    <w:pPr>
      <w:spacing w:after="0" w:line="240" w:lineRule="auto"/>
    </w:pPr>
    <w:rPr>
      <w:rFonts w:ascii="Times New Roman" w:hAnsi="Times New Roman"/>
      <w:sz w:val="20"/>
    </w:rPr>
  </w:style>
  <w:style w:type="paragraph" w:customStyle="1" w:styleId="B2">
    <w:name w:val="B2"/>
    <w:basedOn w:val="List2"/>
    <w:link w:val="B2Char"/>
    <w:rsid w:val="00830EA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0EA2"/>
    <w:rPr>
      <w:rFonts w:ascii="Times New Roman" w:eastAsia="Times New Roman" w:hAnsi="Times New Roman" w:cs="Times New Roman"/>
      <w:sz w:val="20"/>
      <w:szCs w:val="20"/>
      <w:lang w:val="en-GB" w:eastAsia="en-GB"/>
    </w:rPr>
  </w:style>
  <w:style w:type="paragraph" w:customStyle="1" w:styleId="B3">
    <w:name w:val="B3"/>
    <w:basedOn w:val="List3"/>
    <w:link w:val="B3Char"/>
    <w:rsid w:val="00830EA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0EA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0EA2"/>
    <w:pPr>
      <w:ind w:left="566" w:hanging="283"/>
      <w:contextualSpacing/>
    </w:pPr>
  </w:style>
  <w:style w:type="paragraph" w:styleId="List3">
    <w:name w:val="List 3"/>
    <w:basedOn w:val="Normal"/>
    <w:uiPriority w:val="99"/>
    <w:semiHidden/>
    <w:unhideWhenUsed/>
    <w:rsid w:val="00830EA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https://nokia.sharepoint.com/sites/c5g/5gradio/_layouts/15/DocIdRedir.aspx?ID=5AIRPNAIUNRU-1328258698-16846</Url>
      <Description>5AIRPNAIUNRU-1328258698-16846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47595DA-17C8-45E6-9A50-8DBE4C5DB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2152</Words>
  <Characters>13131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3</cp:revision>
  <dcterms:created xsi:type="dcterms:W3CDTF">2022-09-30T18:28:00Z</dcterms:created>
  <dcterms:modified xsi:type="dcterms:W3CDTF">2022-09-30T18:56:00Z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647f2a91-0209-43a4-a104-8e280e8a13ef</vt:lpwstr>
  </property>
  <property fmtid="{D5CDD505-2E9C-101B-9397-08002B2CF9AE}" pid="11" name="MediaServiceImageTags">
    <vt:lpwstr/>
  </property>
</Properties>
</file>