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0A17D" w14:textId="36BD0671" w:rsidR="00803510" w:rsidRPr="00EE2C74" w:rsidRDefault="00E23971" w:rsidP="00803510">
      <w:pPr>
        <w:pStyle w:val="3GPPHeader"/>
        <w:spacing w:after="0"/>
        <w:rPr>
          <w:lang w:val="en-US"/>
        </w:rPr>
      </w:pPr>
      <w:r w:rsidRPr="00E23971">
        <w:rPr>
          <w:lang w:val="en-US"/>
        </w:rPr>
        <w:t xml:space="preserve">3GPP TSG-RAN WG4 Meeting # </w:t>
      </w:r>
      <w:r w:rsidR="002E1F6A">
        <w:rPr>
          <w:lang w:val="en-US"/>
        </w:rPr>
        <w:t>10</w:t>
      </w:r>
      <w:r w:rsidR="00A552A4">
        <w:rPr>
          <w:lang w:val="en-US"/>
        </w:rPr>
        <w:t>4</w:t>
      </w:r>
      <w:r w:rsidRPr="00E23971">
        <w:rPr>
          <w:lang w:val="en-US"/>
        </w:rPr>
        <w:t>-e</w:t>
      </w:r>
      <w:r w:rsidR="00803510" w:rsidRPr="00EE2C74">
        <w:rPr>
          <w:lang w:val="en-US"/>
        </w:rPr>
        <w:tab/>
      </w:r>
      <w:r w:rsidR="00604BBE" w:rsidRPr="00604BBE">
        <w:rPr>
          <w:lang w:val="en-US"/>
        </w:rPr>
        <w:t>R4-2211980</w:t>
      </w:r>
    </w:p>
    <w:p w14:paraId="26F858F2" w14:textId="4357DD9A" w:rsidR="0043450E" w:rsidRPr="00803510" w:rsidRDefault="00E21FB6" w:rsidP="0043450E">
      <w:pPr>
        <w:overflowPunct/>
        <w:autoSpaceDE/>
        <w:autoSpaceDN/>
        <w:adjustRightInd/>
        <w:textAlignment w:val="auto"/>
        <w:rPr>
          <w:rFonts w:ascii="Arial" w:hAnsi="Arial"/>
          <w:b/>
          <w:noProof/>
          <w:sz w:val="24"/>
          <w:lang w:val="en-US"/>
        </w:rPr>
      </w:pPr>
      <w:r w:rsidRPr="00E21FB6">
        <w:rPr>
          <w:rFonts w:ascii="Arial" w:hAnsi="Arial"/>
          <w:b/>
          <w:sz w:val="24"/>
          <w:lang w:val="en-US" w:eastAsia="zh-CN"/>
        </w:rPr>
        <w:t xml:space="preserve">Electronic Meeting, </w:t>
      </w:r>
      <w:r w:rsidR="00A552A4">
        <w:rPr>
          <w:rFonts w:ascii="Arial" w:hAnsi="Arial"/>
          <w:b/>
          <w:sz w:val="24"/>
          <w:lang w:val="en-US" w:eastAsia="zh-CN"/>
        </w:rPr>
        <w:t>August</w:t>
      </w:r>
      <w:r w:rsidRPr="00E21FB6">
        <w:rPr>
          <w:rFonts w:ascii="Arial" w:hAnsi="Arial"/>
          <w:b/>
          <w:sz w:val="24"/>
          <w:lang w:val="en-US" w:eastAsia="zh-CN"/>
        </w:rPr>
        <w:t xml:space="preserve"> </w:t>
      </w:r>
      <w:r w:rsidR="00A552A4">
        <w:rPr>
          <w:rFonts w:ascii="Arial" w:hAnsi="Arial"/>
          <w:b/>
          <w:sz w:val="24"/>
          <w:lang w:val="en-US" w:eastAsia="zh-CN"/>
        </w:rPr>
        <w:t>15</w:t>
      </w:r>
      <w:r w:rsidRPr="00E21FB6">
        <w:rPr>
          <w:rFonts w:ascii="Arial" w:hAnsi="Arial"/>
          <w:b/>
          <w:sz w:val="24"/>
          <w:lang w:val="en-US" w:eastAsia="zh-CN"/>
        </w:rPr>
        <w:t xml:space="preserve"> </w:t>
      </w:r>
      <w:r w:rsidR="00A552A4">
        <w:rPr>
          <w:rFonts w:ascii="Arial" w:hAnsi="Arial"/>
          <w:b/>
          <w:sz w:val="24"/>
          <w:lang w:val="en-US" w:eastAsia="zh-CN"/>
        </w:rPr>
        <w:t>–</w:t>
      </w:r>
      <w:r w:rsidRPr="00E21FB6">
        <w:rPr>
          <w:rFonts w:ascii="Arial" w:hAnsi="Arial"/>
          <w:b/>
          <w:sz w:val="24"/>
          <w:lang w:val="en-US" w:eastAsia="zh-CN"/>
        </w:rPr>
        <w:t xml:space="preserve"> </w:t>
      </w:r>
      <w:r w:rsidR="00A552A4">
        <w:rPr>
          <w:rFonts w:ascii="Arial" w:hAnsi="Arial"/>
          <w:b/>
          <w:sz w:val="24"/>
          <w:lang w:val="en-US" w:eastAsia="zh-CN"/>
        </w:rPr>
        <w:t>August 26</w:t>
      </w:r>
      <w:r w:rsidRPr="00E21FB6">
        <w:rPr>
          <w:rFonts w:ascii="Arial" w:hAnsi="Arial"/>
          <w:b/>
          <w:sz w:val="24"/>
          <w:lang w:val="en-US" w:eastAsia="zh-CN"/>
        </w:rPr>
        <w:t>, 2022</w:t>
      </w: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7B869D31"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37D62">
        <w:rPr>
          <w:sz w:val="22"/>
        </w:rPr>
        <w:t>C</w:t>
      </w:r>
      <w:r w:rsidR="00037D62" w:rsidRPr="00037D62">
        <w:rPr>
          <w:sz w:val="22"/>
        </w:rPr>
        <w:t xml:space="preserve">larification of </w:t>
      </w:r>
      <w:proofErr w:type="spellStart"/>
      <w:r w:rsidR="00037D62" w:rsidRPr="00037D62">
        <w:rPr>
          <w:sz w:val="22"/>
        </w:rPr>
        <w:t>dualPA</w:t>
      </w:r>
      <w:proofErr w:type="spellEnd"/>
      <w:r w:rsidR="00037D62" w:rsidRPr="00037D62">
        <w:rPr>
          <w:sz w:val="22"/>
        </w:rPr>
        <w:t>-Architecture capability</w:t>
      </w:r>
    </w:p>
    <w:p w14:paraId="23226DA5" w14:textId="1D7C4A88"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3040AF">
        <w:rPr>
          <w:bCs/>
          <w:sz w:val="22"/>
        </w:rPr>
        <w:t>9.3.1</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1CFD1FA8" w:rsidR="0043450E" w:rsidRDefault="00126055" w:rsidP="0043450E">
      <w:pPr>
        <w:pStyle w:val="Heading1"/>
      </w:pPr>
      <w:r>
        <w:t>1</w:t>
      </w:r>
      <w:r>
        <w:tab/>
        <w:t>Introduction</w:t>
      </w:r>
    </w:p>
    <w:p w14:paraId="15DE3220" w14:textId="53040450" w:rsidR="008B71FF" w:rsidRPr="002A31E8" w:rsidRDefault="00037D62" w:rsidP="001C3C45">
      <w:r>
        <w:t>This contribution addresses an LS reply [1] from RAN2.</w:t>
      </w:r>
    </w:p>
    <w:p w14:paraId="33BDEED4" w14:textId="2C5E42F2" w:rsidR="00E014E2" w:rsidRDefault="00E014E2" w:rsidP="005E7C59">
      <w:pPr>
        <w:pStyle w:val="Heading1"/>
        <w:ind w:left="709" w:hanging="709"/>
      </w:pPr>
      <w:r>
        <w:t>2</w:t>
      </w:r>
      <w:r>
        <w:tab/>
      </w:r>
      <w:r w:rsidR="000E2C46">
        <w:t>Discussion</w:t>
      </w:r>
    </w:p>
    <w:p w14:paraId="373AFC08" w14:textId="1BD86F14" w:rsidR="002F66F4" w:rsidRPr="002F66F4" w:rsidRDefault="002F66F4" w:rsidP="002F66F4">
      <w:pPr>
        <w:pStyle w:val="Heading2"/>
        <w:ind w:left="709" w:hanging="709"/>
      </w:pPr>
      <w:r>
        <w:t>2.1</w:t>
      </w:r>
      <w:r>
        <w:tab/>
      </w:r>
      <w:r w:rsidR="00037D62">
        <w:t>Question 1</w:t>
      </w:r>
    </w:p>
    <w:p w14:paraId="36F1DCFD" w14:textId="77777777" w:rsidR="00037D62" w:rsidRDefault="00037D62" w:rsidP="00F700B1">
      <w:r>
        <w:t>A following question 1 was provided in [1].</w:t>
      </w:r>
    </w:p>
    <w:p w14:paraId="5D5F849A" w14:textId="4F01DD09" w:rsidR="00037D62" w:rsidRDefault="00037D62" w:rsidP="00F700B1">
      <w:r>
        <w:rPr>
          <w:noProof/>
        </w:rPr>
        <w:drawing>
          <wp:inline distT="0" distB="0" distL="0" distR="0" wp14:anchorId="405E6CCB" wp14:editId="58E4F8CB">
            <wp:extent cx="6115050" cy="1441450"/>
            <wp:effectExtent l="19050" t="19050" r="19050" b="254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1441450"/>
                    </a:xfrm>
                    <a:prstGeom prst="rect">
                      <a:avLst/>
                    </a:prstGeom>
                    <a:noFill/>
                    <a:ln>
                      <a:solidFill>
                        <a:schemeClr val="tx1"/>
                      </a:solidFill>
                    </a:ln>
                  </pic:spPr>
                </pic:pic>
              </a:graphicData>
            </a:graphic>
          </wp:inline>
        </w:drawing>
      </w:r>
    </w:p>
    <w:p w14:paraId="26C87F56" w14:textId="77777777" w:rsidR="004D2B45" w:rsidRDefault="00C0353F" w:rsidP="0042089A">
      <w:r>
        <w:t xml:space="preserve">First of all, the agreement of [032] needs clarification since it’s not clear </w:t>
      </w:r>
    </w:p>
    <w:p w14:paraId="4D599DE9" w14:textId="270236D1" w:rsidR="004D2B45" w:rsidRDefault="006A3BE1" w:rsidP="006A3BE1">
      <w:r w:rsidRPr="006A3BE1">
        <w:rPr>
          <w:b/>
          <w:bCs/>
        </w:rPr>
        <w:t>Case 1</w:t>
      </w:r>
      <w:r>
        <w:t xml:space="preserve">: </w:t>
      </w:r>
      <w:r w:rsidR="004D2B45">
        <w:t xml:space="preserve">if </w:t>
      </w:r>
      <w:r w:rsidR="00C0353F">
        <w:t xml:space="preserve">a UE supporting with </w:t>
      </w:r>
      <w:proofErr w:type="spellStart"/>
      <w:r w:rsidR="00C0353F" w:rsidRPr="0042089A">
        <w:rPr>
          <w:i/>
          <w:iCs/>
        </w:rPr>
        <w:t>dualPA</w:t>
      </w:r>
      <w:proofErr w:type="spellEnd"/>
      <w:r w:rsidR="00C0353F" w:rsidRPr="0042089A">
        <w:rPr>
          <w:i/>
          <w:iCs/>
        </w:rPr>
        <w:t>-Architecture</w:t>
      </w:r>
      <w:r w:rsidR="00C0353F">
        <w:rPr>
          <w:i/>
          <w:iCs/>
        </w:rPr>
        <w:t xml:space="preserve"> </w:t>
      </w:r>
      <w:r w:rsidR="00C0353F" w:rsidRPr="004D2B45">
        <w:t>has two UL DC locations but it does</w:t>
      </w:r>
      <w:r w:rsidR="004D2B45">
        <w:t xml:space="preserve"> </w:t>
      </w:r>
      <w:r w:rsidR="00C0353F" w:rsidRPr="004D2B45">
        <w:t>not report two DC locations</w:t>
      </w:r>
    </w:p>
    <w:p w14:paraId="2A34636A" w14:textId="650C96F5" w:rsidR="00C0353F" w:rsidRPr="004D2B45" w:rsidRDefault="006A3BE1" w:rsidP="006A3BE1">
      <w:r w:rsidRPr="006A3BE1">
        <w:rPr>
          <w:b/>
          <w:bCs/>
        </w:rPr>
        <w:t>Case 2</w:t>
      </w:r>
      <w:r>
        <w:t xml:space="preserve">: </w:t>
      </w:r>
      <w:r w:rsidR="004D2B45">
        <w:t xml:space="preserve">if </w:t>
      </w:r>
      <w:r w:rsidR="00C0353F" w:rsidRPr="004D2B45">
        <w:t>a UE supporting</w:t>
      </w:r>
      <w:r w:rsidR="00C0353F">
        <w:t xml:space="preserve"> with </w:t>
      </w:r>
      <w:proofErr w:type="spellStart"/>
      <w:r w:rsidR="00C0353F" w:rsidRPr="0042089A">
        <w:rPr>
          <w:i/>
          <w:iCs/>
        </w:rPr>
        <w:t>dualPA</w:t>
      </w:r>
      <w:proofErr w:type="spellEnd"/>
      <w:r w:rsidR="00C0353F" w:rsidRPr="0042089A">
        <w:rPr>
          <w:i/>
          <w:iCs/>
        </w:rPr>
        <w:t>-Architecture</w:t>
      </w:r>
      <w:r w:rsidR="00C0353F">
        <w:rPr>
          <w:i/>
          <w:iCs/>
        </w:rPr>
        <w:t xml:space="preserve"> </w:t>
      </w:r>
      <w:r w:rsidR="00C0353F" w:rsidRPr="004D2B45">
        <w:t xml:space="preserve">actually does not </w:t>
      </w:r>
      <w:r w:rsidR="004D2B45">
        <w:t xml:space="preserve">always </w:t>
      </w:r>
      <w:r w:rsidR="00C0353F" w:rsidRPr="004D2B45">
        <w:t>have two UL DC locations so that it cannot report two DC locations</w:t>
      </w:r>
      <w:r w:rsidR="004D2B45">
        <w:t xml:space="preserve"> under a certain condition.</w:t>
      </w:r>
    </w:p>
    <w:p w14:paraId="714CB476" w14:textId="559304AE" w:rsidR="00317400" w:rsidRDefault="004D2B45" w:rsidP="0042089A">
      <w:r>
        <w:t xml:space="preserve">Regarding </w:t>
      </w:r>
      <w:r w:rsidR="006A3BE1">
        <w:t xml:space="preserve">Case 1, </w:t>
      </w:r>
      <w:r>
        <w:t>i</w:t>
      </w:r>
      <w:r w:rsidR="00754924">
        <w:t xml:space="preserve">n terms of Rel-17 UL DC location reporting mechanism perspective, </w:t>
      </w:r>
      <w:r>
        <w:t>network would assume the following cases depending on the number of reported UL DC locations.</w:t>
      </w:r>
    </w:p>
    <w:p w14:paraId="1385DB1D" w14:textId="77777777" w:rsidR="00317400" w:rsidRDefault="00317400" w:rsidP="00317400">
      <w:pPr>
        <w:ind w:firstLine="284"/>
      </w:pPr>
      <w:r>
        <w:t>1: Both are at default DC location per CC group</w:t>
      </w:r>
    </w:p>
    <w:p w14:paraId="7DC70C9E" w14:textId="009B6151" w:rsidR="00317400" w:rsidRDefault="00317400" w:rsidP="00317400">
      <w:pPr>
        <w:ind w:firstLine="284"/>
      </w:pPr>
      <w:r>
        <w:t>2: One of them is at default DC location per CC group and the other is at default + offset per CC group</w:t>
      </w:r>
    </w:p>
    <w:p w14:paraId="2799138B" w14:textId="77777777" w:rsidR="00317400" w:rsidRDefault="00317400" w:rsidP="00317400">
      <w:pPr>
        <w:ind w:firstLine="284"/>
      </w:pPr>
      <w:r>
        <w:t>3: Both are at default DC location + offset per CC group</w:t>
      </w:r>
    </w:p>
    <w:p w14:paraId="0D232BA5" w14:textId="31E907D3" w:rsidR="00317400" w:rsidRDefault="00317400" w:rsidP="00317400">
      <w:r>
        <w:t xml:space="preserve">In addition, the benefit of default DC location approach is the reduction of signalling overhead. In case of </w:t>
      </w:r>
      <w:r w:rsidR="00505A6F">
        <w:t xml:space="preserve">the above </w:t>
      </w:r>
      <w:r>
        <w:t>1 and 2, the UE does not need to report the DC position(s) since it’s exactly at the default position.</w:t>
      </w:r>
    </w:p>
    <w:p w14:paraId="6430E710" w14:textId="258D04EF" w:rsidR="00603768" w:rsidRDefault="0042089A" w:rsidP="001B0CBF">
      <w:pPr>
        <w:rPr>
          <w:b/>
          <w:bCs/>
        </w:rPr>
      </w:pPr>
      <w:r w:rsidRPr="000A1E92">
        <w:rPr>
          <w:b/>
          <w:bCs/>
        </w:rPr>
        <w:t xml:space="preserve">Observation </w:t>
      </w:r>
      <w:r w:rsidR="00317400">
        <w:rPr>
          <w:b/>
          <w:bCs/>
        </w:rPr>
        <w:t>1</w:t>
      </w:r>
      <w:r w:rsidRPr="000A1E92">
        <w:rPr>
          <w:b/>
          <w:bCs/>
        </w:rPr>
        <w:t xml:space="preserve">: </w:t>
      </w:r>
      <w:r w:rsidR="00754924">
        <w:rPr>
          <w:b/>
          <w:bCs/>
        </w:rPr>
        <w:t xml:space="preserve">From Rel-17 UL DC location mechanism perspective, </w:t>
      </w:r>
      <w:r w:rsidRPr="000A1E92">
        <w:rPr>
          <w:b/>
          <w:bCs/>
        </w:rPr>
        <w:t xml:space="preserve">if the number of DC locations of the UE with </w:t>
      </w:r>
      <w:proofErr w:type="spellStart"/>
      <w:r w:rsidRPr="000A1E92">
        <w:rPr>
          <w:b/>
          <w:bCs/>
          <w:i/>
          <w:iCs/>
        </w:rPr>
        <w:t>dualPA</w:t>
      </w:r>
      <w:proofErr w:type="spellEnd"/>
      <w:r w:rsidRPr="000A1E92">
        <w:rPr>
          <w:b/>
          <w:bCs/>
          <w:i/>
          <w:iCs/>
        </w:rPr>
        <w:t>-Architecture</w:t>
      </w:r>
      <w:r w:rsidRPr="000A1E92">
        <w:rPr>
          <w:b/>
          <w:bCs/>
        </w:rPr>
        <w:t xml:space="preserve"> is one</w:t>
      </w:r>
      <w:r w:rsidR="00754924">
        <w:rPr>
          <w:b/>
          <w:bCs/>
        </w:rPr>
        <w:t xml:space="preserve"> or zero, network has to assume that there is an UL DC location at default or two UL DC locations at the respective default.</w:t>
      </w:r>
      <w:r w:rsidR="00C0353F">
        <w:rPr>
          <w:b/>
          <w:bCs/>
        </w:rPr>
        <w:t xml:space="preserve"> It’s noted that for all the cases the UE has two DC locations.</w:t>
      </w:r>
    </w:p>
    <w:p w14:paraId="7F4FC75E" w14:textId="450C3192" w:rsidR="00C0353F" w:rsidRDefault="004D2B45" w:rsidP="00754924">
      <w:r>
        <w:t xml:space="preserve">Regarding the </w:t>
      </w:r>
      <w:r w:rsidR="006A3BE1">
        <w:t xml:space="preserve">Case 2, </w:t>
      </w:r>
      <w:r>
        <w:t>i.e., i</w:t>
      </w:r>
      <w:r w:rsidR="00754924">
        <w:t xml:space="preserve">f a UE </w:t>
      </w:r>
      <w:r>
        <w:t xml:space="preserve">supporting </w:t>
      </w:r>
      <w:proofErr w:type="spellStart"/>
      <w:r w:rsidR="00C0353F" w:rsidRPr="0042089A">
        <w:rPr>
          <w:i/>
          <w:iCs/>
        </w:rPr>
        <w:t>dualPA</w:t>
      </w:r>
      <w:proofErr w:type="spellEnd"/>
      <w:r w:rsidR="00C0353F" w:rsidRPr="0042089A">
        <w:rPr>
          <w:i/>
          <w:iCs/>
        </w:rPr>
        <w:t>-Architecture</w:t>
      </w:r>
      <w:r w:rsidR="00C0353F">
        <w:t xml:space="preserve"> </w:t>
      </w:r>
      <w:r>
        <w:t xml:space="preserve">actually </w:t>
      </w:r>
      <w:r w:rsidR="00C0353F">
        <w:t xml:space="preserve">does not </w:t>
      </w:r>
      <w:r>
        <w:t xml:space="preserve">always </w:t>
      </w:r>
      <w:r w:rsidR="00C0353F">
        <w:t xml:space="preserve">have two UL DC locations, this causes an issue since if the UE reports only one UL DC location, then, according to the observation 1, the network has to assume that the other UL DC location is at default and avoid scheduling UL resource of other UEs to that position or schedule resources with low MCS </w:t>
      </w:r>
      <w:r>
        <w:t xml:space="preserve">to that position </w:t>
      </w:r>
      <w:r w:rsidR="00C0353F">
        <w:t>while actually it does not exist. Then, the UL resource becomes in vain.</w:t>
      </w:r>
    </w:p>
    <w:p w14:paraId="0653E980" w14:textId="25DAE3B2" w:rsidR="00754924" w:rsidRDefault="00754924" w:rsidP="00754924">
      <w:pPr>
        <w:rPr>
          <w:b/>
          <w:bCs/>
        </w:rPr>
      </w:pPr>
      <w:r w:rsidRPr="000A1E92">
        <w:rPr>
          <w:b/>
          <w:bCs/>
        </w:rPr>
        <w:t xml:space="preserve">Observation </w:t>
      </w:r>
      <w:r w:rsidR="00C0353F">
        <w:rPr>
          <w:b/>
          <w:bCs/>
        </w:rPr>
        <w:t>2</w:t>
      </w:r>
      <w:r w:rsidRPr="000A1E92">
        <w:rPr>
          <w:b/>
          <w:bCs/>
        </w:rPr>
        <w:t xml:space="preserve">: </w:t>
      </w:r>
      <w:r w:rsidR="00C0353F">
        <w:rPr>
          <w:b/>
          <w:bCs/>
        </w:rPr>
        <w:t xml:space="preserve">If there is a case that a UE </w:t>
      </w:r>
      <w:r w:rsidR="00C0353F" w:rsidRPr="00C0353F">
        <w:rPr>
          <w:b/>
          <w:bCs/>
        </w:rPr>
        <w:t>with</w:t>
      </w:r>
      <w:r w:rsidR="00C0353F" w:rsidRPr="00C0353F">
        <w:rPr>
          <w:b/>
          <w:bCs/>
          <w:i/>
          <w:iCs/>
        </w:rPr>
        <w:t xml:space="preserve"> </w:t>
      </w:r>
      <w:proofErr w:type="spellStart"/>
      <w:r w:rsidR="00C0353F" w:rsidRPr="00C0353F">
        <w:rPr>
          <w:b/>
          <w:bCs/>
          <w:i/>
          <w:iCs/>
        </w:rPr>
        <w:t>dualPA</w:t>
      </w:r>
      <w:proofErr w:type="spellEnd"/>
      <w:r w:rsidR="00C0353F" w:rsidRPr="00C0353F">
        <w:rPr>
          <w:b/>
          <w:bCs/>
          <w:i/>
          <w:iCs/>
        </w:rPr>
        <w:t>-Architecture</w:t>
      </w:r>
      <w:r w:rsidR="00C0353F" w:rsidRPr="00C0353F">
        <w:rPr>
          <w:b/>
          <w:bCs/>
        </w:rPr>
        <w:t xml:space="preserve"> does not always have two UL DC locations</w:t>
      </w:r>
      <w:r w:rsidR="003E3905">
        <w:rPr>
          <w:b/>
          <w:bCs/>
        </w:rPr>
        <w:t xml:space="preserve"> and does not report one UL DC location</w:t>
      </w:r>
      <w:r w:rsidR="00C0353F">
        <w:rPr>
          <w:b/>
          <w:bCs/>
        </w:rPr>
        <w:t xml:space="preserve">, the situation may make network confused </w:t>
      </w:r>
      <w:r w:rsidR="003E3905">
        <w:rPr>
          <w:b/>
          <w:bCs/>
        </w:rPr>
        <w:t xml:space="preserve">since the network assumes </w:t>
      </w:r>
      <w:r w:rsidR="00C0353F">
        <w:rPr>
          <w:b/>
          <w:bCs/>
        </w:rPr>
        <w:t xml:space="preserve">that </w:t>
      </w:r>
      <w:r w:rsidR="003E3905">
        <w:rPr>
          <w:b/>
          <w:bCs/>
        </w:rPr>
        <w:t xml:space="preserve">one </w:t>
      </w:r>
      <w:r w:rsidR="00505A6F">
        <w:rPr>
          <w:b/>
          <w:bCs/>
        </w:rPr>
        <w:t xml:space="preserve">of the </w:t>
      </w:r>
      <w:r w:rsidR="003E3905">
        <w:rPr>
          <w:b/>
          <w:bCs/>
        </w:rPr>
        <w:t>UL DC location</w:t>
      </w:r>
      <w:r w:rsidR="00505A6F">
        <w:rPr>
          <w:b/>
          <w:bCs/>
        </w:rPr>
        <w:t>s</w:t>
      </w:r>
      <w:r w:rsidR="005F530D">
        <w:rPr>
          <w:b/>
          <w:bCs/>
        </w:rPr>
        <w:t xml:space="preserve"> </w:t>
      </w:r>
      <w:r w:rsidR="00505A6F">
        <w:rPr>
          <w:b/>
          <w:bCs/>
        </w:rPr>
        <w:t>is</w:t>
      </w:r>
      <w:r w:rsidR="003E3905">
        <w:rPr>
          <w:b/>
          <w:bCs/>
        </w:rPr>
        <w:t xml:space="preserve"> at default location, </w:t>
      </w:r>
      <w:r w:rsidR="00C0353F">
        <w:rPr>
          <w:b/>
          <w:bCs/>
        </w:rPr>
        <w:t xml:space="preserve">i.e., no offset, </w:t>
      </w:r>
      <w:r w:rsidR="003E3905">
        <w:rPr>
          <w:b/>
          <w:bCs/>
        </w:rPr>
        <w:t>and the UE does not report them.</w:t>
      </w:r>
    </w:p>
    <w:p w14:paraId="03D6DFF3" w14:textId="0288D56F" w:rsidR="00E71A82" w:rsidRPr="000A1E92" w:rsidRDefault="00E71A82" w:rsidP="00754924">
      <w:pPr>
        <w:rPr>
          <w:b/>
          <w:bCs/>
        </w:rPr>
      </w:pPr>
      <w:r>
        <w:rPr>
          <w:b/>
          <w:bCs/>
        </w:rPr>
        <w:lastRenderedPageBreak/>
        <w:t>Proposal: I</w:t>
      </w:r>
      <w:r w:rsidR="006A3BE1" w:rsidRPr="00E71A82">
        <w:rPr>
          <w:b/>
          <w:bCs/>
        </w:rPr>
        <w:t>f</w:t>
      </w:r>
      <w:r w:rsidRPr="00E71A82">
        <w:rPr>
          <w:b/>
          <w:bCs/>
        </w:rPr>
        <w:t xml:space="preserve"> it is a common understanding that </w:t>
      </w:r>
      <w:r w:rsidR="003E3905">
        <w:rPr>
          <w:b/>
          <w:bCs/>
        </w:rPr>
        <w:t xml:space="preserve">there is a case mentioned in observation 2, </w:t>
      </w:r>
      <w:r w:rsidRPr="00E71A82">
        <w:rPr>
          <w:b/>
          <w:bCs/>
        </w:rPr>
        <w:t xml:space="preserve">then, the information should be shared with RAN2 and ask them </w:t>
      </w:r>
      <w:r w:rsidR="00505A6F">
        <w:rPr>
          <w:b/>
          <w:bCs/>
        </w:rPr>
        <w:t xml:space="preserve">to address </w:t>
      </w:r>
      <w:r w:rsidRPr="00E71A82">
        <w:rPr>
          <w:b/>
          <w:bCs/>
        </w:rPr>
        <w:t>the issue</w:t>
      </w:r>
      <w:r w:rsidR="003E3905">
        <w:rPr>
          <w:b/>
          <w:bCs/>
        </w:rPr>
        <w:t xml:space="preserve"> in observation 2</w:t>
      </w:r>
      <w:r w:rsidR="00505A6F">
        <w:rPr>
          <w:b/>
          <w:bCs/>
        </w:rPr>
        <w:t>, e.g., at least UE has to report the number of UL DC locations</w:t>
      </w:r>
      <w:r w:rsidR="005F530D">
        <w:rPr>
          <w:b/>
          <w:bCs/>
        </w:rPr>
        <w:t xml:space="preserve"> </w:t>
      </w:r>
      <w:r w:rsidR="005F530D">
        <w:rPr>
          <w:b/>
          <w:bCs/>
        </w:rPr>
        <w:t>(or CC-groups)</w:t>
      </w:r>
      <w:r w:rsidR="00505A6F">
        <w:rPr>
          <w:b/>
          <w:bCs/>
        </w:rPr>
        <w:t xml:space="preserve"> whenever it’s instructed to repot UL DC location(s).</w:t>
      </w:r>
    </w:p>
    <w:p w14:paraId="4FA6FC40" w14:textId="6BAA5632" w:rsidR="002F66F4" w:rsidRPr="002F66F4" w:rsidRDefault="002F66F4" w:rsidP="002F66F4">
      <w:pPr>
        <w:pStyle w:val="Heading2"/>
        <w:ind w:left="709" w:hanging="709"/>
      </w:pPr>
      <w:r>
        <w:t>2.2</w:t>
      </w:r>
      <w:r>
        <w:tab/>
      </w:r>
      <w:r w:rsidR="00A552A4">
        <w:t>Question 2</w:t>
      </w:r>
    </w:p>
    <w:p w14:paraId="08F1D180" w14:textId="2DB8DA19" w:rsidR="00991EE8" w:rsidRDefault="00991EE8" w:rsidP="00991EE8">
      <w:r>
        <w:t>A following question 2 was provided in [1].</w:t>
      </w:r>
    </w:p>
    <w:p w14:paraId="186CDDBC" w14:textId="79D8B056" w:rsidR="00991EE8" w:rsidRDefault="00991EE8" w:rsidP="00991EE8">
      <w:pPr>
        <w:jc w:val="center"/>
      </w:pPr>
      <w:r>
        <w:rPr>
          <w:noProof/>
        </w:rPr>
        <w:drawing>
          <wp:inline distT="0" distB="0" distL="0" distR="0" wp14:anchorId="082B4604" wp14:editId="418B6E1F">
            <wp:extent cx="4387850" cy="2660960"/>
            <wp:effectExtent l="19050" t="19050" r="12700" b="254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99462" cy="2668002"/>
                    </a:xfrm>
                    <a:prstGeom prst="rect">
                      <a:avLst/>
                    </a:prstGeom>
                    <a:noFill/>
                    <a:ln>
                      <a:solidFill>
                        <a:schemeClr val="tx1"/>
                      </a:solidFill>
                    </a:ln>
                  </pic:spPr>
                </pic:pic>
              </a:graphicData>
            </a:graphic>
          </wp:inline>
        </w:drawing>
      </w:r>
    </w:p>
    <w:p w14:paraId="00F0C761" w14:textId="56D5E49F" w:rsidR="00991EE8" w:rsidRDefault="00991EE8" w:rsidP="00991EE8">
      <w:r>
        <w:t xml:space="preserve">The scope of the discussion in Rel-17 was limited to intra band contiguous and non-contiguous UL CA for FR1 intra band contiguous UL CA for FR2-1. Hence, at this moment of time, the change </w:t>
      </w:r>
      <w:r w:rsidR="00E71A82">
        <w:t xml:space="preserve">in principle </w:t>
      </w:r>
      <w:r>
        <w:t>must be applicable to only the former one</w:t>
      </w:r>
      <w:r w:rsidR="00E71A82">
        <w:t xml:space="preserve"> even though the UE supporting </w:t>
      </w:r>
      <w:proofErr w:type="spellStart"/>
      <w:r w:rsidR="00E71A82" w:rsidRPr="00E71A82">
        <w:rPr>
          <w:i/>
          <w:iCs/>
        </w:rPr>
        <w:t>dualPA</w:t>
      </w:r>
      <w:proofErr w:type="spellEnd"/>
      <w:r w:rsidR="00E71A82" w:rsidRPr="00E71A82">
        <w:rPr>
          <w:i/>
          <w:iCs/>
        </w:rPr>
        <w:t>-Architecture</w:t>
      </w:r>
      <w:r w:rsidR="00E71A82">
        <w:t xml:space="preserve"> for intra MR-DC case may have two UL DC location. It’s noted that even if RAN4’s answer is the change is applicable to both, the latter cannot have any meaning in terms of UL DC location reporting since we haven’t had a mechanism to enable UE to report the two locations for MR-DC.</w:t>
      </w:r>
    </w:p>
    <w:p w14:paraId="03CCF40E" w14:textId="5CAE0462" w:rsidR="00733FCB" w:rsidRDefault="00991EE8" w:rsidP="001B0CBF">
      <w:pPr>
        <w:rPr>
          <w:b/>
          <w:bCs/>
        </w:rPr>
      </w:pPr>
      <w:r>
        <w:rPr>
          <w:b/>
          <w:bCs/>
        </w:rPr>
        <w:t>Observation 3</w:t>
      </w:r>
      <w:r w:rsidR="0031458C">
        <w:rPr>
          <w:b/>
          <w:bCs/>
        </w:rPr>
        <w:t xml:space="preserve">: </w:t>
      </w:r>
      <w:r w:rsidR="000A1E92">
        <w:rPr>
          <w:b/>
          <w:bCs/>
        </w:rPr>
        <w:t xml:space="preserve">RAN2 spec changes only for </w:t>
      </w:r>
      <w:proofErr w:type="spellStart"/>
      <w:r w:rsidR="000A1E92" w:rsidRPr="000A1E92">
        <w:rPr>
          <w:b/>
          <w:bCs/>
          <w:i/>
          <w:iCs/>
        </w:rPr>
        <w:t>dualPA</w:t>
      </w:r>
      <w:proofErr w:type="spellEnd"/>
      <w:r w:rsidR="000A1E92" w:rsidRPr="000A1E92">
        <w:rPr>
          <w:b/>
          <w:bCs/>
          <w:i/>
          <w:iCs/>
        </w:rPr>
        <w:t>-Architecture</w:t>
      </w:r>
      <w:r w:rsidR="000A1E92">
        <w:rPr>
          <w:b/>
          <w:bCs/>
        </w:rPr>
        <w:t xml:space="preserve"> for intra-band CA is required</w:t>
      </w:r>
      <w:r w:rsidR="00E71A82">
        <w:rPr>
          <w:b/>
          <w:bCs/>
        </w:rPr>
        <w:t xml:space="preserve"> at this moment of time.</w:t>
      </w:r>
    </w:p>
    <w:p w14:paraId="4063B845" w14:textId="11BCCC32" w:rsidR="00276F69" w:rsidRDefault="001B0CBF" w:rsidP="00276F69">
      <w:pPr>
        <w:pStyle w:val="Heading1"/>
      </w:pPr>
      <w:r>
        <w:t>3</w:t>
      </w:r>
      <w:r w:rsidR="00276F69">
        <w:tab/>
        <w:t>Conclusion</w:t>
      </w:r>
    </w:p>
    <w:p w14:paraId="4955BEB5" w14:textId="1D3FCFE0" w:rsidR="0063374B" w:rsidRDefault="0063374B" w:rsidP="0063374B">
      <w:r>
        <w:t xml:space="preserve">As the result, we obtained the following </w:t>
      </w:r>
      <w:r w:rsidR="000A1E92">
        <w:t>three observations</w:t>
      </w:r>
      <w:r w:rsidR="00E71A82">
        <w:t xml:space="preserve"> and proposals</w:t>
      </w:r>
      <w:r w:rsidR="000A1E92">
        <w:t>.</w:t>
      </w:r>
    </w:p>
    <w:p w14:paraId="2898839D" w14:textId="77777777" w:rsidR="00505A6F" w:rsidRDefault="00505A6F" w:rsidP="00505A6F">
      <w:pPr>
        <w:rPr>
          <w:b/>
          <w:bCs/>
        </w:rPr>
      </w:pPr>
      <w:r w:rsidRPr="000A1E92">
        <w:rPr>
          <w:b/>
          <w:bCs/>
        </w:rPr>
        <w:t xml:space="preserve">Observation </w:t>
      </w:r>
      <w:r>
        <w:rPr>
          <w:b/>
          <w:bCs/>
        </w:rPr>
        <w:t>1</w:t>
      </w:r>
      <w:r w:rsidRPr="000A1E92">
        <w:rPr>
          <w:b/>
          <w:bCs/>
        </w:rPr>
        <w:t xml:space="preserve">: </w:t>
      </w:r>
      <w:r>
        <w:rPr>
          <w:b/>
          <w:bCs/>
        </w:rPr>
        <w:t xml:space="preserve">From Rel-17 UL DC location mechanism perspective, </w:t>
      </w:r>
      <w:r w:rsidRPr="000A1E92">
        <w:rPr>
          <w:b/>
          <w:bCs/>
        </w:rPr>
        <w:t xml:space="preserve">if the number of DC locations of the UE with </w:t>
      </w:r>
      <w:proofErr w:type="spellStart"/>
      <w:r w:rsidRPr="000A1E92">
        <w:rPr>
          <w:b/>
          <w:bCs/>
          <w:i/>
          <w:iCs/>
        </w:rPr>
        <w:t>dualPA</w:t>
      </w:r>
      <w:proofErr w:type="spellEnd"/>
      <w:r w:rsidRPr="000A1E92">
        <w:rPr>
          <w:b/>
          <w:bCs/>
          <w:i/>
          <w:iCs/>
        </w:rPr>
        <w:t>-Architecture</w:t>
      </w:r>
      <w:r w:rsidRPr="000A1E92">
        <w:rPr>
          <w:b/>
          <w:bCs/>
        </w:rPr>
        <w:t xml:space="preserve"> is one</w:t>
      </w:r>
      <w:r>
        <w:rPr>
          <w:b/>
          <w:bCs/>
        </w:rPr>
        <w:t xml:space="preserve"> or zero, network has to assume that there is an UL DC location at default or two UL DC locations at the respective default. It’s noted that for all the cases the UE has two DC locations.</w:t>
      </w:r>
    </w:p>
    <w:p w14:paraId="10C25914" w14:textId="77777777" w:rsidR="00505A6F" w:rsidRDefault="00505A6F" w:rsidP="00505A6F">
      <w:pPr>
        <w:rPr>
          <w:b/>
          <w:bCs/>
        </w:rPr>
      </w:pPr>
      <w:r w:rsidRPr="000A1E92">
        <w:rPr>
          <w:b/>
          <w:bCs/>
        </w:rPr>
        <w:t xml:space="preserve">Observation </w:t>
      </w:r>
      <w:r>
        <w:rPr>
          <w:b/>
          <w:bCs/>
        </w:rPr>
        <w:t>2</w:t>
      </w:r>
      <w:r w:rsidRPr="000A1E92">
        <w:rPr>
          <w:b/>
          <w:bCs/>
        </w:rPr>
        <w:t xml:space="preserve">: </w:t>
      </w:r>
      <w:r>
        <w:rPr>
          <w:b/>
          <w:bCs/>
        </w:rPr>
        <w:t xml:space="preserve">If there is a case that a UE </w:t>
      </w:r>
      <w:r w:rsidRPr="00C0353F">
        <w:rPr>
          <w:b/>
          <w:bCs/>
        </w:rPr>
        <w:t>with</w:t>
      </w:r>
      <w:r w:rsidRPr="00C0353F">
        <w:rPr>
          <w:b/>
          <w:bCs/>
          <w:i/>
          <w:iCs/>
        </w:rPr>
        <w:t xml:space="preserve"> </w:t>
      </w:r>
      <w:proofErr w:type="spellStart"/>
      <w:r w:rsidRPr="00C0353F">
        <w:rPr>
          <w:b/>
          <w:bCs/>
          <w:i/>
          <w:iCs/>
        </w:rPr>
        <w:t>dualPA</w:t>
      </w:r>
      <w:proofErr w:type="spellEnd"/>
      <w:r w:rsidRPr="00C0353F">
        <w:rPr>
          <w:b/>
          <w:bCs/>
          <w:i/>
          <w:iCs/>
        </w:rPr>
        <w:t>-Architecture</w:t>
      </w:r>
      <w:r w:rsidRPr="00C0353F">
        <w:rPr>
          <w:b/>
          <w:bCs/>
        </w:rPr>
        <w:t xml:space="preserve"> does not always have two UL DC locations</w:t>
      </w:r>
      <w:r>
        <w:rPr>
          <w:b/>
          <w:bCs/>
        </w:rPr>
        <w:t xml:space="preserve"> and does not report one UL DC location, the situation may make network confused since the network assumes that one of the UL DC locations is at default location, i.e., no offset, and the UE does not report them.</w:t>
      </w:r>
    </w:p>
    <w:p w14:paraId="521F7878" w14:textId="54A04624" w:rsidR="00505A6F" w:rsidRPr="000A1E92" w:rsidRDefault="00505A6F" w:rsidP="00505A6F">
      <w:pPr>
        <w:rPr>
          <w:b/>
          <w:bCs/>
        </w:rPr>
      </w:pPr>
      <w:r>
        <w:rPr>
          <w:b/>
          <w:bCs/>
        </w:rPr>
        <w:t>Proposal: I</w:t>
      </w:r>
      <w:r w:rsidRPr="00E71A82">
        <w:rPr>
          <w:b/>
          <w:bCs/>
        </w:rPr>
        <w:t xml:space="preserve">f it is a common understanding that </w:t>
      </w:r>
      <w:r>
        <w:rPr>
          <w:b/>
          <w:bCs/>
        </w:rPr>
        <w:t xml:space="preserve">there is a case mentioned in observation 2, </w:t>
      </w:r>
      <w:r w:rsidRPr="00E71A82">
        <w:rPr>
          <w:b/>
          <w:bCs/>
        </w:rPr>
        <w:t xml:space="preserve">then, the information should be shared with RAN2 and ask them </w:t>
      </w:r>
      <w:r>
        <w:rPr>
          <w:b/>
          <w:bCs/>
        </w:rPr>
        <w:t xml:space="preserve">to address </w:t>
      </w:r>
      <w:r w:rsidRPr="00E71A82">
        <w:rPr>
          <w:b/>
          <w:bCs/>
        </w:rPr>
        <w:t>the issue</w:t>
      </w:r>
      <w:r>
        <w:rPr>
          <w:b/>
          <w:bCs/>
        </w:rPr>
        <w:t xml:space="preserve"> in observation 2, e.g., at least UE has to report the number of UL DC locations</w:t>
      </w:r>
      <w:r w:rsidR="005F530D">
        <w:rPr>
          <w:b/>
          <w:bCs/>
        </w:rPr>
        <w:t xml:space="preserve"> (or CC-groups) </w:t>
      </w:r>
      <w:r>
        <w:rPr>
          <w:b/>
          <w:bCs/>
        </w:rPr>
        <w:t>whenever it’s instructed to repot UL DC location(s).</w:t>
      </w:r>
    </w:p>
    <w:p w14:paraId="4592A023" w14:textId="77777777" w:rsidR="00505A6F" w:rsidRDefault="00505A6F" w:rsidP="00505A6F">
      <w:pPr>
        <w:rPr>
          <w:b/>
          <w:bCs/>
        </w:rPr>
      </w:pPr>
      <w:r>
        <w:rPr>
          <w:b/>
          <w:bCs/>
        </w:rPr>
        <w:t xml:space="preserve">Observation 3: RAN2 spec changes only for </w:t>
      </w:r>
      <w:proofErr w:type="spellStart"/>
      <w:r w:rsidRPr="000A1E92">
        <w:rPr>
          <w:b/>
          <w:bCs/>
          <w:i/>
          <w:iCs/>
        </w:rPr>
        <w:t>dualPA</w:t>
      </w:r>
      <w:proofErr w:type="spellEnd"/>
      <w:r w:rsidRPr="000A1E92">
        <w:rPr>
          <w:b/>
          <w:bCs/>
          <w:i/>
          <w:iCs/>
        </w:rPr>
        <w:t>-Architecture</w:t>
      </w:r>
      <w:r>
        <w:rPr>
          <w:b/>
          <w:bCs/>
        </w:rPr>
        <w:t xml:space="preserve"> for intra-band CA is required at this moment of time.</w:t>
      </w:r>
    </w:p>
    <w:p w14:paraId="08E8FE59" w14:textId="74A1FDDC" w:rsidR="00F62561" w:rsidRDefault="001B0CBF" w:rsidP="00F62561">
      <w:pPr>
        <w:pStyle w:val="Heading1"/>
      </w:pPr>
      <w:r>
        <w:t>4</w:t>
      </w:r>
      <w:r w:rsidR="00F62561">
        <w:tab/>
        <w:t>References</w:t>
      </w:r>
    </w:p>
    <w:p w14:paraId="478614F1" w14:textId="73003F93" w:rsidR="0063374B" w:rsidRPr="000A1E92" w:rsidRDefault="00037D62" w:rsidP="00180D58">
      <w:pPr>
        <w:pStyle w:val="ListParagraph"/>
        <w:numPr>
          <w:ilvl w:val="0"/>
          <w:numId w:val="29"/>
        </w:numPr>
        <w:rPr>
          <w:rFonts w:eastAsia="DengXian"/>
        </w:rPr>
      </w:pPr>
      <w:r w:rsidRPr="000A1E92">
        <w:rPr>
          <w:rFonts w:eastAsia="DengXian"/>
        </w:rPr>
        <w:t>R2-2206428</w:t>
      </w:r>
      <w:r w:rsidR="007E113D" w:rsidRPr="000A1E92">
        <w:rPr>
          <w:rFonts w:eastAsia="DengXian"/>
        </w:rPr>
        <w:t xml:space="preserve">, </w:t>
      </w:r>
      <w:r w:rsidRPr="000A1E92">
        <w:rPr>
          <w:rFonts w:eastAsia="DengXian"/>
        </w:rPr>
        <w:t xml:space="preserve">LS reply on clarification of </w:t>
      </w:r>
      <w:proofErr w:type="spellStart"/>
      <w:r w:rsidRPr="000A1E92">
        <w:rPr>
          <w:rFonts w:eastAsia="DengXian"/>
        </w:rPr>
        <w:t>dualPA</w:t>
      </w:r>
      <w:proofErr w:type="spellEnd"/>
      <w:r w:rsidRPr="000A1E92">
        <w:rPr>
          <w:rFonts w:eastAsia="DengXian"/>
        </w:rPr>
        <w:t>-Architecture capability</w:t>
      </w:r>
      <w:r w:rsidR="007E113D" w:rsidRPr="000A1E92">
        <w:rPr>
          <w:rFonts w:eastAsia="DengXian"/>
        </w:rPr>
        <w:t xml:space="preserve">, </w:t>
      </w:r>
      <w:r w:rsidRPr="000A1E92">
        <w:rPr>
          <w:rFonts w:eastAsia="DengXian"/>
        </w:rPr>
        <w:t>OPPO</w:t>
      </w:r>
      <w:r w:rsidR="007E113D" w:rsidRPr="000A1E92">
        <w:rPr>
          <w:rFonts w:eastAsia="DengXian"/>
        </w:rPr>
        <w:t>, RAN</w:t>
      </w:r>
      <w:r w:rsidRPr="000A1E92">
        <w:rPr>
          <w:rFonts w:eastAsia="DengXian"/>
        </w:rPr>
        <w:t>2</w:t>
      </w:r>
      <w:r w:rsidR="007E113D" w:rsidRPr="000A1E92">
        <w:rPr>
          <w:rFonts w:eastAsia="DengXian"/>
        </w:rPr>
        <w:t>#1</w:t>
      </w:r>
      <w:r w:rsidRPr="000A1E92">
        <w:rPr>
          <w:rFonts w:eastAsia="DengXian"/>
        </w:rPr>
        <w:t>18</w:t>
      </w:r>
      <w:r w:rsidR="007E113D" w:rsidRPr="000A1E92">
        <w:rPr>
          <w:rFonts w:eastAsia="DengXian"/>
        </w:rPr>
        <w:t>-e</w:t>
      </w:r>
    </w:p>
    <w:sectPr w:rsidR="0063374B" w:rsidRPr="000A1E92"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5F635" w14:textId="77777777" w:rsidR="00EB7F4E" w:rsidRDefault="00EB7F4E" w:rsidP="002B3503">
      <w:pPr>
        <w:spacing w:after="0"/>
      </w:pPr>
      <w:r>
        <w:separator/>
      </w:r>
    </w:p>
  </w:endnote>
  <w:endnote w:type="continuationSeparator" w:id="0">
    <w:p w14:paraId="6E9008D0" w14:textId="77777777" w:rsidR="00EB7F4E" w:rsidRDefault="00EB7F4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0450" w14:textId="77777777" w:rsidR="00EB7F4E" w:rsidRDefault="00EB7F4E" w:rsidP="002B3503">
      <w:pPr>
        <w:spacing w:after="0"/>
      </w:pPr>
      <w:r>
        <w:separator/>
      </w:r>
    </w:p>
  </w:footnote>
  <w:footnote w:type="continuationSeparator" w:id="0">
    <w:p w14:paraId="6A3472B2" w14:textId="77777777" w:rsidR="00EB7F4E" w:rsidRDefault="00EB7F4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07AE" w14:textId="77777777" w:rsidR="000E2C46" w:rsidRDefault="000E2C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397433"/>
    <w:multiLevelType w:val="hybridMultilevel"/>
    <w:tmpl w:val="82D6B7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970201"/>
    <w:multiLevelType w:val="hybridMultilevel"/>
    <w:tmpl w:val="46F6ACDE"/>
    <w:lvl w:ilvl="0" w:tplc="5C62B8FC">
      <w:start w:val="3"/>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D443F"/>
    <w:multiLevelType w:val="hybridMultilevel"/>
    <w:tmpl w:val="64B052D4"/>
    <w:lvl w:ilvl="0" w:tplc="096CD134">
      <w:start w:val="1"/>
      <w:numFmt w:val="bullet"/>
      <w:lvlText w:val="-"/>
      <w:lvlJc w:val="left"/>
      <w:pPr>
        <w:ind w:left="100" w:hanging="360"/>
      </w:pPr>
      <w:rPr>
        <w:rFonts w:ascii="Times New Roman" w:eastAsia="ＭＳ 明朝" w:hAnsi="Times New Roman" w:cs="Times New Roman" w:hint="default"/>
      </w:rPr>
    </w:lvl>
    <w:lvl w:ilvl="1" w:tplc="08090003">
      <w:start w:val="1"/>
      <w:numFmt w:val="bullet"/>
      <w:lvlText w:val="o"/>
      <w:lvlJc w:val="left"/>
      <w:pPr>
        <w:ind w:left="820" w:hanging="360"/>
      </w:pPr>
      <w:rPr>
        <w:rFonts w:ascii="Courier New" w:hAnsi="Courier New" w:cs="Courier New" w:hint="default"/>
      </w:rPr>
    </w:lvl>
    <w:lvl w:ilvl="2" w:tplc="08090005" w:tentative="1">
      <w:start w:val="1"/>
      <w:numFmt w:val="bullet"/>
      <w:lvlText w:val=""/>
      <w:lvlJc w:val="left"/>
      <w:pPr>
        <w:ind w:left="1540" w:hanging="360"/>
      </w:pPr>
      <w:rPr>
        <w:rFonts w:ascii="Wingdings" w:hAnsi="Wingdings" w:hint="default"/>
      </w:rPr>
    </w:lvl>
    <w:lvl w:ilvl="3" w:tplc="08090001" w:tentative="1">
      <w:start w:val="1"/>
      <w:numFmt w:val="bullet"/>
      <w:lvlText w:val=""/>
      <w:lvlJc w:val="left"/>
      <w:pPr>
        <w:ind w:left="2260" w:hanging="360"/>
      </w:pPr>
      <w:rPr>
        <w:rFonts w:ascii="Symbol" w:hAnsi="Symbol" w:hint="default"/>
      </w:rPr>
    </w:lvl>
    <w:lvl w:ilvl="4" w:tplc="08090003" w:tentative="1">
      <w:start w:val="1"/>
      <w:numFmt w:val="bullet"/>
      <w:lvlText w:val="o"/>
      <w:lvlJc w:val="left"/>
      <w:pPr>
        <w:ind w:left="2980" w:hanging="360"/>
      </w:pPr>
      <w:rPr>
        <w:rFonts w:ascii="Courier New" w:hAnsi="Courier New" w:cs="Courier New" w:hint="default"/>
      </w:rPr>
    </w:lvl>
    <w:lvl w:ilvl="5" w:tplc="08090005" w:tentative="1">
      <w:start w:val="1"/>
      <w:numFmt w:val="bullet"/>
      <w:lvlText w:val=""/>
      <w:lvlJc w:val="left"/>
      <w:pPr>
        <w:ind w:left="3700" w:hanging="360"/>
      </w:pPr>
      <w:rPr>
        <w:rFonts w:ascii="Wingdings" w:hAnsi="Wingdings" w:hint="default"/>
      </w:rPr>
    </w:lvl>
    <w:lvl w:ilvl="6" w:tplc="08090001" w:tentative="1">
      <w:start w:val="1"/>
      <w:numFmt w:val="bullet"/>
      <w:lvlText w:val=""/>
      <w:lvlJc w:val="left"/>
      <w:pPr>
        <w:ind w:left="4420" w:hanging="360"/>
      </w:pPr>
      <w:rPr>
        <w:rFonts w:ascii="Symbol" w:hAnsi="Symbol" w:hint="default"/>
      </w:rPr>
    </w:lvl>
    <w:lvl w:ilvl="7" w:tplc="08090003" w:tentative="1">
      <w:start w:val="1"/>
      <w:numFmt w:val="bullet"/>
      <w:lvlText w:val="o"/>
      <w:lvlJc w:val="left"/>
      <w:pPr>
        <w:ind w:left="5140" w:hanging="360"/>
      </w:pPr>
      <w:rPr>
        <w:rFonts w:ascii="Courier New" w:hAnsi="Courier New" w:cs="Courier New" w:hint="default"/>
      </w:rPr>
    </w:lvl>
    <w:lvl w:ilvl="8" w:tplc="08090005" w:tentative="1">
      <w:start w:val="1"/>
      <w:numFmt w:val="bullet"/>
      <w:lvlText w:val=""/>
      <w:lvlJc w:val="left"/>
      <w:pPr>
        <w:ind w:left="5860" w:hanging="360"/>
      </w:pPr>
      <w:rPr>
        <w:rFonts w:ascii="Wingdings" w:hAnsi="Wingdings" w:hint="default"/>
      </w:rPr>
    </w:lvl>
  </w:abstractNum>
  <w:abstractNum w:abstractNumId="20"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2B45715"/>
    <w:multiLevelType w:val="hybridMultilevel"/>
    <w:tmpl w:val="12D6059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3E73A90"/>
    <w:multiLevelType w:val="hybridMultilevel"/>
    <w:tmpl w:val="5C50FF88"/>
    <w:lvl w:ilvl="0" w:tplc="715E7D38">
      <w:start w:val="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8"/>
  </w:num>
  <w:num w:numId="3">
    <w:abstractNumId w:val="12"/>
  </w:num>
  <w:num w:numId="4">
    <w:abstractNumId w:val="22"/>
  </w:num>
  <w:num w:numId="5">
    <w:abstractNumId w:val="5"/>
  </w:num>
  <w:num w:numId="6">
    <w:abstractNumId w:val="21"/>
  </w:num>
  <w:num w:numId="7">
    <w:abstractNumId w:val="1"/>
  </w:num>
  <w:num w:numId="8">
    <w:abstractNumId w:val="23"/>
  </w:num>
  <w:num w:numId="9">
    <w:abstractNumId w:val="7"/>
  </w:num>
  <w:num w:numId="10">
    <w:abstractNumId w:val="2"/>
  </w:num>
  <w:num w:numId="11">
    <w:abstractNumId w:val="13"/>
  </w:num>
  <w:num w:numId="12">
    <w:abstractNumId w:val="26"/>
  </w:num>
  <w:num w:numId="13">
    <w:abstractNumId w:val="20"/>
  </w:num>
  <w:num w:numId="14">
    <w:abstractNumId w:val="4"/>
  </w:num>
  <w:num w:numId="15">
    <w:abstractNumId w:val="10"/>
  </w:num>
  <w:num w:numId="16">
    <w:abstractNumId w:val="14"/>
  </w:num>
  <w:num w:numId="17">
    <w:abstractNumId w:val="29"/>
  </w:num>
  <w:num w:numId="18">
    <w:abstractNumId w:val="0"/>
  </w:num>
  <w:num w:numId="19">
    <w:abstractNumId w:val="25"/>
  </w:num>
  <w:num w:numId="20">
    <w:abstractNumId w:val="6"/>
  </w:num>
  <w:num w:numId="21">
    <w:abstractNumId w:val="17"/>
  </w:num>
  <w:num w:numId="22">
    <w:abstractNumId w:val="11"/>
  </w:num>
  <w:num w:numId="23">
    <w:abstractNumId w:val="27"/>
  </w:num>
  <w:num w:numId="24">
    <w:abstractNumId w:val="19"/>
  </w:num>
  <w:num w:numId="25">
    <w:abstractNumId w:val="16"/>
  </w:num>
  <w:num w:numId="26">
    <w:abstractNumId w:val="31"/>
  </w:num>
  <w:num w:numId="27">
    <w:abstractNumId w:val="3"/>
  </w:num>
  <w:num w:numId="28">
    <w:abstractNumId w:val="18"/>
  </w:num>
  <w:num w:numId="29">
    <w:abstractNumId w:val="9"/>
  </w:num>
  <w:num w:numId="30">
    <w:abstractNumId w:val="15"/>
  </w:num>
  <w:num w:numId="31">
    <w:abstractNumId w:val="30"/>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014"/>
    <w:rsid w:val="000138FC"/>
    <w:rsid w:val="00023AC5"/>
    <w:rsid w:val="00033B55"/>
    <w:rsid w:val="00037D62"/>
    <w:rsid w:val="00057D24"/>
    <w:rsid w:val="00060CBC"/>
    <w:rsid w:val="00060D78"/>
    <w:rsid w:val="000628D7"/>
    <w:rsid w:val="0007321B"/>
    <w:rsid w:val="00091F0B"/>
    <w:rsid w:val="00094D3A"/>
    <w:rsid w:val="00097429"/>
    <w:rsid w:val="000A1E92"/>
    <w:rsid w:val="000A6473"/>
    <w:rsid w:val="000A754F"/>
    <w:rsid w:val="000B1EEE"/>
    <w:rsid w:val="000B4E56"/>
    <w:rsid w:val="000B5E8E"/>
    <w:rsid w:val="000E2C46"/>
    <w:rsid w:val="000F2546"/>
    <w:rsid w:val="000F50EC"/>
    <w:rsid w:val="000F5252"/>
    <w:rsid w:val="00101626"/>
    <w:rsid w:val="00101957"/>
    <w:rsid w:val="0011369F"/>
    <w:rsid w:val="00116718"/>
    <w:rsid w:val="00121080"/>
    <w:rsid w:val="00126055"/>
    <w:rsid w:val="00130402"/>
    <w:rsid w:val="00136328"/>
    <w:rsid w:val="001364A1"/>
    <w:rsid w:val="001413C7"/>
    <w:rsid w:val="00142124"/>
    <w:rsid w:val="0015000E"/>
    <w:rsid w:val="00154D1C"/>
    <w:rsid w:val="0016131F"/>
    <w:rsid w:val="00177EFF"/>
    <w:rsid w:val="00190D7B"/>
    <w:rsid w:val="001953B8"/>
    <w:rsid w:val="001A3935"/>
    <w:rsid w:val="001A4FAE"/>
    <w:rsid w:val="001A61F0"/>
    <w:rsid w:val="001B0CBF"/>
    <w:rsid w:val="001C3C45"/>
    <w:rsid w:val="001E0AE8"/>
    <w:rsid w:val="001F746E"/>
    <w:rsid w:val="002036DA"/>
    <w:rsid w:val="002059EA"/>
    <w:rsid w:val="00205A61"/>
    <w:rsid w:val="002127E2"/>
    <w:rsid w:val="00212E3A"/>
    <w:rsid w:val="00214C87"/>
    <w:rsid w:val="00215035"/>
    <w:rsid w:val="00215E52"/>
    <w:rsid w:val="002226E8"/>
    <w:rsid w:val="00233B46"/>
    <w:rsid w:val="00242B76"/>
    <w:rsid w:val="002523CC"/>
    <w:rsid w:val="00272473"/>
    <w:rsid w:val="0027631F"/>
    <w:rsid w:val="00276F69"/>
    <w:rsid w:val="00291DDD"/>
    <w:rsid w:val="002A066E"/>
    <w:rsid w:val="002A31E8"/>
    <w:rsid w:val="002A7181"/>
    <w:rsid w:val="002B3503"/>
    <w:rsid w:val="002D1B45"/>
    <w:rsid w:val="002E1F6A"/>
    <w:rsid w:val="002F66F4"/>
    <w:rsid w:val="002F6A38"/>
    <w:rsid w:val="002F7998"/>
    <w:rsid w:val="003029F0"/>
    <w:rsid w:val="003040AF"/>
    <w:rsid w:val="003103A7"/>
    <w:rsid w:val="0031458C"/>
    <w:rsid w:val="003156E4"/>
    <w:rsid w:val="00316FC7"/>
    <w:rsid w:val="00317400"/>
    <w:rsid w:val="00347DEA"/>
    <w:rsid w:val="00356FB1"/>
    <w:rsid w:val="003777FE"/>
    <w:rsid w:val="00387C78"/>
    <w:rsid w:val="00393714"/>
    <w:rsid w:val="003B3990"/>
    <w:rsid w:val="003D26B4"/>
    <w:rsid w:val="003E237A"/>
    <w:rsid w:val="003E3905"/>
    <w:rsid w:val="003E422D"/>
    <w:rsid w:val="003E44AA"/>
    <w:rsid w:val="003F5CC5"/>
    <w:rsid w:val="0041441A"/>
    <w:rsid w:val="00417963"/>
    <w:rsid w:val="0042089A"/>
    <w:rsid w:val="0042109F"/>
    <w:rsid w:val="00422ABC"/>
    <w:rsid w:val="00426A90"/>
    <w:rsid w:val="00430A73"/>
    <w:rsid w:val="0043196F"/>
    <w:rsid w:val="0043450E"/>
    <w:rsid w:val="00442D5E"/>
    <w:rsid w:val="00446BB1"/>
    <w:rsid w:val="00453BA5"/>
    <w:rsid w:val="00454E53"/>
    <w:rsid w:val="00473FFD"/>
    <w:rsid w:val="00474C79"/>
    <w:rsid w:val="00481EFB"/>
    <w:rsid w:val="00482477"/>
    <w:rsid w:val="00484078"/>
    <w:rsid w:val="00491386"/>
    <w:rsid w:val="00494F18"/>
    <w:rsid w:val="004974FD"/>
    <w:rsid w:val="004A41DA"/>
    <w:rsid w:val="004C0103"/>
    <w:rsid w:val="004C58F9"/>
    <w:rsid w:val="004D017E"/>
    <w:rsid w:val="004D0C67"/>
    <w:rsid w:val="004D2B45"/>
    <w:rsid w:val="004D3D81"/>
    <w:rsid w:val="004F517D"/>
    <w:rsid w:val="00505A6F"/>
    <w:rsid w:val="005155DE"/>
    <w:rsid w:val="00517050"/>
    <w:rsid w:val="005207B6"/>
    <w:rsid w:val="00525C0B"/>
    <w:rsid w:val="0053656E"/>
    <w:rsid w:val="00553D2D"/>
    <w:rsid w:val="00560A63"/>
    <w:rsid w:val="005647F5"/>
    <w:rsid w:val="00564B2E"/>
    <w:rsid w:val="00570B14"/>
    <w:rsid w:val="005735CF"/>
    <w:rsid w:val="005908EA"/>
    <w:rsid w:val="00593353"/>
    <w:rsid w:val="00595369"/>
    <w:rsid w:val="00597A81"/>
    <w:rsid w:val="005B2640"/>
    <w:rsid w:val="005C69C2"/>
    <w:rsid w:val="005D18A4"/>
    <w:rsid w:val="005D784D"/>
    <w:rsid w:val="005E5382"/>
    <w:rsid w:val="005E7C59"/>
    <w:rsid w:val="005F31A5"/>
    <w:rsid w:val="005F4052"/>
    <w:rsid w:val="005F530D"/>
    <w:rsid w:val="005F6CE3"/>
    <w:rsid w:val="006026F2"/>
    <w:rsid w:val="00602EB6"/>
    <w:rsid w:val="00603768"/>
    <w:rsid w:val="00604BBE"/>
    <w:rsid w:val="0060711C"/>
    <w:rsid w:val="00613AB3"/>
    <w:rsid w:val="0063374B"/>
    <w:rsid w:val="00640343"/>
    <w:rsid w:val="00641C2E"/>
    <w:rsid w:val="00641E1F"/>
    <w:rsid w:val="00653C1B"/>
    <w:rsid w:val="006566F1"/>
    <w:rsid w:val="00664AE9"/>
    <w:rsid w:val="00664DF6"/>
    <w:rsid w:val="00681F39"/>
    <w:rsid w:val="00687537"/>
    <w:rsid w:val="006919C7"/>
    <w:rsid w:val="00693CCF"/>
    <w:rsid w:val="006A3BE1"/>
    <w:rsid w:val="006B0708"/>
    <w:rsid w:val="006B6CB6"/>
    <w:rsid w:val="006C3660"/>
    <w:rsid w:val="006C3E2E"/>
    <w:rsid w:val="006C44A0"/>
    <w:rsid w:val="006C4854"/>
    <w:rsid w:val="006C6840"/>
    <w:rsid w:val="006D43D1"/>
    <w:rsid w:val="006D63C8"/>
    <w:rsid w:val="006D701F"/>
    <w:rsid w:val="006F122C"/>
    <w:rsid w:val="00702ED2"/>
    <w:rsid w:val="00703602"/>
    <w:rsid w:val="00713010"/>
    <w:rsid w:val="00713482"/>
    <w:rsid w:val="00720CF4"/>
    <w:rsid w:val="00726265"/>
    <w:rsid w:val="00733FCB"/>
    <w:rsid w:val="00734EBD"/>
    <w:rsid w:val="0074778D"/>
    <w:rsid w:val="00747F44"/>
    <w:rsid w:val="00754924"/>
    <w:rsid w:val="00757284"/>
    <w:rsid w:val="0076068D"/>
    <w:rsid w:val="0077527C"/>
    <w:rsid w:val="00785AE5"/>
    <w:rsid w:val="007A74DE"/>
    <w:rsid w:val="007B0619"/>
    <w:rsid w:val="007C0095"/>
    <w:rsid w:val="007C3D2F"/>
    <w:rsid w:val="007C7E14"/>
    <w:rsid w:val="007D1C54"/>
    <w:rsid w:val="007D20DF"/>
    <w:rsid w:val="007E0C29"/>
    <w:rsid w:val="007E113D"/>
    <w:rsid w:val="007E2155"/>
    <w:rsid w:val="007E752F"/>
    <w:rsid w:val="00800B5D"/>
    <w:rsid w:val="00803510"/>
    <w:rsid w:val="00813258"/>
    <w:rsid w:val="008236E4"/>
    <w:rsid w:val="00846F0E"/>
    <w:rsid w:val="00850296"/>
    <w:rsid w:val="00856400"/>
    <w:rsid w:val="00871B4D"/>
    <w:rsid w:val="00881BCF"/>
    <w:rsid w:val="0089084A"/>
    <w:rsid w:val="00891F14"/>
    <w:rsid w:val="008926AE"/>
    <w:rsid w:val="00894D32"/>
    <w:rsid w:val="00895E24"/>
    <w:rsid w:val="00896EDD"/>
    <w:rsid w:val="008A4493"/>
    <w:rsid w:val="008A635A"/>
    <w:rsid w:val="008B2128"/>
    <w:rsid w:val="008B5F4A"/>
    <w:rsid w:val="008B71FF"/>
    <w:rsid w:val="008B72EE"/>
    <w:rsid w:val="008C3489"/>
    <w:rsid w:val="008D12E4"/>
    <w:rsid w:val="008F1A10"/>
    <w:rsid w:val="009022F6"/>
    <w:rsid w:val="00911E21"/>
    <w:rsid w:val="0091383D"/>
    <w:rsid w:val="00915129"/>
    <w:rsid w:val="00915BF3"/>
    <w:rsid w:val="0091764B"/>
    <w:rsid w:val="00936086"/>
    <w:rsid w:val="00940559"/>
    <w:rsid w:val="00966126"/>
    <w:rsid w:val="00991EE8"/>
    <w:rsid w:val="00996062"/>
    <w:rsid w:val="009A1B59"/>
    <w:rsid w:val="009B1E68"/>
    <w:rsid w:val="009B3DA9"/>
    <w:rsid w:val="009B6543"/>
    <w:rsid w:val="009B7F2A"/>
    <w:rsid w:val="00A01816"/>
    <w:rsid w:val="00A04E4A"/>
    <w:rsid w:val="00A07D06"/>
    <w:rsid w:val="00A16F72"/>
    <w:rsid w:val="00A23811"/>
    <w:rsid w:val="00A451E8"/>
    <w:rsid w:val="00A552A4"/>
    <w:rsid w:val="00A554B9"/>
    <w:rsid w:val="00A6018C"/>
    <w:rsid w:val="00A83B5D"/>
    <w:rsid w:val="00A925DB"/>
    <w:rsid w:val="00AB3FAE"/>
    <w:rsid w:val="00AC1B35"/>
    <w:rsid w:val="00AC21A5"/>
    <w:rsid w:val="00AC5B44"/>
    <w:rsid w:val="00AD0CC8"/>
    <w:rsid w:val="00AD0F48"/>
    <w:rsid w:val="00AE1D3D"/>
    <w:rsid w:val="00AE52A5"/>
    <w:rsid w:val="00AE58B4"/>
    <w:rsid w:val="00AE6327"/>
    <w:rsid w:val="00AF47C0"/>
    <w:rsid w:val="00AF7CB0"/>
    <w:rsid w:val="00B15527"/>
    <w:rsid w:val="00B17FCA"/>
    <w:rsid w:val="00B25750"/>
    <w:rsid w:val="00B4220B"/>
    <w:rsid w:val="00B4385F"/>
    <w:rsid w:val="00B65B59"/>
    <w:rsid w:val="00B72408"/>
    <w:rsid w:val="00B77164"/>
    <w:rsid w:val="00BB7C85"/>
    <w:rsid w:val="00BC228C"/>
    <w:rsid w:val="00BC2924"/>
    <w:rsid w:val="00BC764C"/>
    <w:rsid w:val="00BC7CDD"/>
    <w:rsid w:val="00BF2C16"/>
    <w:rsid w:val="00BF3B1E"/>
    <w:rsid w:val="00BF4B17"/>
    <w:rsid w:val="00BF58B2"/>
    <w:rsid w:val="00BF72E0"/>
    <w:rsid w:val="00C0316B"/>
    <w:rsid w:val="00C0353F"/>
    <w:rsid w:val="00C07A46"/>
    <w:rsid w:val="00C1035B"/>
    <w:rsid w:val="00C17B19"/>
    <w:rsid w:val="00C214CA"/>
    <w:rsid w:val="00C21554"/>
    <w:rsid w:val="00C3087E"/>
    <w:rsid w:val="00C30EBD"/>
    <w:rsid w:val="00C45DB3"/>
    <w:rsid w:val="00C47C9F"/>
    <w:rsid w:val="00C55F94"/>
    <w:rsid w:val="00C81190"/>
    <w:rsid w:val="00C83E86"/>
    <w:rsid w:val="00C91EE2"/>
    <w:rsid w:val="00CB607B"/>
    <w:rsid w:val="00CC2754"/>
    <w:rsid w:val="00CE241D"/>
    <w:rsid w:val="00D03FD8"/>
    <w:rsid w:val="00D07626"/>
    <w:rsid w:val="00D275CC"/>
    <w:rsid w:val="00D348C6"/>
    <w:rsid w:val="00D44EB4"/>
    <w:rsid w:val="00D470C2"/>
    <w:rsid w:val="00D546CC"/>
    <w:rsid w:val="00D57C62"/>
    <w:rsid w:val="00D767C4"/>
    <w:rsid w:val="00D77CF5"/>
    <w:rsid w:val="00DA03D6"/>
    <w:rsid w:val="00DA4A61"/>
    <w:rsid w:val="00DA51D9"/>
    <w:rsid w:val="00DA7396"/>
    <w:rsid w:val="00DB5C3F"/>
    <w:rsid w:val="00DF1DEC"/>
    <w:rsid w:val="00DF302A"/>
    <w:rsid w:val="00DF7635"/>
    <w:rsid w:val="00E014E2"/>
    <w:rsid w:val="00E21FB6"/>
    <w:rsid w:val="00E23971"/>
    <w:rsid w:val="00E332C0"/>
    <w:rsid w:val="00E33B68"/>
    <w:rsid w:val="00E35DD7"/>
    <w:rsid w:val="00E36095"/>
    <w:rsid w:val="00E61521"/>
    <w:rsid w:val="00E62D76"/>
    <w:rsid w:val="00E65B5C"/>
    <w:rsid w:val="00E71101"/>
    <w:rsid w:val="00E71A82"/>
    <w:rsid w:val="00E82EF3"/>
    <w:rsid w:val="00E95C04"/>
    <w:rsid w:val="00E962C5"/>
    <w:rsid w:val="00EA3488"/>
    <w:rsid w:val="00EB05B3"/>
    <w:rsid w:val="00EB0D8A"/>
    <w:rsid w:val="00EB5F7D"/>
    <w:rsid w:val="00EB7F4E"/>
    <w:rsid w:val="00EC589F"/>
    <w:rsid w:val="00ED54F1"/>
    <w:rsid w:val="00EE0298"/>
    <w:rsid w:val="00EE5885"/>
    <w:rsid w:val="00EE6657"/>
    <w:rsid w:val="00F125F3"/>
    <w:rsid w:val="00F4507F"/>
    <w:rsid w:val="00F46354"/>
    <w:rsid w:val="00F562CA"/>
    <w:rsid w:val="00F62561"/>
    <w:rsid w:val="00F646D5"/>
    <w:rsid w:val="00F648B5"/>
    <w:rsid w:val="00F700B1"/>
    <w:rsid w:val="00F84458"/>
    <w:rsid w:val="00F97D64"/>
    <w:rsid w:val="00FA3036"/>
    <w:rsid w:val="00FB6B55"/>
    <w:rsid w:val="00FD085A"/>
    <w:rsid w:val="00FD543C"/>
    <w:rsid w:val="00FF63A4"/>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 w:type="table" w:styleId="TableGrid">
    <w:name w:val="Table Grid"/>
    <w:basedOn w:val="TableNormal"/>
    <w:uiPriority w:val="59"/>
    <w:rsid w:val="00A0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A018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Accent1">
    <w:name w:val="Grid Table 1 Light Accent 1"/>
    <w:basedOn w:val="TableNormal"/>
    <w:uiPriority w:val="46"/>
    <w:rsid w:val="00A0181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2022-08-10T01:42:00Z</dcterms:created>
  <dcterms:modified xsi:type="dcterms:W3CDTF">2022-08-10T01:42:00Z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2021-07-02T06:03:33Z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