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170272BB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-e                                  R4-2</w:t>
      </w:r>
      <w:r w:rsidR="004111D0">
        <w:rPr>
          <w:rFonts w:ascii="Arial" w:eastAsia="SimSun" w:hAnsi="Arial"/>
          <w:b/>
          <w:noProof/>
          <w:sz w:val="24"/>
          <w:lang w:eastAsia="zh-CN"/>
        </w:rPr>
        <w:t>2</w:t>
      </w:r>
      <w:r w:rsidR="005D6F36">
        <w:rPr>
          <w:rFonts w:ascii="Arial" w:eastAsia="SimSun" w:hAnsi="Arial"/>
          <w:b/>
          <w:noProof/>
          <w:sz w:val="24"/>
          <w:lang w:eastAsia="zh-CN"/>
        </w:rPr>
        <w:t>1191</w:t>
      </w:r>
      <w:r w:rsidR="00263187">
        <w:rPr>
          <w:rFonts w:ascii="Arial" w:eastAsia="SimSun" w:hAnsi="Arial"/>
          <w:b/>
          <w:noProof/>
          <w:sz w:val="24"/>
          <w:lang w:eastAsia="zh-CN"/>
        </w:rPr>
        <w:t>6</w:t>
      </w:r>
    </w:p>
    <w:p w14:paraId="2F8165BD" w14:textId="4C7A1115" w:rsidR="00EE53AA" w:rsidRPr="00A25229" w:rsidRDefault="00746750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Electronic Meeting, </w:t>
      </w:r>
      <w:bookmarkEnd w:id="0"/>
      <w:bookmarkEnd w:id="1"/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>August 15 – August 26, 2022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11FDD4A9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63187">
        <w:rPr>
          <w:rFonts w:ascii="Arial" w:hAnsi="Arial" w:cs="Arial"/>
          <w:sz w:val="22"/>
        </w:rPr>
        <w:t xml:space="preserve">General consideration for ATG </w:t>
      </w:r>
      <w:r w:rsidR="004F2EF1">
        <w:rPr>
          <w:rFonts w:ascii="Arial" w:hAnsi="Arial" w:cs="Arial" w:hint="eastAsia"/>
          <w:sz w:val="22"/>
          <w:lang w:val="en-US" w:eastAsia="zh-CN"/>
        </w:rPr>
        <w:t xml:space="preserve"> </w:t>
      </w:r>
    </w:p>
    <w:p w14:paraId="47A7A0E8" w14:textId="5778C520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05345">
        <w:rPr>
          <w:rFonts w:ascii="Arial" w:hAnsi="Arial" w:cs="Arial"/>
          <w:sz w:val="22"/>
        </w:rPr>
        <w:t>11.</w:t>
      </w:r>
      <w:r w:rsidR="008B31B0">
        <w:rPr>
          <w:rFonts w:ascii="Arial" w:hAnsi="Arial" w:cs="Arial"/>
          <w:sz w:val="22"/>
        </w:rPr>
        <w:t>11.2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7277D3C2" w:rsidR="00526727" w:rsidRDefault="00705345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Rel-18 WI on</w:t>
      </w:r>
      <w:r w:rsidR="00263187">
        <w:rPr>
          <w:rFonts w:eastAsia="SimSun"/>
          <w:lang w:val="en-US" w:eastAsia="zh-CN"/>
        </w:rPr>
        <w:t xml:space="preserve"> </w:t>
      </w:r>
      <w:r w:rsidR="00263187" w:rsidRPr="00B76A95">
        <w:rPr>
          <w:rFonts w:eastAsia="SimSun" w:hint="eastAsia"/>
          <w:lang w:val="en-US" w:eastAsia="zh-CN"/>
        </w:rPr>
        <w:t>Air-to-ground network for NR</w:t>
      </w:r>
      <w:r w:rsidR="00263187" w:rsidRPr="00B76A95">
        <w:rPr>
          <w:rFonts w:eastAsia="SimSun"/>
          <w:lang w:val="en-US" w:eastAsia="zh-CN"/>
        </w:rPr>
        <w:t xml:space="preserve"> was approved in [1]</w:t>
      </w:r>
      <w:r w:rsidR="00B76A95">
        <w:rPr>
          <w:rFonts w:eastAsia="SimSun"/>
          <w:lang w:val="en-US" w:eastAsia="zh-CN"/>
        </w:rPr>
        <w:t xml:space="preserve"> with the following scope.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59CDE6A1">
                <wp:simplePos x="0" y="0"/>
                <wp:positionH relativeFrom="column">
                  <wp:posOffset>736</wp:posOffset>
                </wp:positionH>
                <wp:positionV relativeFrom="paragraph">
                  <wp:posOffset>58566</wp:posOffset>
                </wp:positionV>
                <wp:extent cx="6056142" cy="1772156"/>
                <wp:effectExtent l="0" t="0" r="1460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17721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D1C7C9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56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Specify features to core specifications for ATG BS and UE [RAN4]</w:t>
                            </w:r>
                          </w:p>
                          <w:p w14:paraId="45EA5CCF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12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Helvetica" w:eastAsia="MS Mincho" w:hAnsi="Helvetica" w:cs="Helvetica"/>
                                <w:color w:val="000000"/>
                                <w:lang w:val="en-US" w:eastAsia="zh-CN"/>
                              </w:rPr>
                              <w:t>·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 xml:space="preserve">        Scenario: </w:t>
                            </w:r>
                          </w:p>
                          <w:p w14:paraId="4AF75587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68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Arial" w:eastAsia="MS Mincho" w:hAnsi="Arial" w:cs="Arial"/>
                                <w:color w:val="000000"/>
                                <w:lang w:val="en-US" w:eastAsia="zh-CN"/>
                              </w:rPr>
                              <w:t>–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        BS on the ground, and the CPE type of UE mounted in the aircraft</w:t>
                            </w:r>
                          </w:p>
                          <w:p w14:paraId="0D98FE34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68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Arial" w:eastAsia="MS Mincho" w:hAnsi="Arial" w:cs="Arial"/>
                                <w:color w:val="000000"/>
                                <w:lang w:val="en-US" w:eastAsia="zh-CN"/>
                              </w:rPr>
                              <w:t>–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        A direct radio link between BS on the ground and CPE type of UE mounted in the aircraft</w:t>
                            </w:r>
                          </w:p>
                          <w:p w14:paraId="415CC26B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68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Arial" w:eastAsia="MS Mincho" w:hAnsi="Arial" w:cs="Arial"/>
                                <w:color w:val="000000"/>
                                <w:lang w:val="en-US" w:eastAsia="zh-CN"/>
                              </w:rPr>
                              <w:t>–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        Note: The deployment characteristics described in the justification section shall be taken as a basis for the technical discussion.</w:t>
                            </w:r>
                          </w:p>
                          <w:p w14:paraId="1E9B5F2F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12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Helvetica" w:eastAsia="MS Mincho" w:hAnsi="Helvetica" w:cs="Helvetica"/>
                                <w:color w:val="000000"/>
                                <w:lang w:val="en-US" w:eastAsia="zh-CN"/>
                              </w:rPr>
                              <w:t>·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        Specify core requirements for coexistence between ATG and IMT terrestrial network</w:t>
                            </w:r>
                          </w:p>
                          <w:p w14:paraId="499F5F85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68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Arial" w:eastAsia="MS Mincho" w:hAnsi="Arial" w:cs="Arial"/>
                                <w:color w:val="000000"/>
                                <w:lang w:val="en-US" w:eastAsia="zh-CN"/>
                              </w:rPr>
                              <w:t>–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        Example bands include n1, n78 and n79.</w:t>
                            </w:r>
                          </w:p>
                          <w:p w14:paraId="02205C2B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68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Arial" w:eastAsia="MS Mincho" w:hAnsi="Arial" w:cs="Arial"/>
                                <w:color w:val="000000"/>
                                <w:lang w:val="en-US" w:eastAsia="zh-CN"/>
                              </w:rPr>
                              <w:t>–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        Perform FR1 co-existence evaluation for ATG network (</w:t>
                            </w:r>
                            <w:proofErr w:type="gramStart"/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e.g.</w:t>
                            </w:r>
                            <w:proofErr w:type="gramEnd"/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 xml:space="preserve"> ACLR, ACS)</w:t>
                            </w:r>
                          </w:p>
                          <w:p w14:paraId="2E7C91D9" w14:textId="77777777" w:rsidR="00B76A95" w:rsidRPr="00B76A95" w:rsidRDefault="00B76A95" w:rsidP="00B76A95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1680" w:hanging="560"/>
                              <w:jc w:val="both"/>
                              <w:textAlignment w:val="auto"/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</w:pPr>
                            <w:r w:rsidRPr="00B76A95">
                              <w:rPr>
                                <w:rFonts w:ascii="Arial" w:eastAsia="MS Mincho" w:hAnsi="Arial" w:cs="Arial"/>
                                <w:color w:val="000000"/>
                                <w:lang w:val="en-US" w:eastAsia="zh-CN"/>
                              </w:rPr>
                              <w:t>–</w:t>
                            </w:r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 xml:space="preserve">        Identify key characteristics where it is necessary to differentiate ATG ground-based BS and UEs from conventional </w:t>
                            </w:r>
                            <w:proofErr w:type="gramStart"/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>ground based</w:t>
                            </w:r>
                            <w:proofErr w:type="gramEnd"/>
                            <w:r w:rsidRPr="00B76A95">
                              <w:rPr>
                                <w:rFonts w:eastAsia="MS Mincho"/>
                                <w:color w:val="000000"/>
                                <w:lang w:val="en-US" w:eastAsia="zh-CN"/>
                              </w:rPr>
                              <w:t xml:space="preserve"> BS and UEs</w:t>
                            </w:r>
                          </w:p>
                          <w:p w14:paraId="5E7FE73E" w14:textId="52B97BB2" w:rsidR="00526727" w:rsidRPr="00B76A95" w:rsidRDefault="00526727" w:rsidP="00B76A95">
                            <w:p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rPr>
                                <w:lang w:val="en-US"/>
                              </w:rPr>
                            </w:pPr>
                          </w:p>
                          <w:p w14:paraId="6BD727B6" w14:textId="77777777" w:rsidR="00526727" w:rsidRPr="00575600" w:rsidRDefault="00526727" w:rsidP="00526727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544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05pt;margin-top:4.6pt;width:476.85pt;height:13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" fillcolor="white [3201]" strokeweight=".5pt">
                <v:textbox>
                  <w:txbxContent>
                    <w:p w14:paraId="77D1C7C9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56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Specify features to core specifications for ATG BS and UE [RAN4]</w:t>
                      </w:r>
                    </w:p>
                    <w:p w14:paraId="45EA5CCF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12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Helvetica" w:eastAsia="MS Mincho" w:hAnsi="Helvetica" w:cs="Helvetica"/>
                          <w:color w:val="000000"/>
                          <w:lang w:val="en-US" w:eastAsia="zh-CN"/>
                        </w:rPr>
                        <w:t>·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 xml:space="preserve">        Scenario: </w:t>
                      </w:r>
                    </w:p>
                    <w:p w14:paraId="4AF75587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68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Arial" w:eastAsia="MS Mincho" w:hAnsi="Arial" w:cs="Arial"/>
                          <w:color w:val="000000"/>
                          <w:lang w:val="en-US" w:eastAsia="zh-CN"/>
                        </w:rPr>
                        <w:t>–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        BS on the ground, and the CPE type of UE mounted in the aircraft</w:t>
                      </w:r>
                    </w:p>
                    <w:p w14:paraId="0D98FE34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68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Arial" w:eastAsia="MS Mincho" w:hAnsi="Arial" w:cs="Arial"/>
                          <w:color w:val="000000"/>
                          <w:lang w:val="en-US" w:eastAsia="zh-CN"/>
                        </w:rPr>
                        <w:t>–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        A direct radio link between BS on the ground and CPE type of UE mounted in the aircraft</w:t>
                      </w:r>
                    </w:p>
                    <w:p w14:paraId="415CC26B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68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Arial" w:eastAsia="MS Mincho" w:hAnsi="Arial" w:cs="Arial"/>
                          <w:color w:val="000000"/>
                          <w:lang w:val="en-US" w:eastAsia="zh-CN"/>
                        </w:rPr>
                        <w:t>–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        Note: The deployment characteristics described in the justification section shall be taken as a basis for the technical discussion.</w:t>
                      </w:r>
                    </w:p>
                    <w:p w14:paraId="1E9B5F2F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12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Helvetica" w:eastAsia="MS Mincho" w:hAnsi="Helvetica" w:cs="Helvetica"/>
                          <w:color w:val="000000"/>
                          <w:lang w:val="en-US" w:eastAsia="zh-CN"/>
                        </w:rPr>
                        <w:t>·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        Specify core requirements for coexistence between ATG and IMT terrestrial network</w:t>
                      </w:r>
                    </w:p>
                    <w:p w14:paraId="499F5F85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68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Arial" w:eastAsia="MS Mincho" w:hAnsi="Arial" w:cs="Arial"/>
                          <w:color w:val="000000"/>
                          <w:lang w:val="en-US" w:eastAsia="zh-CN"/>
                        </w:rPr>
                        <w:t>–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        Example bands include n1, n78 and n79.</w:t>
                      </w:r>
                    </w:p>
                    <w:p w14:paraId="02205C2B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68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Arial" w:eastAsia="MS Mincho" w:hAnsi="Arial" w:cs="Arial"/>
                          <w:color w:val="000000"/>
                          <w:lang w:val="en-US" w:eastAsia="zh-CN"/>
                        </w:rPr>
                        <w:t>–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        Perform FR1 co-existence evaluation for ATG network (</w:t>
                      </w:r>
                      <w:proofErr w:type="gramStart"/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e.g.</w:t>
                      </w:r>
                      <w:proofErr w:type="gramEnd"/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 xml:space="preserve"> ACLR, ACS)</w:t>
                      </w:r>
                    </w:p>
                    <w:p w14:paraId="2E7C91D9" w14:textId="77777777" w:rsidR="00B76A95" w:rsidRPr="00B76A95" w:rsidRDefault="00B76A95" w:rsidP="00B76A95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1680" w:hanging="560"/>
                        <w:jc w:val="both"/>
                        <w:textAlignment w:val="auto"/>
                        <w:rPr>
                          <w:rFonts w:eastAsia="MS Mincho"/>
                          <w:color w:val="000000"/>
                          <w:lang w:val="en-US" w:eastAsia="zh-CN"/>
                        </w:rPr>
                      </w:pPr>
                      <w:r w:rsidRPr="00B76A95">
                        <w:rPr>
                          <w:rFonts w:ascii="Arial" w:eastAsia="MS Mincho" w:hAnsi="Arial" w:cs="Arial"/>
                          <w:color w:val="000000"/>
                          <w:lang w:val="en-US" w:eastAsia="zh-CN"/>
                        </w:rPr>
                        <w:t>–</w:t>
                      </w:r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 xml:space="preserve">        Identify key characteristics where it is necessary to differentiate ATG ground-based BS and UEs from conventional </w:t>
                      </w:r>
                      <w:proofErr w:type="gramStart"/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>ground based</w:t>
                      </w:r>
                      <w:proofErr w:type="gramEnd"/>
                      <w:r w:rsidRPr="00B76A95">
                        <w:rPr>
                          <w:rFonts w:eastAsia="MS Mincho"/>
                          <w:color w:val="000000"/>
                          <w:lang w:val="en-US" w:eastAsia="zh-CN"/>
                        </w:rPr>
                        <w:t xml:space="preserve"> BS and UEs</w:t>
                      </w:r>
                    </w:p>
                    <w:p w14:paraId="5E7FE73E" w14:textId="52B97BB2" w:rsidR="00526727" w:rsidRPr="00B76A95" w:rsidRDefault="00526727" w:rsidP="00B76A95">
                      <w:p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rPr>
                          <w:lang w:val="en-US"/>
                        </w:rPr>
                      </w:pPr>
                    </w:p>
                    <w:p w14:paraId="6BD727B6" w14:textId="77777777" w:rsidR="00526727" w:rsidRPr="00575600" w:rsidRDefault="00526727" w:rsidP="00526727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ind w:left="1544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7D1891" w14:textId="35243909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06CA88F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2F46576" w14:textId="14E5268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603C789" w14:textId="4A0A98FA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39B903B" w14:textId="51F8E001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53B66585" w14:textId="1761936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009805A" w14:textId="778DC380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491F84B" w14:textId="3EEF1336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74C0E0C5" w14:textId="267BE3D3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046D1663" w14:textId="3620E637" w:rsidR="009F3A1B" w:rsidRDefault="009F3A1B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</w:t>
      </w:r>
      <w:r w:rsidR="00B76A95">
        <w:rPr>
          <w:rFonts w:eastAsia="SimSun"/>
          <w:lang w:val="en-US" w:eastAsia="zh-CN"/>
        </w:rPr>
        <w:t>some general consideration for ATG</w:t>
      </w:r>
      <w:r w:rsidR="00BA3053"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5F057227" w14:textId="2A4449E1" w:rsidR="00D03EEF" w:rsidRDefault="00B76A95" w:rsidP="00D03EEF">
      <w:pPr>
        <w:pStyle w:val="Heading2"/>
        <w:spacing w:after="240"/>
      </w:pPr>
      <w:r>
        <w:t>Interference scenario to be considered</w:t>
      </w:r>
    </w:p>
    <w:p w14:paraId="18D30905" w14:textId="58724FD8" w:rsidR="00B76A95" w:rsidRDefault="00B76A95" w:rsidP="00B76A95">
      <w:r>
        <w:t>Since the proposed bands for ATG deployment in the WID are all TN bands, it is necessary to ensure that the inter</w:t>
      </w:r>
      <w:r w:rsidR="000B57C8">
        <w:t xml:space="preserve">ference to TN </w:t>
      </w:r>
      <w:proofErr w:type="spellStart"/>
      <w:r w:rsidR="000B57C8">
        <w:t>gNB</w:t>
      </w:r>
      <w:proofErr w:type="spellEnd"/>
      <w:r w:rsidR="000B57C8">
        <w:t xml:space="preserve"> and TN UE are tolerable. </w:t>
      </w:r>
    </w:p>
    <w:p w14:paraId="310B0F22" w14:textId="1D4CBE8B" w:rsidR="000B57C8" w:rsidRDefault="000B57C8" w:rsidP="00B76A95">
      <w:r>
        <w:t xml:space="preserve">At first it should be clarified the uplink and downlink of ATG system </w:t>
      </w:r>
      <w:r w:rsidR="00000F35">
        <w:t>are physically</w:t>
      </w:r>
      <w:r>
        <w:t xml:space="preserve"> </w:t>
      </w:r>
      <w:r w:rsidR="00000F35">
        <w:t>in</w:t>
      </w:r>
      <w:r>
        <w:t xml:space="preserve"> opposite direction</w:t>
      </w:r>
      <w:r w:rsidR="00A904DC">
        <w:t>s</w:t>
      </w:r>
      <w:r>
        <w:t xml:space="preserve"> with TN systems. </w:t>
      </w:r>
      <w:r w:rsidR="00000F35">
        <w:t>Since t</w:t>
      </w:r>
      <w:r>
        <w:t>his will have impact on the interference analysis</w:t>
      </w:r>
      <w:r w:rsidR="00000F35">
        <w:t xml:space="preserve">, we need to clarify that uplink and downlink here are all from communication point of view. </w:t>
      </w:r>
      <w:proofErr w:type="gramStart"/>
      <w:r w:rsidR="00000F35">
        <w:t>E.g.</w:t>
      </w:r>
      <w:proofErr w:type="gramEnd"/>
      <w:r w:rsidR="00000F35">
        <w:t xml:space="preserve"> ATG uplink means from ATG UE to ATG BS and ATG downlink means ATG BS to ATG UE.</w:t>
      </w:r>
    </w:p>
    <w:p w14:paraId="1A2CC883" w14:textId="4C2A2BAB" w:rsidR="000B57C8" w:rsidRDefault="000B57C8" w:rsidP="00B76A95">
      <w:r>
        <w:t>If simultaneous operation is assumed between ATG network and TN network, no simultaneous uplink/downlink occur</w:t>
      </w:r>
      <w:r w:rsidR="00000F35">
        <w:t xml:space="preserve"> between these 2 systems. Then we propose to focus on the following interference type</w:t>
      </w:r>
      <w:r w:rsidR="00B06994">
        <w:t xml:space="preserve"> as illustrated in figure 2.1-1.</w:t>
      </w:r>
    </w:p>
    <w:p w14:paraId="352A963E" w14:textId="3DA27FED" w:rsidR="000B57C8" w:rsidRPr="00000F35" w:rsidRDefault="00000F35" w:rsidP="003861AF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>Scenario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B57C8" w:rsidRPr="00000F35">
        <w:rPr>
          <w:rFonts w:ascii="Times New Roman" w:hAnsi="Times New Roman" w:cs="Times New Roman"/>
          <w:sz w:val="20"/>
          <w:szCs w:val="20"/>
        </w:rPr>
        <w:t xml:space="preserve">ATG UE to </w:t>
      </w:r>
      <w:r w:rsidRPr="00000F35">
        <w:rPr>
          <w:rFonts w:ascii="Times New Roman" w:hAnsi="Times New Roman" w:cs="Times New Roman"/>
          <w:sz w:val="20"/>
          <w:szCs w:val="20"/>
        </w:rPr>
        <w:t xml:space="preserve">TN </w:t>
      </w:r>
      <w:proofErr w:type="spellStart"/>
      <w:r w:rsidRPr="00000F35"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1399602F" w14:textId="0FC329F5" w:rsidR="00000F35" w:rsidRPr="00000F35" w:rsidRDefault="00000F35" w:rsidP="003861AF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>Scenario 2: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>ATG BS to TN UE</w:t>
      </w:r>
    </w:p>
    <w:p w14:paraId="7889B783" w14:textId="50B3F66F" w:rsidR="00B06994" w:rsidRDefault="00B06994" w:rsidP="00B76A95">
      <w:r>
        <w:rPr>
          <w:noProof/>
        </w:rPr>
        <w:lastRenderedPageBreak/>
        <w:drawing>
          <wp:inline distT="0" distB="0" distL="0" distR="0" wp14:anchorId="2301D31F" wp14:editId="671951F0">
            <wp:extent cx="6122035" cy="2148205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604E9" w14:textId="041F53D6" w:rsidR="00B06994" w:rsidRDefault="00B06994" w:rsidP="00B06994">
      <w:pPr>
        <w:jc w:val="center"/>
      </w:pPr>
      <w:r>
        <w:t>Figure 2.1-1 interference illustration for synchronized operation</w:t>
      </w:r>
    </w:p>
    <w:p w14:paraId="1EAB6279" w14:textId="77777777" w:rsidR="00B06994" w:rsidRDefault="00B06994" w:rsidP="00B76A95"/>
    <w:p w14:paraId="6FDFACDD" w14:textId="5BB7364F" w:rsidR="00B76A95" w:rsidRPr="00B76A95" w:rsidRDefault="00000F35" w:rsidP="00B76A95">
      <w:r>
        <w:t xml:space="preserve">However, the traffic chrematistics of ATG system may differ a lot with TN system. This may require different UL/DL configurations. Further due to the </w:t>
      </w:r>
      <w:r w:rsidR="00B06994">
        <w:t>large propagation delay it may be hard to realize full synchronization. The following 2 type of interference should be considered additionally.</w:t>
      </w:r>
    </w:p>
    <w:p w14:paraId="45256761" w14:textId="73AA279C" w:rsidR="00B06994" w:rsidRPr="00000F35" w:rsidRDefault="00B06994" w:rsidP="003861AF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B06994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UE to TN </w:t>
      </w:r>
      <w:r>
        <w:rPr>
          <w:rFonts w:ascii="Times New Roman" w:hAnsi="Times New Roman" w:cs="Times New Roman"/>
          <w:sz w:val="20"/>
          <w:szCs w:val="20"/>
        </w:rPr>
        <w:t>UE</w:t>
      </w:r>
    </w:p>
    <w:p w14:paraId="263BE464" w14:textId="0EE8E1C4" w:rsidR="00B06994" w:rsidRDefault="00B06994" w:rsidP="003861AF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B06994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BS to TN </w:t>
      </w:r>
      <w:r>
        <w:rPr>
          <w:rFonts w:ascii="Times New Roman" w:hAnsi="Times New Roman" w:cs="Times New Roman"/>
          <w:sz w:val="20"/>
          <w:szCs w:val="20"/>
        </w:rPr>
        <w:t>BS</w:t>
      </w:r>
    </w:p>
    <w:p w14:paraId="23464D56" w14:textId="77777777" w:rsidR="00AB66AB" w:rsidRDefault="00AB66AB" w:rsidP="00AB66AB"/>
    <w:p w14:paraId="26A26CD3" w14:textId="58016A5B" w:rsidR="00AB66AB" w:rsidRPr="00AB66AB" w:rsidRDefault="00AB66AB" w:rsidP="00AB66AB">
      <w:pPr>
        <w:rPr>
          <w:b/>
          <w:bCs/>
        </w:rPr>
      </w:pPr>
      <w:r w:rsidRPr="00AB66AB">
        <w:rPr>
          <w:b/>
          <w:bCs/>
        </w:rPr>
        <w:t xml:space="preserve">Proposal 1: The following </w:t>
      </w:r>
      <w:r w:rsidR="001B7090">
        <w:rPr>
          <w:b/>
          <w:bCs/>
        </w:rPr>
        <w:t xml:space="preserve">interference </w:t>
      </w:r>
      <w:r w:rsidRPr="00AB66AB">
        <w:rPr>
          <w:b/>
          <w:bCs/>
        </w:rPr>
        <w:t>scenarios need to be evaluated for ATG deployment in the TN bands.</w:t>
      </w:r>
    </w:p>
    <w:p w14:paraId="72096320" w14:textId="77777777" w:rsidR="00AB66AB" w:rsidRPr="00000F35" w:rsidRDefault="00AB66AB" w:rsidP="00AB66AB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>Scenario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UE to TN </w:t>
      </w:r>
      <w:proofErr w:type="spellStart"/>
      <w:r w:rsidRPr="00000F35"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6D2CA7ED" w14:textId="08BEF8B8" w:rsidR="00AB66AB" w:rsidRPr="00000F35" w:rsidRDefault="00AB66AB" w:rsidP="00AB66AB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>Scenario 2: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000F35">
        <w:rPr>
          <w:rFonts w:ascii="Times New Roman" w:hAnsi="Times New Roman" w:cs="Times New Roman"/>
          <w:sz w:val="20"/>
          <w:szCs w:val="20"/>
        </w:rPr>
        <w:t xml:space="preserve"> to TN UE</w:t>
      </w:r>
    </w:p>
    <w:p w14:paraId="65331F1D" w14:textId="77777777" w:rsidR="00AB66AB" w:rsidRPr="00000F35" w:rsidRDefault="00AB66AB" w:rsidP="00AB66AB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B06994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UE to TN </w:t>
      </w:r>
      <w:r>
        <w:rPr>
          <w:rFonts w:ascii="Times New Roman" w:hAnsi="Times New Roman" w:cs="Times New Roman"/>
          <w:sz w:val="20"/>
          <w:szCs w:val="20"/>
        </w:rPr>
        <w:t>UE</w:t>
      </w:r>
    </w:p>
    <w:p w14:paraId="727F8C49" w14:textId="20762C0E" w:rsidR="00AB66AB" w:rsidRPr="00AB66AB" w:rsidRDefault="00AB66AB" w:rsidP="00AB66AB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B06994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000F35">
        <w:rPr>
          <w:rFonts w:ascii="Times New Roman" w:hAnsi="Times New Roman" w:cs="Times New Roman"/>
          <w:sz w:val="20"/>
          <w:szCs w:val="20"/>
        </w:rPr>
        <w:t xml:space="preserve"> to TN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49E308D0" w14:textId="304549E8" w:rsidR="00263187" w:rsidRDefault="003861AF" w:rsidP="00AB66AB">
      <w:pPr>
        <w:pStyle w:val="Heading2"/>
        <w:spacing w:before="240" w:beforeAutospacing="0" w:after="240"/>
      </w:pPr>
      <w:r>
        <w:t>Differentiation of ATG network and TN network</w:t>
      </w:r>
    </w:p>
    <w:p w14:paraId="56F55CCD" w14:textId="343AC082" w:rsidR="00B06994" w:rsidRPr="00B06994" w:rsidRDefault="00B06994" w:rsidP="00A904DC">
      <w:pPr>
        <w:tabs>
          <w:tab w:val="left" w:pos="20"/>
          <w:tab w:val="left" w:pos="737"/>
        </w:tabs>
        <w:overflowPunct/>
        <w:spacing w:after="120" w:line="252" w:lineRule="auto"/>
        <w:textAlignment w:val="auto"/>
        <w:rPr>
          <w:rFonts w:eastAsia="MS Mincho"/>
          <w:color w:val="000000"/>
          <w:lang w:val="en-US" w:eastAsia="zh-CN"/>
        </w:rPr>
      </w:pPr>
      <w:r w:rsidRPr="00B06994">
        <w:rPr>
          <w:rFonts w:eastAsia="MS Mincho"/>
          <w:color w:val="000000"/>
          <w:lang w:val="en-US" w:eastAsia="zh-CN"/>
        </w:rPr>
        <w:t xml:space="preserve">The big cell coverage needs larger UE output power and/or beam forming gain to overcome the large propagation loss between ATG BS and ATG UE. This kind of </w:t>
      </w:r>
      <w:proofErr w:type="gramStart"/>
      <w:r w:rsidRPr="00B06994">
        <w:rPr>
          <w:rFonts w:eastAsia="MS Mincho"/>
          <w:color w:val="000000"/>
          <w:lang w:val="en-US" w:eastAsia="zh-CN"/>
        </w:rPr>
        <w:t>particular UE</w:t>
      </w:r>
      <w:proofErr w:type="gramEnd"/>
      <w:r w:rsidRPr="00B06994">
        <w:rPr>
          <w:rFonts w:eastAsia="MS Mincho"/>
          <w:color w:val="000000"/>
          <w:lang w:val="en-US" w:eastAsia="zh-CN"/>
        </w:rPr>
        <w:t xml:space="preserve"> is completely different from the current FR1 UE type in 36.101-1. </w:t>
      </w:r>
      <w:proofErr w:type="gramStart"/>
      <w:r w:rsidRPr="00B06994">
        <w:rPr>
          <w:rFonts w:eastAsia="MS Mincho"/>
          <w:color w:val="000000"/>
          <w:lang w:val="en-US" w:eastAsia="zh-CN"/>
        </w:rPr>
        <w:t>So</w:t>
      </w:r>
      <w:proofErr w:type="gramEnd"/>
      <w:r w:rsidR="003861AF">
        <w:rPr>
          <w:rFonts w:eastAsia="MS Mincho"/>
          <w:color w:val="000000"/>
          <w:lang w:val="en-US" w:eastAsia="zh-CN"/>
        </w:rPr>
        <w:t xml:space="preserve"> a new type of UE should be introduced with</w:t>
      </w:r>
      <w:r w:rsidRPr="00B06994">
        <w:rPr>
          <w:rFonts w:eastAsia="MS Mincho"/>
          <w:color w:val="000000"/>
          <w:lang w:val="en-US" w:eastAsia="zh-CN"/>
        </w:rPr>
        <w:t xml:space="preserve"> high output power and/or high gain from link budget point of view. </w:t>
      </w:r>
      <w:r w:rsidR="00A904DC">
        <w:rPr>
          <w:rFonts w:eastAsia="MS Mincho"/>
          <w:color w:val="000000"/>
          <w:lang w:val="en-US" w:eastAsia="zh-CN"/>
        </w:rPr>
        <w:t>From interference management point of view, t</w:t>
      </w:r>
      <w:r w:rsidR="003861AF">
        <w:rPr>
          <w:rFonts w:eastAsia="MS Mincho"/>
          <w:color w:val="000000"/>
          <w:lang w:val="en-US" w:eastAsia="zh-CN"/>
        </w:rPr>
        <w:t xml:space="preserve">he following 2 aspects need further </w:t>
      </w:r>
      <w:r w:rsidR="00A904DC">
        <w:rPr>
          <w:rFonts w:eastAsia="MS Mincho"/>
          <w:color w:val="000000"/>
          <w:lang w:val="en-US" w:eastAsia="zh-CN"/>
        </w:rPr>
        <w:t>consideration</w:t>
      </w:r>
      <w:r w:rsidR="003861AF">
        <w:rPr>
          <w:rFonts w:eastAsia="MS Mincho"/>
          <w:color w:val="000000"/>
          <w:lang w:val="en-US" w:eastAsia="zh-CN"/>
        </w:rPr>
        <w:t>,</w:t>
      </w:r>
    </w:p>
    <w:p w14:paraId="1DF61578" w14:textId="47DF0A2A" w:rsidR="00B06994" w:rsidRPr="00A904DC" w:rsidRDefault="00B06994" w:rsidP="00A904DC">
      <w:pPr>
        <w:pStyle w:val="ListParagraph"/>
        <w:numPr>
          <w:ilvl w:val="0"/>
          <w:numId w:val="30"/>
        </w:numPr>
        <w:tabs>
          <w:tab w:val="left" w:pos="20"/>
          <w:tab w:val="left" w:pos="737"/>
        </w:tabs>
        <w:spacing w:after="120" w:line="252" w:lineRule="auto"/>
        <w:ind w:left="714" w:firstLineChars="0" w:hanging="357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>ATG UE can access to different type of network depending on its status</w:t>
      </w:r>
      <w:r w:rsidR="003861AF"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of flight mode or ground mode</w:t>
      </w:r>
      <w:r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>.</w:t>
      </w:r>
      <w:r w:rsidR="00AB66AB"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</w:t>
      </w:r>
      <w:r w:rsidR="003861AF"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>D</w:t>
      </w:r>
      <w:r w:rsidR="003861AF"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>epending on the network type it will access</w:t>
      </w:r>
      <w:r w:rsidR="003861AF"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>, t</w:t>
      </w:r>
      <w:r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he ATG UE </w:t>
      </w:r>
      <w:r w:rsidR="003861AF"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may </w:t>
      </w:r>
      <w:r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enable different capabilities. </w:t>
      </w:r>
    </w:p>
    <w:p w14:paraId="71B681D1" w14:textId="5F5634C5" w:rsidR="00B06994" w:rsidRPr="00A904DC" w:rsidRDefault="00B06994" w:rsidP="00A904DC">
      <w:pPr>
        <w:pStyle w:val="ListParagraph"/>
        <w:numPr>
          <w:ilvl w:val="0"/>
          <w:numId w:val="30"/>
        </w:numPr>
        <w:tabs>
          <w:tab w:val="left" w:pos="20"/>
          <w:tab w:val="left" w:pos="737"/>
        </w:tabs>
        <w:spacing w:after="120" w:line="252" w:lineRule="auto"/>
        <w:ind w:left="714" w:firstLineChars="0" w:hanging="357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>To ensure the ATG network service for the intended airline, it would be necessary to only allow ATG UE to access the ATG networ</w:t>
      </w:r>
      <w:r w:rsidR="003861AF"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>k</w:t>
      </w:r>
      <w:r w:rsidRPr="00A904DC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. </w:t>
      </w:r>
    </w:p>
    <w:p w14:paraId="55E8C67D" w14:textId="0D616F6C" w:rsidR="00825451" w:rsidRPr="00A904DC" w:rsidRDefault="003861AF" w:rsidP="00A904DC">
      <w:pPr>
        <w:tabs>
          <w:tab w:val="left" w:pos="20"/>
          <w:tab w:val="left" w:pos="737"/>
        </w:tabs>
        <w:overflowPunct/>
        <w:spacing w:after="120" w:line="252" w:lineRule="auto"/>
        <w:textAlignment w:val="auto"/>
        <w:rPr>
          <w:rFonts w:eastAsia="MS Mincho"/>
          <w:b/>
          <w:bCs/>
          <w:color w:val="000000"/>
          <w:lang w:val="en-US" w:eastAsia="zh-CN"/>
        </w:rPr>
      </w:pPr>
      <w:r w:rsidRPr="00A904DC">
        <w:rPr>
          <w:rFonts w:eastAsia="MS Mincho"/>
          <w:b/>
          <w:bCs/>
          <w:color w:val="000000"/>
          <w:lang w:val="en-US" w:eastAsia="zh-CN"/>
        </w:rPr>
        <w:t>Proposal</w:t>
      </w:r>
      <w:r w:rsidR="00A904DC">
        <w:rPr>
          <w:rFonts w:eastAsia="MS Mincho"/>
          <w:b/>
          <w:bCs/>
          <w:color w:val="000000"/>
          <w:lang w:val="en-US" w:eastAsia="zh-CN"/>
        </w:rPr>
        <w:t xml:space="preserve"> 2</w:t>
      </w:r>
      <w:r w:rsidRPr="00A904DC">
        <w:rPr>
          <w:rFonts w:eastAsia="MS Mincho"/>
          <w:b/>
          <w:bCs/>
          <w:color w:val="000000"/>
          <w:lang w:val="en-US" w:eastAsia="zh-CN"/>
        </w:rPr>
        <w:t xml:space="preserve">: </w:t>
      </w:r>
      <w:r w:rsidR="00A904DC" w:rsidRPr="00A904DC">
        <w:rPr>
          <w:rFonts w:eastAsia="MS Mincho"/>
          <w:b/>
          <w:bCs/>
          <w:color w:val="000000"/>
          <w:lang w:val="en-US" w:eastAsia="zh-CN"/>
        </w:rPr>
        <w:t>T</w:t>
      </w:r>
      <w:r w:rsidRPr="00A904DC">
        <w:rPr>
          <w:rFonts w:eastAsia="MS Mincho"/>
          <w:b/>
          <w:bCs/>
          <w:color w:val="000000"/>
          <w:lang w:val="en-US" w:eastAsia="zh-CN"/>
        </w:rPr>
        <w:t>he ATG network should be distinguished from TN network</w:t>
      </w:r>
      <w:r w:rsidR="00A904DC" w:rsidRPr="00A904DC">
        <w:rPr>
          <w:rFonts w:eastAsia="MS Mincho"/>
          <w:b/>
          <w:bCs/>
          <w:color w:val="000000"/>
          <w:lang w:val="en-US" w:eastAsia="zh-CN"/>
        </w:rPr>
        <w:t xml:space="preserve"> to enable/disable specific type of UE access.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563F9E35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</w:t>
      </w:r>
      <w:r w:rsidR="00A904DC">
        <w:rPr>
          <w:lang w:eastAsia="zh-CN"/>
        </w:rPr>
        <w:t>for ATG</w:t>
      </w:r>
      <w:r w:rsidR="00BA3279">
        <w:rPr>
          <w:lang w:eastAsia="zh-CN"/>
        </w:rPr>
        <w:t>. The following proposals are concluded</w:t>
      </w:r>
      <w:r w:rsidR="000537FA">
        <w:rPr>
          <w:lang w:eastAsia="zh-CN"/>
        </w:rPr>
        <w:t>.</w:t>
      </w:r>
    </w:p>
    <w:p w14:paraId="1B13E37A" w14:textId="5161E92A" w:rsidR="00A904DC" w:rsidRPr="00AB66AB" w:rsidRDefault="00A904DC" w:rsidP="00A904DC">
      <w:pPr>
        <w:rPr>
          <w:b/>
          <w:bCs/>
        </w:rPr>
      </w:pPr>
      <w:r w:rsidRPr="00AB66AB">
        <w:rPr>
          <w:b/>
          <w:bCs/>
        </w:rPr>
        <w:t xml:space="preserve">Proposal 1: The following </w:t>
      </w:r>
      <w:r w:rsidR="001B7090">
        <w:rPr>
          <w:b/>
          <w:bCs/>
        </w:rPr>
        <w:t xml:space="preserve">interference </w:t>
      </w:r>
      <w:r w:rsidRPr="00AB66AB">
        <w:rPr>
          <w:b/>
          <w:bCs/>
        </w:rPr>
        <w:t>scenarios need to be evaluated for ATG deployment in the TN bands.</w:t>
      </w:r>
    </w:p>
    <w:p w14:paraId="650A83E1" w14:textId="77777777" w:rsidR="00A904DC" w:rsidRPr="00000F35" w:rsidRDefault="00A904DC" w:rsidP="00A904DC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>Scenario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UE to TN </w:t>
      </w:r>
      <w:proofErr w:type="spellStart"/>
      <w:r w:rsidRPr="00000F35"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5F72304B" w14:textId="77777777" w:rsidR="00A904DC" w:rsidRPr="00000F35" w:rsidRDefault="00A904DC" w:rsidP="00A904DC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>Scenario 2: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000F35">
        <w:rPr>
          <w:rFonts w:ascii="Times New Roman" w:hAnsi="Times New Roman" w:cs="Times New Roman"/>
          <w:sz w:val="20"/>
          <w:szCs w:val="20"/>
        </w:rPr>
        <w:t xml:space="preserve"> to TN UE</w:t>
      </w:r>
    </w:p>
    <w:p w14:paraId="3AB39A1E" w14:textId="77777777" w:rsidR="00A904DC" w:rsidRPr="00000F35" w:rsidRDefault="00A904DC" w:rsidP="00A904DC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B06994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UE to TN </w:t>
      </w:r>
      <w:r>
        <w:rPr>
          <w:rFonts w:ascii="Times New Roman" w:hAnsi="Times New Roman" w:cs="Times New Roman"/>
          <w:sz w:val="20"/>
          <w:szCs w:val="20"/>
        </w:rPr>
        <w:t>UE</w:t>
      </w:r>
    </w:p>
    <w:p w14:paraId="172C47D1" w14:textId="77777777" w:rsidR="00A904DC" w:rsidRPr="00AB66AB" w:rsidRDefault="00A904DC" w:rsidP="00A904DC">
      <w:pPr>
        <w:pStyle w:val="ListParagraph"/>
        <w:ind w:left="1136" w:firstLineChars="0" w:firstLine="0"/>
        <w:rPr>
          <w:rFonts w:ascii="Times New Roman" w:hAnsi="Times New Roman" w:cs="Times New Roman"/>
          <w:sz w:val="20"/>
          <w:szCs w:val="20"/>
        </w:rPr>
      </w:pPr>
      <w:r w:rsidRPr="00B06994">
        <w:rPr>
          <w:rFonts w:ascii="Times New Roman" w:hAnsi="Times New Roman" w:cs="Times New Roman"/>
          <w:b/>
          <w:bCs/>
          <w:sz w:val="20"/>
          <w:szCs w:val="20"/>
        </w:rPr>
        <w:t xml:space="preserve">Scenario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B06994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F35">
        <w:rPr>
          <w:rFonts w:ascii="Times New Roman" w:hAnsi="Times New Roman" w:cs="Times New Roman"/>
          <w:sz w:val="20"/>
          <w:szCs w:val="20"/>
        </w:rPr>
        <w:t xml:space="preserve">ATG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000F35">
        <w:rPr>
          <w:rFonts w:ascii="Times New Roman" w:hAnsi="Times New Roman" w:cs="Times New Roman"/>
          <w:sz w:val="20"/>
          <w:szCs w:val="20"/>
        </w:rPr>
        <w:t xml:space="preserve"> to TN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61A53CA1" w14:textId="59952162" w:rsidR="00A904DC" w:rsidRPr="00A904DC" w:rsidRDefault="00A904DC" w:rsidP="00A904DC">
      <w:pPr>
        <w:tabs>
          <w:tab w:val="left" w:pos="20"/>
          <w:tab w:val="left" w:pos="737"/>
        </w:tabs>
        <w:overflowPunct/>
        <w:spacing w:after="120" w:line="252" w:lineRule="auto"/>
        <w:textAlignment w:val="auto"/>
        <w:rPr>
          <w:rFonts w:eastAsia="MS Mincho"/>
          <w:b/>
          <w:bCs/>
          <w:color w:val="000000"/>
          <w:lang w:val="en-US" w:eastAsia="zh-CN"/>
        </w:rPr>
      </w:pPr>
      <w:r w:rsidRPr="00A904DC">
        <w:rPr>
          <w:rFonts w:eastAsia="MS Mincho"/>
          <w:b/>
          <w:bCs/>
          <w:color w:val="000000"/>
          <w:lang w:val="en-US" w:eastAsia="zh-CN"/>
        </w:rPr>
        <w:lastRenderedPageBreak/>
        <w:t>Proposal</w:t>
      </w:r>
      <w:r>
        <w:rPr>
          <w:rFonts w:eastAsia="MS Mincho"/>
          <w:b/>
          <w:bCs/>
          <w:color w:val="000000"/>
          <w:lang w:val="en-US" w:eastAsia="zh-CN"/>
        </w:rPr>
        <w:t xml:space="preserve"> 2</w:t>
      </w:r>
      <w:r w:rsidRPr="00A904DC">
        <w:rPr>
          <w:rFonts w:eastAsia="MS Mincho"/>
          <w:b/>
          <w:bCs/>
          <w:color w:val="000000"/>
          <w:lang w:val="en-US" w:eastAsia="zh-CN"/>
        </w:rPr>
        <w:t>: The ATG network should be distinguished from TN network to enable/disable specific type of UE access.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68A85843" w:rsidR="00705345" w:rsidRPr="000930F6" w:rsidRDefault="00705345" w:rsidP="00705345">
      <w:pPr>
        <w:rPr>
          <w:lang w:eastAsia="zh-CN"/>
        </w:rPr>
      </w:pPr>
      <w:r>
        <w:rPr>
          <w:lang w:eastAsia="zh-CN"/>
        </w:rPr>
        <w:t>[1] RP-</w:t>
      </w:r>
      <w:r w:rsidR="000930F6">
        <w:rPr>
          <w:lang w:eastAsia="zh-CN"/>
        </w:rPr>
        <w:t>22</w:t>
      </w:r>
      <w:r w:rsidR="00B76A95">
        <w:rPr>
          <w:lang w:eastAsia="zh-CN"/>
        </w:rPr>
        <w:t>0962</w:t>
      </w:r>
      <w:r>
        <w:rPr>
          <w:lang w:eastAsia="zh-CN"/>
        </w:rPr>
        <w:t xml:space="preserve">, </w:t>
      </w:r>
      <w:r w:rsidR="00B76A95" w:rsidRPr="00B76A95">
        <w:rPr>
          <w:rFonts w:hint="eastAsia"/>
          <w:lang w:eastAsia="zh-CN"/>
        </w:rPr>
        <w:t>Air-to-ground network for NR</w:t>
      </w:r>
      <w:r w:rsidR="004F2EF1" w:rsidRPr="000930F6">
        <w:rPr>
          <w:lang w:eastAsia="zh-CN"/>
        </w:rPr>
        <w:t xml:space="preserve">, </w:t>
      </w:r>
      <w:r w:rsidR="00B76A95">
        <w:rPr>
          <w:lang w:eastAsia="zh-CN"/>
        </w:rPr>
        <w:t>CMCC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73995" w14:textId="77777777" w:rsidR="00AB2805" w:rsidRDefault="00AB2805">
      <w:r>
        <w:separator/>
      </w:r>
    </w:p>
  </w:endnote>
  <w:endnote w:type="continuationSeparator" w:id="0">
    <w:p w14:paraId="7D4FEE47" w14:textId="77777777" w:rsidR="00AB2805" w:rsidRDefault="00AB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6D54C" w14:textId="77777777" w:rsidR="00AB2805" w:rsidRDefault="00AB2805">
      <w:r>
        <w:separator/>
      </w:r>
    </w:p>
  </w:footnote>
  <w:footnote w:type="continuationSeparator" w:id="0">
    <w:p w14:paraId="70B2A94D" w14:textId="77777777" w:rsidR="00AB2805" w:rsidRDefault="00AB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395907"/>
    <w:multiLevelType w:val="hybridMultilevel"/>
    <w:tmpl w:val="5D7012A8"/>
    <w:lvl w:ilvl="0" w:tplc="05A8795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AB5ED7"/>
    <w:multiLevelType w:val="hybridMultilevel"/>
    <w:tmpl w:val="51DE2B74"/>
    <w:lvl w:ilvl="0" w:tplc="C3DC591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C93D63"/>
    <w:multiLevelType w:val="hybridMultilevel"/>
    <w:tmpl w:val="CD3C1306"/>
    <w:lvl w:ilvl="0" w:tplc="21B81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20"/>
  </w:num>
  <w:num w:numId="2" w16cid:durableId="2022120795">
    <w:abstractNumId w:val="8"/>
  </w:num>
  <w:num w:numId="3" w16cid:durableId="1743016714">
    <w:abstractNumId w:val="10"/>
  </w:num>
  <w:num w:numId="4" w16cid:durableId="936059377">
    <w:abstractNumId w:val="14"/>
  </w:num>
  <w:num w:numId="5" w16cid:durableId="238949770">
    <w:abstractNumId w:val="5"/>
  </w:num>
  <w:num w:numId="6" w16cid:durableId="1084885530">
    <w:abstractNumId w:val="17"/>
  </w:num>
  <w:num w:numId="7" w16cid:durableId="1615013665">
    <w:abstractNumId w:val="8"/>
  </w:num>
  <w:num w:numId="8" w16cid:durableId="825124775">
    <w:abstractNumId w:val="8"/>
  </w:num>
  <w:num w:numId="9" w16cid:durableId="781607879">
    <w:abstractNumId w:val="12"/>
  </w:num>
  <w:num w:numId="10" w16cid:durableId="200674332">
    <w:abstractNumId w:val="13"/>
  </w:num>
  <w:num w:numId="11" w16cid:durableId="2053767489">
    <w:abstractNumId w:val="16"/>
  </w:num>
  <w:num w:numId="12" w16cid:durableId="1876768467">
    <w:abstractNumId w:val="8"/>
  </w:num>
  <w:num w:numId="13" w16cid:durableId="1274895905">
    <w:abstractNumId w:val="4"/>
  </w:num>
  <w:num w:numId="14" w16cid:durableId="620963921">
    <w:abstractNumId w:val="9"/>
  </w:num>
  <w:num w:numId="15" w16cid:durableId="1056127646">
    <w:abstractNumId w:val="8"/>
  </w:num>
  <w:num w:numId="16" w16cid:durableId="224801515">
    <w:abstractNumId w:val="8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19"/>
  </w:num>
  <w:num w:numId="21" w16cid:durableId="217399179">
    <w:abstractNumId w:val="3"/>
  </w:num>
  <w:num w:numId="22" w16cid:durableId="244195586">
    <w:abstractNumId w:val="7"/>
  </w:num>
  <w:num w:numId="23" w16cid:durableId="804546034">
    <w:abstractNumId w:val="18"/>
  </w:num>
  <w:num w:numId="24" w16cid:durableId="1115826582">
    <w:abstractNumId w:val="8"/>
  </w:num>
  <w:num w:numId="25" w16cid:durableId="1266156912">
    <w:abstractNumId w:val="8"/>
  </w:num>
  <w:num w:numId="26" w16cid:durableId="718945102">
    <w:abstractNumId w:val="8"/>
  </w:num>
  <w:num w:numId="27" w16cid:durableId="1225793843">
    <w:abstractNumId w:val="15"/>
  </w:num>
  <w:num w:numId="28" w16cid:durableId="1167668798">
    <w:abstractNumId w:val="8"/>
  </w:num>
  <w:num w:numId="29" w16cid:durableId="737440124">
    <w:abstractNumId w:val="11"/>
  </w:num>
  <w:num w:numId="30" w16cid:durableId="75524416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0F35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7C8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090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187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1AF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6B1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2B9D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4DC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2805"/>
    <w:rsid w:val="00AB43C0"/>
    <w:rsid w:val="00AB44C2"/>
    <w:rsid w:val="00AB552C"/>
    <w:rsid w:val="00AB5591"/>
    <w:rsid w:val="00AB564D"/>
    <w:rsid w:val="00AB66AB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6994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95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6AC2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45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3</cp:revision>
  <cp:lastPrinted>2010-01-07T02:23:00Z</cp:lastPrinted>
  <dcterms:created xsi:type="dcterms:W3CDTF">2022-08-10T18:52:00Z</dcterms:created>
  <dcterms:modified xsi:type="dcterms:W3CDTF">2022-08-10T19:38:00Z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