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1CDE" w:rsidRPr="00694C17" w:rsidRDefault="00861CDE" w:rsidP="00861CDE">
      <w:pPr>
        <w:tabs>
          <w:tab w:val="left" w:pos="1985"/>
          <w:tab w:val="left" w:pos="7920"/>
        </w:tabs>
        <w:spacing w:after="0" w:line="240" w:lineRule="auto"/>
        <w:jc w:val="both"/>
        <w:rPr>
          <w:rFonts w:ascii="Arial" w:eastAsia="Malgun Gothic" w:hAnsi="Arial" w:cs="Arial"/>
          <w:b/>
          <w:sz w:val="24"/>
          <w:lang w:val="en-GB"/>
        </w:rPr>
      </w:pPr>
      <w:bookmarkStart w:id="0" w:name="_Hlk6897498"/>
      <w:bookmarkStart w:id="1" w:name="_Hlk3548187"/>
      <w:r w:rsidRPr="00C70FEF">
        <w:rPr>
          <w:rFonts w:ascii="Arial" w:eastAsia="Malgun Gothic" w:hAnsi="Arial" w:cs="Arial"/>
          <w:b/>
          <w:sz w:val="24"/>
        </w:rPr>
        <w:t>3GPP TSG-RAN WG</w:t>
      </w:r>
      <w:r w:rsidR="00B578BF" w:rsidRPr="00C70FEF">
        <w:rPr>
          <w:rFonts w:ascii="Arial" w:eastAsia="Malgun Gothic" w:hAnsi="Arial" w:cs="Arial"/>
          <w:b/>
          <w:sz w:val="24"/>
        </w:rPr>
        <w:t>4</w:t>
      </w:r>
      <w:r w:rsidRPr="00C70FEF">
        <w:rPr>
          <w:rFonts w:ascii="Arial" w:eastAsia="Malgun Gothic" w:hAnsi="Arial" w:cs="Arial"/>
          <w:b/>
          <w:sz w:val="24"/>
        </w:rPr>
        <w:t xml:space="preserve"> #</w:t>
      </w:r>
      <w:r w:rsidR="00B578BF" w:rsidRPr="00C70FEF">
        <w:rPr>
          <w:rFonts w:ascii="Arial" w:eastAsia="Malgun Gothic" w:hAnsi="Arial" w:cs="Arial"/>
          <w:b/>
          <w:sz w:val="24"/>
        </w:rPr>
        <w:t>10</w:t>
      </w:r>
      <w:r w:rsidR="00065E5F" w:rsidRPr="00C70FEF">
        <w:rPr>
          <w:rFonts w:ascii="Arial" w:eastAsia="Malgun Gothic" w:hAnsi="Arial" w:cs="Arial"/>
          <w:b/>
          <w:sz w:val="24"/>
        </w:rPr>
        <w:t>2</w:t>
      </w:r>
      <w:r w:rsidRPr="00C70FEF">
        <w:rPr>
          <w:rFonts w:ascii="Arial" w:eastAsia="Malgun Gothic" w:hAnsi="Arial" w:cs="Arial"/>
          <w:b/>
          <w:sz w:val="24"/>
        </w:rPr>
        <w:t>-e</w:t>
      </w:r>
      <w:r w:rsidRPr="00C70FEF">
        <w:rPr>
          <w:rFonts w:ascii="Arial" w:eastAsia="Malgun Gothic" w:hAnsi="Arial" w:cs="Arial"/>
          <w:b/>
          <w:sz w:val="24"/>
        </w:rPr>
        <w:tab/>
      </w:r>
      <w:r w:rsidRPr="00C70FEF">
        <w:rPr>
          <w:rFonts w:ascii="Arial" w:eastAsia="Malgun Gothic" w:hAnsi="Arial" w:cs="Arial"/>
          <w:b/>
          <w:sz w:val="24"/>
        </w:rPr>
        <w:tab/>
      </w:r>
      <w:r w:rsidR="00821A2D" w:rsidRPr="000D25C7">
        <w:rPr>
          <w:b/>
          <w:i/>
          <w:noProof/>
          <w:sz w:val="28"/>
        </w:rPr>
        <w:t>R4-220544</w:t>
      </w:r>
      <w:r w:rsidR="00821A2D">
        <w:rPr>
          <w:b/>
          <w:i/>
          <w:noProof/>
          <w:sz w:val="28"/>
        </w:rPr>
        <w:t>1</w:t>
      </w:r>
      <w:r w:rsidR="00F81C7A">
        <w:rPr>
          <w:rFonts w:ascii="Arial" w:eastAsia="Malgun Gothic" w:hAnsi="Arial" w:cs="Arial"/>
          <w:b/>
          <w:sz w:val="24"/>
        </w:rPr>
        <w:t xml:space="preserve"> </w:t>
      </w:r>
      <w:r w:rsidR="00694C17" w:rsidRPr="00C70FEF">
        <w:rPr>
          <w:rFonts w:ascii="Arial" w:eastAsia="Malgun Gothic" w:hAnsi="Arial" w:cs="Arial"/>
          <w:b/>
          <w:sz w:val="24"/>
        </w:rPr>
        <w:t xml:space="preserve">Electronic Meeting, </w:t>
      </w:r>
      <w:r w:rsidR="00B578BF" w:rsidRPr="00C70FEF">
        <w:rPr>
          <w:b/>
          <w:bCs/>
          <w:sz w:val="24"/>
          <w:szCs w:val="24"/>
        </w:rPr>
        <w:t>21</w:t>
      </w:r>
      <w:r w:rsidR="00B578BF" w:rsidRPr="00C70FEF">
        <w:rPr>
          <w:b/>
          <w:bCs/>
          <w:sz w:val="24"/>
          <w:szCs w:val="24"/>
          <w:vertAlign w:val="superscript"/>
        </w:rPr>
        <w:t>st</w:t>
      </w:r>
      <w:r w:rsidR="00B578BF" w:rsidRPr="00C70FEF">
        <w:rPr>
          <w:b/>
          <w:bCs/>
          <w:sz w:val="24"/>
          <w:szCs w:val="24"/>
        </w:rPr>
        <w:t xml:space="preserve"> Feb</w:t>
      </w:r>
      <w:r w:rsidR="00065E5F" w:rsidRPr="00C70FEF">
        <w:rPr>
          <w:b/>
          <w:bCs/>
          <w:sz w:val="24"/>
          <w:szCs w:val="24"/>
        </w:rPr>
        <w:t xml:space="preserve"> – </w:t>
      </w:r>
      <w:r w:rsidR="00C70FEF" w:rsidRPr="00C70FEF">
        <w:rPr>
          <w:b/>
          <w:bCs/>
          <w:sz w:val="24"/>
          <w:szCs w:val="24"/>
        </w:rPr>
        <w:t>3</w:t>
      </w:r>
      <w:r w:rsidR="00C70FEF" w:rsidRPr="00C70FEF">
        <w:rPr>
          <w:b/>
          <w:bCs/>
          <w:sz w:val="24"/>
          <w:szCs w:val="24"/>
          <w:vertAlign w:val="superscript"/>
        </w:rPr>
        <w:t>rd</w:t>
      </w:r>
      <w:r w:rsidR="00C70FEF" w:rsidRPr="00C70FEF">
        <w:rPr>
          <w:b/>
          <w:bCs/>
          <w:sz w:val="24"/>
          <w:szCs w:val="24"/>
        </w:rPr>
        <w:t xml:space="preserve"> </w:t>
      </w:r>
      <w:r w:rsidR="00B578BF" w:rsidRPr="00C70FEF">
        <w:rPr>
          <w:b/>
          <w:bCs/>
          <w:sz w:val="24"/>
          <w:szCs w:val="24"/>
        </w:rPr>
        <w:t>March</w:t>
      </w:r>
      <w:r w:rsidR="00065E5F" w:rsidRPr="00C70FEF">
        <w:rPr>
          <w:b/>
          <w:bCs/>
          <w:sz w:val="24"/>
          <w:szCs w:val="24"/>
        </w:rPr>
        <w:t xml:space="preserve"> 202</w:t>
      </w:r>
      <w:r w:rsidR="00B578BF" w:rsidRPr="00C70FEF">
        <w:rPr>
          <w:b/>
          <w:bCs/>
          <w:sz w:val="24"/>
          <w:szCs w:val="24"/>
        </w:rPr>
        <w:t>2</w:t>
      </w:r>
    </w:p>
    <w:bookmarkEnd w:id="0"/>
    <w:p w:rsidR="00861CDE" w:rsidRPr="00861CDE" w:rsidRDefault="00861CDE" w:rsidP="00861CDE">
      <w:pPr>
        <w:spacing w:after="180" w:line="240" w:lineRule="auto"/>
        <w:rPr>
          <w:rFonts w:ascii="Arial" w:eastAsia="Malgun Gothic" w:hAnsi="Arial" w:cs="Arial"/>
          <w:b/>
          <w:sz w:val="24"/>
          <w:szCs w:val="24"/>
        </w:rPr>
      </w:pP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Agenda item:</w:t>
      </w:r>
      <w:r w:rsidRPr="00861CDE">
        <w:rPr>
          <w:rFonts w:ascii="Arial" w:eastAsia="Malgun Gothic" w:hAnsi="Arial" w:cs="Arial"/>
          <w:b/>
          <w:sz w:val="24"/>
          <w:szCs w:val="24"/>
          <w:lang w:val="en-GB"/>
        </w:rPr>
        <w:tab/>
      </w:r>
      <w:r w:rsidR="00C70FEF" w:rsidRPr="00C70FEF">
        <w:rPr>
          <w:rFonts w:ascii="Arial" w:eastAsia="Malgun Gothic" w:hAnsi="Arial" w:cs="Arial"/>
          <w:sz w:val="24"/>
          <w:szCs w:val="24"/>
          <w:lang w:val="en-GB"/>
        </w:rPr>
        <w:t>5.1.5.3.2</w:t>
      </w: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Source:</w:t>
      </w:r>
      <w:r w:rsidRPr="00861CDE">
        <w:rPr>
          <w:rFonts w:ascii="Arial" w:eastAsia="Malgun Gothic" w:hAnsi="Arial" w:cs="Arial"/>
          <w:b/>
          <w:sz w:val="24"/>
          <w:szCs w:val="24"/>
          <w:lang w:val="en-GB"/>
        </w:rPr>
        <w:tab/>
      </w:r>
      <w:r w:rsidRPr="00861CDE">
        <w:rPr>
          <w:rFonts w:ascii="Arial" w:eastAsia="Malgun Gothic" w:hAnsi="Arial" w:cs="Arial"/>
          <w:sz w:val="24"/>
          <w:szCs w:val="24"/>
          <w:lang w:val="en-GB"/>
        </w:rPr>
        <w:t>Rohde &amp; Schwarz</w:t>
      </w:r>
    </w:p>
    <w:p w:rsidR="00861CDE" w:rsidRPr="00861CDE" w:rsidRDefault="00861CDE" w:rsidP="00861CDE">
      <w:pPr>
        <w:tabs>
          <w:tab w:val="left" w:pos="2250"/>
        </w:tabs>
        <w:spacing w:after="180" w:line="240" w:lineRule="auto"/>
        <w:ind w:left="2160" w:hanging="2160"/>
        <w:rPr>
          <w:rFonts w:ascii="Arial" w:eastAsia="Malgun Gothic" w:hAnsi="Arial" w:cs="Arial"/>
          <w:b/>
          <w:sz w:val="24"/>
          <w:szCs w:val="24"/>
          <w:lang w:val="en-GB"/>
        </w:rPr>
      </w:pPr>
      <w:r w:rsidRPr="00861CDE">
        <w:rPr>
          <w:rFonts w:ascii="Arial" w:eastAsia="Malgun Gothic" w:hAnsi="Arial" w:cs="Arial"/>
          <w:b/>
          <w:sz w:val="24"/>
          <w:szCs w:val="24"/>
          <w:lang w:val="en-GB"/>
        </w:rPr>
        <w:t>Title:</w:t>
      </w:r>
      <w:r w:rsidRPr="00861CDE">
        <w:rPr>
          <w:rFonts w:ascii="Arial" w:eastAsia="Malgun Gothic" w:hAnsi="Arial" w:cs="Arial"/>
          <w:b/>
          <w:sz w:val="24"/>
          <w:szCs w:val="24"/>
          <w:lang w:val="en-GB"/>
        </w:rPr>
        <w:tab/>
      </w:r>
      <w:r w:rsidR="00B578BF">
        <w:rPr>
          <w:rFonts w:ascii="Arial" w:eastAsia="Malgun Gothic" w:hAnsi="Arial" w:cs="Arial"/>
          <w:b/>
          <w:sz w:val="24"/>
          <w:szCs w:val="24"/>
          <w:lang w:val="en-GB"/>
        </w:rPr>
        <w:t>On UE-based DL-TDOA support</w:t>
      </w: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Document for:</w:t>
      </w:r>
      <w:r w:rsidRPr="00861CDE">
        <w:rPr>
          <w:rFonts w:ascii="Arial" w:eastAsia="Malgun Gothic" w:hAnsi="Arial" w:cs="Arial"/>
          <w:b/>
          <w:sz w:val="24"/>
          <w:szCs w:val="24"/>
          <w:lang w:val="en-GB"/>
        </w:rPr>
        <w:tab/>
      </w:r>
      <w:r w:rsidRPr="00861CDE">
        <w:rPr>
          <w:rFonts w:ascii="Arial" w:eastAsia="Malgun Gothic" w:hAnsi="Arial" w:cs="Arial"/>
          <w:sz w:val="24"/>
          <w:szCs w:val="24"/>
          <w:lang w:val="en-GB"/>
        </w:rPr>
        <w:t>Endorsement</w:t>
      </w:r>
    </w:p>
    <w:bookmarkEnd w:id="1"/>
    <w:p w:rsidR="00861CDE" w:rsidRPr="00B578BF" w:rsidRDefault="00861CDE" w:rsidP="00B578BF">
      <w:pPr>
        <w:pStyle w:val="ListParagraph"/>
        <w:keepNext/>
        <w:keepLines/>
        <w:numPr>
          <w:ilvl w:val="0"/>
          <w:numId w:val="31"/>
        </w:numPr>
        <w:pBdr>
          <w:top w:val="single" w:sz="12" w:space="3" w:color="auto"/>
        </w:pBdr>
        <w:spacing w:before="240" w:after="180" w:line="240" w:lineRule="auto"/>
        <w:outlineLvl w:val="0"/>
        <w:rPr>
          <w:rFonts w:ascii="Arial" w:eastAsia="Malgun Gothic" w:hAnsi="Arial" w:cs="Times New Roman"/>
          <w:sz w:val="36"/>
          <w:lang w:val="en-GB"/>
        </w:rPr>
      </w:pPr>
      <w:r w:rsidRPr="00B578BF">
        <w:rPr>
          <w:rFonts w:ascii="Arial" w:eastAsia="Malgun Gothic" w:hAnsi="Arial" w:cs="Times New Roman"/>
          <w:sz w:val="36"/>
          <w:lang w:val="en-GB"/>
        </w:rPr>
        <w:t>Introduction</w:t>
      </w:r>
    </w:p>
    <w:p w:rsidR="00B578BF" w:rsidRDefault="00B578BF" w:rsidP="001B5DBC">
      <w:r>
        <w:t>In RAN4#101, a discussion paper on UE-based DL-TDOA was presented in [1]. A summary of the discussion is given here for reference.</w:t>
      </w:r>
    </w:p>
    <w:p w:rsidR="00B578BF" w:rsidRDefault="00B578BF" w:rsidP="001B5DBC">
      <w:r>
        <w:t>There are two positioning modes, UE-assisted and UE-based. Current test requirement definition assumes UE-assisted support. However, UE-assisted and UE-based are both optional features. A UE could decide to support only UE-based DL-TDOA and not support UE-assisted. In such a scenario, DL-TDOA requirements would remain untested for this UE.</w:t>
      </w:r>
    </w:p>
    <w:p w:rsidR="00B578BF" w:rsidRDefault="00B578BF" w:rsidP="001B5DBC">
      <w:r>
        <w:t xml:space="preserve">During the discussion, it was pointed out that </w:t>
      </w:r>
      <w:r w:rsidR="007D4391">
        <w:t xml:space="preserve">the main challenge for defining new </w:t>
      </w:r>
      <w:r>
        <w:t xml:space="preserve">test cases </w:t>
      </w:r>
      <w:r w:rsidR="007D4391">
        <w:t xml:space="preserve">are the definition of the </w:t>
      </w:r>
      <w:r>
        <w:t>UE-based requirements. On the other hand, it was also noted that for some cases the measurement is the same, and just the calculation unit is different.</w:t>
      </w:r>
    </w:p>
    <w:p w:rsidR="007547A0" w:rsidRDefault="007547A0" w:rsidP="001B5DBC">
      <w:r>
        <w:t xml:space="preserve">The </w:t>
      </w:r>
      <w:r w:rsidR="00974D8D">
        <w:t xml:space="preserve">summary </w:t>
      </w:r>
      <w:r>
        <w:t xml:space="preserve">of the discussion as per </w:t>
      </w:r>
      <w:r w:rsidR="007D4391">
        <w:t xml:space="preserve">the respective thread in </w:t>
      </w:r>
      <w:r>
        <w:t>[3] ha</w:t>
      </w:r>
      <w:r w:rsidR="00974D8D">
        <w:t>s</w:t>
      </w:r>
      <w:r>
        <w:t xml:space="preserve"> been depicted below. </w:t>
      </w:r>
    </w:p>
    <w:tbl>
      <w:tblPr>
        <w:tblStyle w:val="TableGrid"/>
        <w:tblW w:w="9857" w:type="dxa"/>
        <w:tblLayout w:type="fixed"/>
        <w:tblLook w:val="04A0" w:firstRow="1" w:lastRow="0" w:firstColumn="1" w:lastColumn="0" w:noHBand="0" w:noVBand="1"/>
      </w:tblPr>
      <w:tblGrid>
        <w:gridCol w:w="1638"/>
        <w:gridCol w:w="8219"/>
      </w:tblGrid>
      <w:tr w:rsidR="007547A0" w:rsidRPr="001B195F" w:rsidTr="00BE25C6">
        <w:tc>
          <w:tcPr>
            <w:tcW w:w="1638" w:type="dxa"/>
          </w:tcPr>
          <w:p w:rsidR="007547A0" w:rsidRPr="001B195F" w:rsidRDefault="007547A0" w:rsidP="00BE25C6">
            <w:pPr>
              <w:rPr>
                <w:rFonts w:eastAsiaTheme="minorEastAsia"/>
                <w:b/>
                <w:bCs/>
                <w:color w:val="0070C0"/>
                <w:highlight w:val="lightGray"/>
                <w:lang w:eastAsia="zh-CN"/>
              </w:rPr>
            </w:pPr>
            <w:r w:rsidRPr="001B195F">
              <w:rPr>
                <w:rFonts w:eastAsiaTheme="minorEastAsia"/>
                <w:b/>
                <w:bCs/>
                <w:color w:val="0070C0"/>
                <w:highlight w:val="lightGray"/>
                <w:lang w:eastAsia="zh-CN"/>
              </w:rPr>
              <w:t>Sub-topic#3-1</w:t>
            </w:r>
          </w:p>
        </w:tc>
        <w:tc>
          <w:tcPr>
            <w:tcW w:w="8219" w:type="dxa"/>
          </w:tcPr>
          <w:p w:rsidR="007547A0" w:rsidRPr="001B195F" w:rsidRDefault="007547A0" w:rsidP="00BE25C6">
            <w:pPr>
              <w:rPr>
                <w:rFonts w:eastAsiaTheme="minorEastAsia"/>
                <w:b/>
                <w:bCs/>
                <w:color w:val="0070C0"/>
                <w:highlight w:val="lightGray"/>
                <w:lang w:eastAsia="zh-CN"/>
              </w:rPr>
            </w:pPr>
            <w:r w:rsidRPr="001B195F">
              <w:rPr>
                <w:rFonts w:eastAsiaTheme="minorEastAsia"/>
                <w:b/>
                <w:bCs/>
                <w:color w:val="0070C0"/>
                <w:highlight w:val="lightGray"/>
                <w:lang w:eastAsia="zh-CN"/>
              </w:rPr>
              <w:t>Test cases for the UE-based positioning measurement delay reporting</w:t>
            </w:r>
          </w:p>
          <w:p w:rsidR="007547A0" w:rsidRPr="001B195F" w:rsidRDefault="007547A0" w:rsidP="007547A0">
            <w:pPr>
              <w:pStyle w:val="ListParagraph"/>
              <w:numPr>
                <w:ilvl w:val="1"/>
                <w:numId w:val="32"/>
              </w:numPr>
              <w:overflowPunct w:val="0"/>
              <w:autoSpaceDE w:val="0"/>
              <w:autoSpaceDN w:val="0"/>
              <w:adjustRightInd w:val="0"/>
              <w:spacing w:after="180" w:line="259" w:lineRule="auto"/>
              <w:textAlignment w:val="baseline"/>
              <w:rPr>
                <w:rFonts w:eastAsiaTheme="minorEastAsia"/>
                <w:highlight w:val="lightGray"/>
                <w:lang w:eastAsia="zh-CN"/>
              </w:rPr>
            </w:pPr>
            <w:r w:rsidRPr="001B195F">
              <w:rPr>
                <w:highlight w:val="lightGray"/>
              </w:rPr>
              <w:t>FFS on test case for UE based positioning measurement delay reporting: RAN4 to add UE-based DL-TDOA reporting delay test case requirements based on the existing RSTD reporting delay test cases, but adding the needed pre-requisites</w:t>
            </w:r>
            <w:r w:rsidRPr="001B195F">
              <w:rPr>
                <w:highlight w:val="lightGray"/>
                <w:lang w:eastAsia="zh-CN"/>
              </w:rPr>
              <w:t>.</w:t>
            </w:r>
          </w:p>
          <w:p w:rsidR="007547A0" w:rsidRPr="001B195F" w:rsidRDefault="007547A0" w:rsidP="00BE25C6">
            <w:pPr>
              <w:rPr>
                <w:rFonts w:eastAsiaTheme="minorEastAsia"/>
                <w:b/>
                <w:bCs/>
                <w:color w:val="0070C0"/>
                <w:highlight w:val="lightGray"/>
                <w:lang w:eastAsia="zh-CN"/>
              </w:rPr>
            </w:pPr>
            <w:r w:rsidRPr="001B195F">
              <w:rPr>
                <w:rFonts w:eastAsiaTheme="minorEastAsia"/>
                <w:i/>
                <w:color w:val="0070C0"/>
                <w:highlight w:val="lightGray"/>
                <w:lang w:eastAsia="zh-CN"/>
              </w:rPr>
              <w:t xml:space="preserve"> </w:t>
            </w:r>
          </w:p>
        </w:tc>
      </w:tr>
      <w:tr w:rsidR="007547A0" w:rsidRPr="00A36F70" w:rsidTr="00BE25C6">
        <w:tc>
          <w:tcPr>
            <w:tcW w:w="1638" w:type="dxa"/>
          </w:tcPr>
          <w:p w:rsidR="007547A0" w:rsidRPr="001B195F" w:rsidRDefault="007547A0" w:rsidP="00BE25C6">
            <w:pPr>
              <w:rPr>
                <w:rFonts w:eastAsiaTheme="minorEastAsia"/>
                <w:b/>
                <w:bCs/>
                <w:color w:val="0070C0"/>
                <w:highlight w:val="lightGray"/>
                <w:lang w:eastAsia="zh-CN"/>
              </w:rPr>
            </w:pPr>
            <w:r w:rsidRPr="001B195F">
              <w:rPr>
                <w:rFonts w:eastAsiaTheme="minorEastAsia"/>
                <w:b/>
                <w:bCs/>
                <w:color w:val="0070C0"/>
                <w:highlight w:val="lightGray"/>
                <w:lang w:eastAsia="zh-CN"/>
              </w:rPr>
              <w:t>Sub-topic #3-2</w:t>
            </w:r>
          </w:p>
        </w:tc>
        <w:tc>
          <w:tcPr>
            <w:tcW w:w="8219" w:type="dxa"/>
          </w:tcPr>
          <w:p w:rsidR="007547A0" w:rsidRPr="001B195F" w:rsidRDefault="007547A0" w:rsidP="00BE25C6">
            <w:pPr>
              <w:rPr>
                <w:rFonts w:eastAsiaTheme="minorEastAsia"/>
                <w:b/>
                <w:bCs/>
                <w:color w:val="0070C0"/>
                <w:highlight w:val="lightGray"/>
                <w:lang w:eastAsia="zh-CN"/>
              </w:rPr>
            </w:pPr>
            <w:r w:rsidRPr="001B195F">
              <w:rPr>
                <w:rFonts w:eastAsiaTheme="minorEastAsia"/>
                <w:b/>
                <w:bCs/>
                <w:color w:val="0070C0"/>
                <w:highlight w:val="lightGray"/>
                <w:lang w:eastAsia="zh-CN"/>
              </w:rPr>
              <w:t>Test cases for the UE-based positioning measurement accuracy requirements</w:t>
            </w:r>
          </w:p>
          <w:p w:rsidR="007547A0" w:rsidRPr="001B195F" w:rsidRDefault="007547A0" w:rsidP="007547A0">
            <w:pPr>
              <w:pStyle w:val="ListParagraph"/>
              <w:numPr>
                <w:ilvl w:val="1"/>
                <w:numId w:val="32"/>
              </w:numPr>
              <w:overflowPunct w:val="0"/>
              <w:autoSpaceDE w:val="0"/>
              <w:autoSpaceDN w:val="0"/>
              <w:adjustRightInd w:val="0"/>
              <w:spacing w:after="180" w:line="259" w:lineRule="auto"/>
              <w:textAlignment w:val="baseline"/>
              <w:rPr>
                <w:rFonts w:eastAsiaTheme="minorEastAsia"/>
                <w:highlight w:val="lightGray"/>
                <w:lang w:eastAsia="zh-CN"/>
              </w:rPr>
            </w:pPr>
            <w:r w:rsidRPr="001B195F">
              <w:rPr>
                <w:highlight w:val="lightGray"/>
              </w:rPr>
              <w:t>FFS on test case for UE based positioning measurement accuracy requirements: RAN4 to consider the definition of DL-TDOA accuracy test case requirements for UEs supporting UE-based DL-TDOA based on one of the following alternatives:</w:t>
            </w:r>
          </w:p>
          <w:p w:rsidR="007547A0" w:rsidRPr="001B195F" w:rsidRDefault="007547A0" w:rsidP="007547A0">
            <w:pPr>
              <w:numPr>
                <w:ilvl w:val="2"/>
                <w:numId w:val="32"/>
              </w:numPr>
              <w:overflowPunct w:val="0"/>
              <w:autoSpaceDE w:val="0"/>
              <w:autoSpaceDN w:val="0"/>
              <w:adjustRightInd w:val="0"/>
              <w:spacing w:after="120" w:line="271" w:lineRule="auto"/>
              <w:textAlignment w:val="baseline"/>
              <w:rPr>
                <w:highlight w:val="lightGray"/>
              </w:rPr>
            </w:pPr>
            <w:r w:rsidRPr="001B195F">
              <w:rPr>
                <w:highlight w:val="lightGray"/>
              </w:rPr>
              <w:t xml:space="preserve">Alternative 1: considering the worst case RSTD absolute accuracy from TS 38.133 section 10.1.23 (e.g. Expected RSTD - K for the serving cell, Expected RSTD + K for all neighbor cells, where K is the accuracy limit for the corresponding PRS configuration), calculate the total positioning error that results based on </w:t>
            </w:r>
            <w:proofErr w:type="spellStart"/>
            <w:r w:rsidRPr="001B195F">
              <w:rPr>
                <w:highlight w:val="lightGray"/>
              </w:rPr>
              <w:t>multilateration</w:t>
            </w:r>
            <w:proofErr w:type="spellEnd"/>
            <w:r w:rsidRPr="001B195F">
              <w:rPr>
                <w:highlight w:val="lightGray"/>
              </w:rPr>
              <w:t xml:space="preserve"> algorithm.</w:t>
            </w:r>
          </w:p>
          <w:p w:rsidR="007547A0" w:rsidRPr="001B195F" w:rsidRDefault="007547A0" w:rsidP="007547A0">
            <w:pPr>
              <w:numPr>
                <w:ilvl w:val="2"/>
                <w:numId w:val="32"/>
              </w:numPr>
              <w:overflowPunct w:val="0"/>
              <w:autoSpaceDE w:val="0"/>
              <w:autoSpaceDN w:val="0"/>
              <w:adjustRightInd w:val="0"/>
              <w:spacing w:after="120" w:line="271" w:lineRule="auto"/>
              <w:textAlignment w:val="baseline"/>
              <w:rPr>
                <w:highlight w:val="lightGray"/>
              </w:rPr>
            </w:pPr>
            <w:r w:rsidRPr="001B195F">
              <w:rPr>
                <w:highlight w:val="lightGray"/>
              </w:rPr>
              <w:t>Alternative 2: consider the E911 requirements as basis and define a positioning accuracy error of +-50m</w:t>
            </w:r>
          </w:p>
          <w:p w:rsidR="007547A0" w:rsidRPr="00A36F70" w:rsidRDefault="007547A0" w:rsidP="00BE25C6">
            <w:pPr>
              <w:rPr>
                <w:rFonts w:eastAsiaTheme="minorEastAsia"/>
                <w:b/>
                <w:bCs/>
                <w:color w:val="0070C0"/>
                <w:lang w:eastAsia="zh-CN"/>
              </w:rPr>
            </w:pPr>
            <w:r w:rsidRPr="00A36F70">
              <w:rPr>
                <w:rFonts w:eastAsiaTheme="minorEastAsia"/>
                <w:i/>
                <w:color w:val="0070C0"/>
                <w:lang w:eastAsia="zh-CN"/>
              </w:rPr>
              <w:t xml:space="preserve"> </w:t>
            </w:r>
          </w:p>
        </w:tc>
      </w:tr>
    </w:tbl>
    <w:p w:rsidR="007547A0" w:rsidRDefault="007547A0" w:rsidP="001B5DBC"/>
    <w:p w:rsidR="007547A0" w:rsidRDefault="007547A0" w:rsidP="007547A0">
      <w:r>
        <w:t>The aim of this paper is to explore a way to</w:t>
      </w:r>
      <w:r w:rsidR="004131B0">
        <w:t xml:space="preserve"> assess and test the UE-based requirements, by</w:t>
      </w:r>
      <w:r>
        <w:t xml:space="preserve"> adapt</w:t>
      </w:r>
      <w:r w:rsidR="004131B0">
        <w:t xml:space="preserve">ing </w:t>
      </w:r>
      <w:r>
        <w:t xml:space="preserve">existing test cases to accommodate also </w:t>
      </w:r>
      <w:r w:rsidR="004131B0">
        <w:t xml:space="preserve">the </w:t>
      </w:r>
      <w:r>
        <w:t>devices supporting only UE-based DL-TDOA</w:t>
      </w:r>
      <w:r w:rsidR="00B16398">
        <w:t>.</w:t>
      </w:r>
    </w:p>
    <w:p w:rsidR="007547A0" w:rsidRDefault="007547A0" w:rsidP="001B5DBC"/>
    <w:p w:rsidR="007547A0" w:rsidRDefault="007547A0" w:rsidP="001B5DBC"/>
    <w:p w:rsidR="00861CDE" w:rsidRPr="00B578BF" w:rsidRDefault="00861CDE" w:rsidP="00B578BF">
      <w:pPr>
        <w:pStyle w:val="ListParagraph"/>
        <w:keepNext/>
        <w:keepLines/>
        <w:numPr>
          <w:ilvl w:val="0"/>
          <w:numId w:val="31"/>
        </w:numPr>
        <w:pBdr>
          <w:top w:val="single" w:sz="12" w:space="3" w:color="auto"/>
        </w:pBdr>
        <w:spacing w:before="240" w:after="180" w:line="240" w:lineRule="auto"/>
        <w:outlineLvl w:val="0"/>
        <w:rPr>
          <w:rFonts w:ascii="Arial" w:eastAsia="Malgun Gothic" w:hAnsi="Arial" w:cs="Times New Roman"/>
          <w:sz w:val="36"/>
          <w:lang w:val="en-GB"/>
        </w:rPr>
      </w:pPr>
      <w:r w:rsidRPr="00B578BF">
        <w:rPr>
          <w:rFonts w:ascii="Arial" w:eastAsia="Malgun Gothic" w:hAnsi="Arial" w:cs="Times New Roman"/>
          <w:sz w:val="36"/>
          <w:lang w:val="en-GB"/>
        </w:rPr>
        <w:lastRenderedPageBreak/>
        <w:t>Discussion</w:t>
      </w:r>
    </w:p>
    <w:p w:rsidR="00B578BF" w:rsidRDefault="00B578BF" w:rsidP="001B5DBC">
      <w:r>
        <w:t>The first thing to notice is that there are two types of scenarios: measurement delay requirements and measurement accuracy. Thus, this paper will analyze both scenarios separately.</w:t>
      </w:r>
    </w:p>
    <w:p w:rsidR="00B578BF" w:rsidRPr="00B578BF" w:rsidRDefault="00B63A95" w:rsidP="00B63A95">
      <w:pPr>
        <w:pStyle w:val="Heading2"/>
        <w:numPr>
          <w:ilvl w:val="0"/>
          <w:numId w:val="0"/>
        </w:numPr>
        <w:ind w:left="595" w:hanging="595"/>
      </w:pPr>
      <w:r>
        <w:t>2.1</w:t>
      </w:r>
      <w:r>
        <w:tab/>
      </w:r>
      <w:r w:rsidR="00B578BF">
        <w:t>Measurement delay test cases</w:t>
      </w:r>
    </w:p>
    <w:p w:rsidR="00861CDE" w:rsidRDefault="00B578BF" w:rsidP="001B5DBC">
      <w:r>
        <w:t>For measurement delay requirements, the test case evaluates whether the positioning measurement report arrives within a specified time delay. Therefore, it makes no differen</w:t>
      </w:r>
      <w:r w:rsidR="00E1654B">
        <w:t xml:space="preserve">ce </w:t>
      </w:r>
      <w:r w:rsidR="002D03CF">
        <w:t xml:space="preserve">from the test purpose point of view </w:t>
      </w:r>
      <w:r w:rsidR="00E1654B">
        <w:t xml:space="preserve">whether the UE is </w:t>
      </w:r>
      <w:r w:rsidR="002D03CF">
        <w:t xml:space="preserve">using the UE-assisted or the UE-based method for the positioning. </w:t>
      </w:r>
    </w:p>
    <w:p w:rsidR="002D03CF" w:rsidRDefault="002D03CF" w:rsidP="001B5DBC">
      <w:r>
        <w:rPr>
          <w:b/>
        </w:rPr>
        <w:t xml:space="preserve">Observation 1: </w:t>
      </w:r>
      <w:r w:rsidR="004648B6">
        <w:t>M</w:t>
      </w:r>
      <w:r>
        <w:t>easurement delay requirements are agnostic of UE-assisted or UE-based positioning method.</w:t>
      </w:r>
      <w:r w:rsidR="000F12E7">
        <w:t xml:space="preserve"> </w:t>
      </w:r>
    </w:p>
    <w:p w:rsidR="002D03CF" w:rsidRDefault="002D03CF" w:rsidP="001B5DBC">
      <w:r>
        <w:t>However,</w:t>
      </w:r>
      <w:r w:rsidR="000F12E7">
        <w:t xml:space="preserve"> as per the conclusion of </w:t>
      </w:r>
      <w:r w:rsidR="000F12E7" w:rsidRPr="000F12E7">
        <w:t>Sub-topic#3-1</w:t>
      </w:r>
      <w:r w:rsidR="000F12E7">
        <w:t>,</w:t>
      </w:r>
      <w:r>
        <w:t xml:space="preserve"> the UE needs additional assistance data in order to perform a UE-based location fix. In particular, the UE needs the </w:t>
      </w:r>
      <w:r w:rsidRPr="003F44DA">
        <w:rPr>
          <w:i/>
        </w:rPr>
        <w:t>nr-</w:t>
      </w:r>
      <w:proofErr w:type="spellStart"/>
      <w:r w:rsidRPr="003F44DA">
        <w:rPr>
          <w:i/>
        </w:rPr>
        <w:t>PositionCalculationAssistance</w:t>
      </w:r>
      <w:proofErr w:type="spellEnd"/>
      <w:r>
        <w:t xml:space="preserve"> information [2]. This IE contains the coordination of the antenna reference points of the TRPs and the RTD (real time delay) i.e. the time synchronization information between the reference TRP and the neighbor TRPs.</w:t>
      </w:r>
    </w:p>
    <w:p w:rsidR="002D03CF" w:rsidRDefault="002D03CF" w:rsidP="001B5DBC">
      <w:r w:rsidRPr="002D03CF">
        <w:rPr>
          <w:b/>
        </w:rPr>
        <w:t xml:space="preserve">Observation 2: </w:t>
      </w:r>
      <w:r w:rsidR="004648B6">
        <w:t>T</w:t>
      </w:r>
      <w:r>
        <w:t>he UE needs the base station antenna location and the RTD value for a UE-based location fix.</w:t>
      </w:r>
    </w:p>
    <w:p w:rsidR="002D03CF" w:rsidRDefault="002D03CF" w:rsidP="001B5DBC">
      <w:r w:rsidRPr="002D03CF">
        <w:rPr>
          <w:b/>
        </w:rPr>
        <w:t xml:space="preserve">Proposal 1: </w:t>
      </w:r>
      <w:r w:rsidR="000F12E7" w:rsidRPr="000F12E7">
        <w:t>T</w:t>
      </w:r>
      <w:r w:rsidR="004131B0" w:rsidRPr="000F12E7">
        <w:t>o</w:t>
      </w:r>
      <w:r w:rsidR="004131B0">
        <w:t xml:space="preserve"> enable </w:t>
      </w:r>
      <w:r w:rsidR="004131B0" w:rsidRPr="002D03CF">
        <w:t>measurement delay test</w:t>
      </w:r>
      <w:r w:rsidR="009339B0">
        <w:t>ing</w:t>
      </w:r>
      <w:r w:rsidR="004131B0">
        <w:t xml:space="preserve"> for UE-based DL-TDOA</w:t>
      </w:r>
      <w:r w:rsidRPr="002D03CF">
        <w:t>,</w:t>
      </w:r>
      <w:r>
        <w:rPr>
          <w:b/>
        </w:rPr>
        <w:t xml:space="preserve"> </w:t>
      </w:r>
      <w:r w:rsidR="004131B0">
        <w:t>add to the test case a</w:t>
      </w:r>
      <w:r>
        <w:t xml:space="preserve"> table containing a model of the base station locations and the RTD value between them</w:t>
      </w:r>
      <w:r w:rsidR="004131B0">
        <w:t xml:space="preserve"> </w:t>
      </w:r>
      <w:r w:rsidR="00ED238C">
        <w:rPr>
          <w:noProof/>
        </w:rPr>
        <w:t>compliant to the current test configurations</w:t>
      </w:r>
      <w:r w:rsidR="004131B0">
        <w:t xml:space="preserve">. </w:t>
      </w:r>
      <w:r w:rsidR="000F12E7">
        <w:t>For UE-based the</w:t>
      </w:r>
      <w:r w:rsidR="005A02E5">
        <w:t xml:space="preserve"> UE location</w:t>
      </w:r>
      <w:r w:rsidR="000F12E7">
        <w:t xml:space="preserve"> fix reporting delay is evaluated.</w:t>
      </w:r>
    </w:p>
    <w:p w:rsidR="000F12E7" w:rsidRDefault="000F12E7" w:rsidP="001B5DBC">
      <w:r>
        <w:t>The UE location in the table below is based on the time offset between PRS signals defined for the test case in A.6.6.12</w:t>
      </w:r>
      <w:r w:rsidR="00806BB6">
        <w:t>.1/2</w:t>
      </w:r>
      <w:r>
        <w:t xml:space="preserve"> in [4]. It is just shown for information purposed and it will not be provided to the UE.</w:t>
      </w:r>
    </w:p>
    <w:tbl>
      <w:tblPr>
        <w:tblStyle w:val="RS-StandardTable8pt"/>
        <w:tblW w:w="0" w:type="auto"/>
        <w:tblLook w:val="04A0" w:firstRow="1" w:lastRow="0" w:firstColumn="1" w:lastColumn="0" w:noHBand="0" w:noVBand="1"/>
      </w:tblPr>
      <w:tblGrid>
        <w:gridCol w:w="1885"/>
        <w:gridCol w:w="1962"/>
        <w:gridCol w:w="1982"/>
        <w:gridCol w:w="1941"/>
        <w:gridCol w:w="1887"/>
      </w:tblGrid>
      <w:tr w:rsidR="002D03CF" w:rsidTr="002D03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rsidR="002D03CF" w:rsidRDefault="002D03CF" w:rsidP="001B5DBC"/>
        </w:tc>
        <w:tc>
          <w:tcPr>
            <w:tcW w:w="1962" w:type="dxa"/>
          </w:tcPr>
          <w:p w:rsidR="002D03CF" w:rsidRDefault="002D03CF" w:rsidP="001B5DBC">
            <w:pPr>
              <w:cnfStyle w:val="100000000000" w:firstRow="1" w:lastRow="0" w:firstColumn="0" w:lastColumn="0" w:oddVBand="0" w:evenVBand="0" w:oddHBand="0" w:evenHBand="0" w:firstRowFirstColumn="0" w:firstRowLastColumn="0" w:lastRowFirstColumn="0" w:lastRowLastColumn="0"/>
            </w:pPr>
            <w:r>
              <w:t>East [m]</w:t>
            </w:r>
          </w:p>
        </w:tc>
        <w:tc>
          <w:tcPr>
            <w:tcW w:w="1982" w:type="dxa"/>
          </w:tcPr>
          <w:p w:rsidR="002D03CF" w:rsidRDefault="002D03CF" w:rsidP="001B5DBC">
            <w:pPr>
              <w:cnfStyle w:val="100000000000" w:firstRow="1" w:lastRow="0" w:firstColumn="0" w:lastColumn="0" w:oddVBand="0" w:evenVBand="0" w:oddHBand="0" w:evenHBand="0" w:firstRowFirstColumn="0" w:firstRowLastColumn="0" w:lastRowFirstColumn="0" w:lastRowLastColumn="0"/>
            </w:pPr>
            <w:r>
              <w:t>North [m]</w:t>
            </w:r>
          </w:p>
        </w:tc>
        <w:tc>
          <w:tcPr>
            <w:tcW w:w="1941" w:type="dxa"/>
          </w:tcPr>
          <w:p w:rsidR="002D03CF" w:rsidRDefault="002D03CF" w:rsidP="001B5DBC">
            <w:pPr>
              <w:cnfStyle w:val="100000000000" w:firstRow="1" w:lastRow="0" w:firstColumn="0" w:lastColumn="0" w:oddVBand="0" w:evenVBand="0" w:oddHBand="0" w:evenHBand="0" w:firstRowFirstColumn="0" w:firstRowLastColumn="0" w:lastRowFirstColumn="0" w:lastRowLastColumn="0"/>
            </w:pPr>
            <w:r>
              <w:t>Up [m]</w:t>
            </w:r>
          </w:p>
        </w:tc>
        <w:tc>
          <w:tcPr>
            <w:tcW w:w="1887" w:type="dxa"/>
          </w:tcPr>
          <w:p w:rsidR="002D03CF" w:rsidRDefault="002D03CF" w:rsidP="001B5DBC">
            <w:pPr>
              <w:cnfStyle w:val="100000000000" w:firstRow="1" w:lastRow="0" w:firstColumn="0" w:lastColumn="0" w:oddVBand="0" w:evenVBand="0" w:oddHBand="0" w:evenHBand="0" w:firstRowFirstColumn="0" w:firstRowLastColumn="0" w:lastRowFirstColumn="0" w:lastRowLastColumn="0"/>
            </w:pPr>
            <w:r>
              <w:t>RTD</w:t>
            </w:r>
          </w:p>
        </w:tc>
      </w:tr>
      <w:tr w:rsidR="002D03CF" w:rsidTr="002D03CF">
        <w:tc>
          <w:tcPr>
            <w:cnfStyle w:val="001000000000" w:firstRow="0" w:lastRow="0" w:firstColumn="1" w:lastColumn="0" w:oddVBand="0" w:evenVBand="0" w:oddHBand="0" w:evenHBand="0" w:firstRowFirstColumn="0" w:firstRowLastColumn="0" w:lastRowFirstColumn="0" w:lastRowLastColumn="0"/>
            <w:tcW w:w="1885" w:type="dxa"/>
          </w:tcPr>
          <w:p w:rsidR="002D03CF" w:rsidRDefault="002D03CF" w:rsidP="001B5DBC">
            <w:r>
              <w:t>NR Cell 1</w:t>
            </w:r>
          </w:p>
        </w:tc>
        <w:tc>
          <w:tcPr>
            <w:tcW w:w="1962" w:type="dxa"/>
          </w:tcPr>
          <w:p w:rsidR="002D03CF" w:rsidRDefault="002D03CF" w:rsidP="001B5DBC">
            <w:pPr>
              <w:cnfStyle w:val="000000000000" w:firstRow="0" w:lastRow="0" w:firstColumn="0" w:lastColumn="0" w:oddVBand="0" w:evenVBand="0" w:oddHBand="0" w:evenHBand="0" w:firstRowFirstColumn="0" w:firstRowLastColumn="0" w:lastRowFirstColumn="0" w:lastRowLastColumn="0"/>
            </w:pPr>
            <w:r>
              <w:t>0</w:t>
            </w:r>
          </w:p>
        </w:tc>
        <w:tc>
          <w:tcPr>
            <w:tcW w:w="1982" w:type="dxa"/>
          </w:tcPr>
          <w:p w:rsidR="002D03CF" w:rsidRDefault="002D03CF" w:rsidP="001B5DBC">
            <w:pPr>
              <w:cnfStyle w:val="000000000000" w:firstRow="0" w:lastRow="0" w:firstColumn="0" w:lastColumn="0" w:oddVBand="0" w:evenVBand="0" w:oddHBand="0" w:evenHBand="0" w:firstRowFirstColumn="0" w:firstRowLastColumn="0" w:lastRowFirstColumn="0" w:lastRowLastColumn="0"/>
            </w:pPr>
            <w:r>
              <w:t>0</w:t>
            </w:r>
          </w:p>
        </w:tc>
        <w:tc>
          <w:tcPr>
            <w:tcW w:w="1941" w:type="dxa"/>
          </w:tcPr>
          <w:p w:rsidR="002D03CF" w:rsidRDefault="00A506B1" w:rsidP="001B5DBC">
            <w:pPr>
              <w:cnfStyle w:val="000000000000" w:firstRow="0" w:lastRow="0" w:firstColumn="0" w:lastColumn="0" w:oddVBand="0" w:evenVBand="0" w:oddHBand="0" w:evenHBand="0" w:firstRowFirstColumn="0" w:firstRowLastColumn="0" w:lastRowFirstColumn="0" w:lastRowLastColumn="0"/>
            </w:pPr>
            <w:r>
              <w:t>20</w:t>
            </w:r>
          </w:p>
        </w:tc>
        <w:tc>
          <w:tcPr>
            <w:tcW w:w="1887" w:type="dxa"/>
          </w:tcPr>
          <w:p w:rsidR="002D03CF" w:rsidRDefault="00A506B1" w:rsidP="001B5DBC">
            <w:pPr>
              <w:cnfStyle w:val="000000000000" w:firstRow="0" w:lastRow="0" w:firstColumn="0" w:lastColumn="0" w:oddVBand="0" w:evenVBand="0" w:oddHBand="0" w:evenHBand="0" w:firstRowFirstColumn="0" w:firstRowLastColumn="0" w:lastRowFirstColumn="0" w:lastRowLastColumn="0"/>
            </w:pPr>
            <w:r>
              <w:t>0 (Ref)</w:t>
            </w:r>
          </w:p>
        </w:tc>
      </w:tr>
      <w:tr w:rsidR="002D03CF" w:rsidTr="002D03CF">
        <w:tc>
          <w:tcPr>
            <w:cnfStyle w:val="001000000000" w:firstRow="0" w:lastRow="0" w:firstColumn="1" w:lastColumn="0" w:oddVBand="0" w:evenVBand="0" w:oddHBand="0" w:evenHBand="0" w:firstRowFirstColumn="0" w:firstRowLastColumn="0" w:lastRowFirstColumn="0" w:lastRowLastColumn="0"/>
            <w:tcW w:w="1885" w:type="dxa"/>
          </w:tcPr>
          <w:p w:rsidR="002D03CF" w:rsidRDefault="00A506B1" w:rsidP="001B5DBC">
            <w:r>
              <w:t>NR Cell 2</w:t>
            </w:r>
          </w:p>
        </w:tc>
        <w:tc>
          <w:tcPr>
            <w:tcW w:w="1962" w:type="dxa"/>
          </w:tcPr>
          <w:p w:rsidR="002D03CF" w:rsidRDefault="00092DD8" w:rsidP="001B5DBC">
            <w:pPr>
              <w:cnfStyle w:val="000000000000" w:firstRow="0" w:lastRow="0" w:firstColumn="0" w:lastColumn="0" w:oddVBand="0" w:evenVBand="0" w:oddHBand="0" w:evenHBand="0" w:firstRowFirstColumn="0" w:firstRowLastColumn="0" w:lastRowFirstColumn="0" w:lastRowLastColumn="0"/>
            </w:pPr>
            <w:r>
              <w:t>3</w:t>
            </w:r>
            <w:r w:rsidR="00A506B1">
              <w:t>00</w:t>
            </w:r>
            <w:r>
              <w:t>0</w:t>
            </w:r>
          </w:p>
        </w:tc>
        <w:tc>
          <w:tcPr>
            <w:tcW w:w="1982" w:type="dxa"/>
          </w:tcPr>
          <w:p w:rsidR="002D03CF" w:rsidRDefault="00A506B1" w:rsidP="001B5DBC">
            <w:pPr>
              <w:cnfStyle w:val="000000000000" w:firstRow="0" w:lastRow="0" w:firstColumn="0" w:lastColumn="0" w:oddVBand="0" w:evenVBand="0" w:oddHBand="0" w:evenHBand="0" w:firstRowFirstColumn="0" w:firstRowLastColumn="0" w:lastRowFirstColumn="0" w:lastRowLastColumn="0"/>
            </w:pPr>
            <w:r>
              <w:t>0</w:t>
            </w:r>
          </w:p>
        </w:tc>
        <w:tc>
          <w:tcPr>
            <w:tcW w:w="1941" w:type="dxa"/>
          </w:tcPr>
          <w:p w:rsidR="002D03CF" w:rsidRDefault="00A506B1" w:rsidP="001B5DBC">
            <w:pPr>
              <w:cnfStyle w:val="000000000000" w:firstRow="0" w:lastRow="0" w:firstColumn="0" w:lastColumn="0" w:oddVBand="0" w:evenVBand="0" w:oddHBand="0" w:evenHBand="0" w:firstRowFirstColumn="0" w:firstRowLastColumn="0" w:lastRowFirstColumn="0" w:lastRowLastColumn="0"/>
            </w:pPr>
            <w:r>
              <w:t>15</w:t>
            </w:r>
          </w:p>
        </w:tc>
        <w:tc>
          <w:tcPr>
            <w:tcW w:w="1887" w:type="dxa"/>
          </w:tcPr>
          <w:p w:rsidR="002D03CF" w:rsidRDefault="00A506B1" w:rsidP="001B5DBC">
            <w:pPr>
              <w:cnfStyle w:val="000000000000" w:firstRow="0" w:lastRow="0" w:firstColumn="0" w:lastColumn="0" w:oddVBand="0" w:evenVBand="0" w:oddHBand="0" w:evenHBand="0" w:firstRowFirstColumn="0" w:firstRowLastColumn="0" w:lastRowFirstColumn="0" w:lastRowLastColumn="0"/>
            </w:pPr>
            <w:r>
              <w:t>0</w:t>
            </w:r>
          </w:p>
        </w:tc>
      </w:tr>
      <w:tr w:rsidR="002D03CF" w:rsidTr="002D03CF">
        <w:tc>
          <w:tcPr>
            <w:cnfStyle w:val="001000000000" w:firstRow="0" w:lastRow="0" w:firstColumn="1" w:lastColumn="0" w:oddVBand="0" w:evenVBand="0" w:oddHBand="0" w:evenHBand="0" w:firstRowFirstColumn="0" w:firstRowLastColumn="0" w:lastRowFirstColumn="0" w:lastRowLastColumn="0"/>
            <w:tcW w:w="1885" w:type="dxa"/>
          </w:tcPr>
          <w:p w:rsidR="002D03CF" w:rsidRDefault="00A506B1" w:rsidP="001B5DBC">
            <w:r>
              <w:t>NR Cell 3</w:t>
            </w:r>
          </w:p>
        </w:tc>
        <w:tc>
          <w:tcPr>
            <w:tcW w:w="1962" w:type="dxa"/>
          </w:tcPr>
          <w:p w:rsidR="002D03CF" w:rsidRDefault="00092DD8" w:rsidP="001B5DBC">
            <w:pPr>
              <w:cnfStyle w:val="000000000000" w:firstRow="0" w:lastRow="0" w:firstColumn="0" w:lastColumn="0" w:oddVBand="0" w:evenVBand="0" w:oddHBand="0" w:evenHBand="0" w:firstRowFirstColumn="0" w:firstRowLastColumn="0" w:lastRowFirstColumn="0" w:lastRowLastColumn="0"/>
            </w:pPr>
            <w:r>
              <w:t>15</w:t>
            </w:r>
            <w:r w:rsidR="00A506B1">
              <w:t>0</w:t>
            </w:r>
            <w:r>
              <w:t>0</w:t>
            </w:r>
          </w:p>
        </w:tc>
        <w:tc>
          <w:tcPr>
            <w:tcW w:w="1982" w:type="dxa"/>
          </w:tcPr>
          <w:p w:rsidR="002D03CF" w:rsidRDefault="009B75B3" w:rsidP="001B5DBC">
            <w:pPr>
              <w:cnfStyle w:val="000000000000" w:firstRow="0" w:lastRow="0" w:firstColumn="0" w:lastColumn="0" w:oddVBand="0" w:evenVBand="0" w:oddHBand="0" w:evenHBand="0" w:firstRowFirstColumn="0" w:firstRowLastColumn="0" w:lastRowFirstColumn="0" w:lastRowLastColumn="0"/>
            </w:pPr>
            <w:r>
              <w:t>2598</w:t>
            </w:r>
          </w:p>
        </w:tc>
        <w:tc>
          <w:tcPr>
            <w:tcW w:w="1941" w:type="dxa"/>
          </w:tcPr>
          <w:p w:rsidR="002D03CF" w:rsidRDefault="00A506B1" w:rsidP="001B5DBC">
            <w:pPr>
              <w:cnfStyle w:val="000000000000" w:firstRow="0" w:lastRow="0" w:firstColumn="0" w:lastColumn="0" w:oddVBand="0" w:evenVBand="0" w:oddHBand="0" w:evenHBand="0" w:firstRowFirstColumn="0" w:firstRowLastColumn="0" w:lastRowFirstColumn="0" w:lastRowLastColumn="0"/>
            </w:pPr>
            <w:r>
              <w:t>25</w:t>
            </w:r>
          </w:p>
        </w:tc>
        <w:tc>
          <w:tcPr>
            <w:tcW w:w="1887" w:type="dxa"/>
          </w:tcPr>
          <w:p w:rsidR="002D03CF" w:rsidRDefault="00A506B1" w:rsidP="001B5DBC">
            <w:pPr>
              <w:cnfStyle w:val="000000000000" w:firstRow="0" w:lastRow="0" w:firstColumn="0" w:lastColumn="0" w:oddVBand="0" w:evenVBand="0" w:oddHBand="0" w:evenHBand="0" w:firstRowFirstColumn="0" w:firstRowLastColumn="0" w:lastRowFirstColumn="0" w:lastRowLastColumn="0"/>
            </w:pPr>
            <w:r>
              <w:t>0</w:t>
            </w:r>
          </w:p>
        </w:tc>
      </w:tr>
      <w:tr w:rsidR="00A506B1" w:rsidTr="002D03CF">
        <w:tc>
          <w:tcPr>
            <w:cnfStyle w:val="001000000000" w:firstRow="0" w:lastRow="0" w:firstColumn="1" w:lastColumn="0" w:oddVBand="0" w:evenVBand="0" w:oddHBand="0" w:evenHBand="0" w:firstRowFirstColumn="0" w:firstRowLastColumn="0" w:lastRowFirstColumn="0" w:lastRowLastColumn="0"/>
            <w:tcW w:w="1885" w:type="dxa"/>
          </w:tcPr>
          <w:p w:rsidR="00A506B1" w:rsidRPr="00B63A95" w:rsidRDefault="00A506B1" w:rsidP="001B5DBC">
            <w:pPr>
              <w:rPr>
                <w:vertAlign w:val="superscript"/>
              </w:rPr>
            </w:pPr>
            <w:proofErr w:type="spellStart"/>
            <w:r>
              <w:t>UE</w:t>
            </w:r>
            <w:r w:rsidR="00B63A95">
              <w:rPr>
                <w:vertAlign w:val="superscript"/>
              </w:rPr>
              <w:t>Note</w:t>
            </w:r>
            <w:proofErr w:type="spellEnd"/>
            <w:r w:rsidR="00B63A95">
              <w:rPr>
                <w:vertAlign w:val="superscript"/>
              </w:rPr>
              <w:t xml:space="preserve"> 1</w:t>
            </w:r>
          </w:p>
        </w:tc>
        <w:tc>
          <w:tcPr>
            <w:tcW w:w="1962" w:type="dxa"/>
          </w:tcPr>
          <w:p w:rsidR="00A506B1" w:rsidRDefault="00092DD8" w:rsidP="001B5DBC">
            <w:pPr>
              <w:cnfStyle w:val="000000000000" w:firstRow="0" w:lastRow="0" w:firstColumn="0" w:lastColumn="0" w:oddVBand="0" w:evenVBand="0" w:oddHBand="0" w:evenHBand="0" w:firstRowFirstColumn="0" w:firstRowLastColumn="0" w:lastRowFirstColumn="0" w:lastRowLastColumn="0"/>
            </w:pPr>
            <w:r>
              <w:t>15</w:t>
            </w:r>
            <w:r w:rsidR="00A506B1">
              <w:t>0</w:t>
            </w:r>
            <w:r>
              <w:t>0</w:t>
            </w:r>
          </w:p>
        </w:tc>
        <w:tc>
          <w:tcPr>
            <w:tcW w:w="1982" w:type="dxa"/>
          </w:tcPr>
          <w:p w:rsidR="00A506B1" w:rsidRDefault="00092DD8" w:rsidP="001B5DBC">
            <w:pPr>
              <w:cnfStyle w:val="000000000000" w:firstRow="0" w:lastRow="0" w:firstColumn="0" w:lastColumn="0" w:oddVBand="0" w:evenVBand="0" w:oddHBand="0" w:evenHBand="0" w:firstRowFirstColumn="0" w:firstRowLastColumn="0" w:lastRowFirstColumn="0" w:lastRowLastColumn="0"/>
            </w:pPr>
            <w:r>
              <w:t>3</w:t>
            </w:r>
            <w:r w:rsidR="009B75B3">
              <w:t>99</w:t>
            </w:r>
          </w:p>
        </w:tc>
        <w:tc>
          <w:tcPr>
            <w:tcW w:w="1941" w:type="dxa"/>
          </w:tcPr>
          <w:p w:rsidR="00A506B1" w:rsidRDefault="00A506B1" w:rsidP="001B5DBC">
            <w:pPr>
              <w:cnfStyle w:val="000000000000" w:firstRow="0" w:lastRow="0" w:firstColumn="0" w:lastColumn="0" w:oddVBand="0" w:evenVBand="0" w:oddHBand="0" w:evenHBand="0" w:firstRowFirstColumn="0" w:firstRowLastColumn="0" w:lastRowFirstColumn="0" w:lastRowLastColumn="0"/>
            </w:pPr>
            <w:r>
              <w:t>0</w:t>
            </w:r>
          </w:p>
        </w:tc>
        <w:tc>
          <w:tcPr>
            <w:tcW w:w="1887" w:type="dxa"/>
          </w:tcPr>
          <w:p w:rsidR="00A506B1" w:rsidRDefault="00A506B1" w:rsidP="001B5DBC">
            <w:pPr>
              <w:cnfStyle w:val="000000000000" w:firstRow="0" w:lastRow="0" w:firstColumn="0" w:lastColumn="0" w:oddVBand="0" w:evenVBand="0" w:oddHBand="0" w:evenHBand="0" w:firstRowFirstColumn="0" w:firstRowLastColumn="0" w:lastRowFirstColumn="0" w:lastRowLastColumn="0"/>
            </w:pPr>
            <w:r>
              <w:t>N/A</w:t>
            </w:r>
          </w:p>
        </w:tc>
      </w:tr>
      <w:tr w:rsidR="00B63A95" w:rsidTr="00836F6E">
        <w:tc>
          <w:tcPr>
            <w:cnfStyle w:val="001000000000" w:firstRow="0" w:lastRow="0" w:firstColumn="1" w:lastColumn="0" w:oddVBand="0" w:evenVBand="0" w:oddHBand="0" w:evenHBand="0" w:firstRowFirstColumn="0" w:firstRowLastColumn="0" w:lastRowFirstColumn="0" w:lastRowLastColumn="0"/>
            <w:tcW w:w="9657" w:type="dxa"/>
            <w:gridSpan w:val="5"/>
          </w:tcPr>
          <w:p w:rsidR="00B63A95" w:rsidRPr="00B63A95" w:rsidRDefault="00B63A95" w:rsidP="001B5DBC">
            <w:pPr>
              <w:rPr>
                <w:b w:val="0"/>
                <w:bCs w:val="0"/>
              </w:rPr>
            </w:pPr>
            <w:r w:rsidRPr="00B63A95">
              <w:rPr>
                <w:b w:val="0"/>
              </w:rPr>
              <w:t>Note 1: The UE coordinates are derived from the time delays between PRS signals. They are for information and are not part of the assistance data.</w:t>
            </w:r>
          </w:p>
          <w:p w:rsidR="00B63A95" w:rsidRDefault="00B63A95" w:rsidP="001B5DBC">
            <w:r w:rsidRPr="00B63A95">
              <w:rPr>
                <w:b w:val="0"/>
              </w:rPr>
              <w:t>Note 2: The HDOP of the proposed model is 1.03.</w:t>
            </w:r>
          </w:p>
        </w:tc>
      </w:tr>
    </w:tbl>
    <w:p w:rsidR="004131B0" w:rsidRDefault="004131B0" w:rsidP="001B5DBC"/>
    <w:p w:rsidR="00B63A95" w:rsidRPr="00B578BF" w:rsidRDefault="00B63A95" w:rsidP="00B63A95">
      <w:pPr>
        <w:pStyle w:val="Heading2"/>
        <w:numPr>
          <w:ilvl w:val="0"/>
          <w:numId w:val="0"/>
        </w:numPr>
        <w:ind w:left="595" w:hanging="595"/>
      </w:pPr>
      <w:r>
        <w:t>2.2</w:t>
      </w:r>
      <w:r>
        <w:tab/>
        <w:t xml:space="preserve">Measurement </w:t>
      </w:r>
      <w:r w:rsidR="00A8149A">
        <w:t>accuracy</w:t>
      </w:r>
      <w:r>
        <w:t xml:space="preserve"> test cases</w:t>
      </w:r>
    </w:p>
    <w:p w:rsidR="00B63A95" w:rsidRDefault="00B63A95" w:rsidP="001B5DBC">
      <w:r>
        <w:t xml:space="preserve">For measurement accuracy test cases, the evaluation criteria </w:t>
      </w:r>
      <w:r w:rsidR="008158FE">
        <w:t xml:space="preserve">in the current test cases </w:t>
      </w:r>
      <w:r>
        <w:t>is the accuracy of the reported RSTD measurements. A UE supporting only UE-based DL-TDOA positioning will not provide RSTD measurement reports. Therefore, the accuracy of the RSTD cannot be evaluated directly.</w:t>
      </w:r>
    </w:p>
    <w:p w:rsidR="00B63A95" w:rsidRDefault="00B63A95" w:rsidP="001B5DBC">
      <w:r w:rsidRPr="002D03CF">
        <w:rPr>
          <w:b/>
        </w:rPr>
        <w:t xml:space="preserve">Observation </w:t>
      </w:r>
      <w:r>
        <w:rPr>
          <w:b/>
        </w:rPr>
        <w:t>3</w:t>
      </w:r>
      <w:r w:rsidRPr="002D03CF">
        <w:rPr>
          <w:b/>
        </w:rPr>
        <w:t xml:space="preserve">: </w:t>
      </w:r>
      <w:r w:rsidR="004648B6">
        <w:t>Th</w:t>
      </w:r>
      <w:r>
        <w:t>e accuracy of the RSTD measurements cannot be evaluated directly from the UE-based reports.</w:t>
      </w:r>
    </w:p>
    <w:p w:rsidR="00B63A95" w:rsidRDefault="00A8149A" w:rsidP="001B5DBC">
      <w:r>
        <w:t>N</w:t>
      </w:r>
      <w:r w:rsidR="00B63A95">
        <w:t xml:space="preserve">onetheless, </w:t>
      </w:r>
      <w:r w:rsidR="009339B0">
        <w:t>we can still asses the</w:t>
      </w:r>
      <w:r w:rsidR="00B63A95">
        <w:t xml:space="preserve"> accuracy of the underlying RSTD measurements </w:t>
      </w:r>
      <w:r w:rsidR="009339B0">
        <w:t>by</w:t>
      </w:r>
      <w:r w:rsidR="00B63A95">
        <w:t xml:space="preserve"> inferr</w:t>
      </w:r>
      <w:r w:rsidR="009339B0">
        <w:t>ing it</w:t>
      </w:r>
      <w:r w:rsidR="00B63A95">
        <w:t xml:space="preserve"> from the reported location fix, calculated by the UE. </w:t>
      </w:r>
      <w:r w:rsidR="005A02E5">
        <w:t xml:space="preserve">This approach is an additional alternative to the ones </w:t>
      </w:r>
      <w:r w:rsidR="003C4E06">
        <w:t xml:space="preserve">captured for </w:t>
      </w:r>
      <w:bookmarkStart w:id="2" w:name="_GoBack"/>
      <w:bookmarkEnd w:id="2"/>
      <w:r w:rsidR="005A02E5">
        <w:t xml:space="preserve"> </w:t>
      </w:r>
      <w:r w:rsidR="005A02E5" w:rsidRPr="005A02E5">
        <w:t>Sub-topic #3-2</w:t>
      </w:r>
      <w:r w:rsidR="005A02E5">
        <w:t xml:space="preserve"> in [3]. </w:t>
      </w:r>
      <w:r w:rsidR="009339B0">
        <w:t>This shall be possible, since t</w:t>
      </w:r>
      <w:r w:rsidR="00B63A95">
        <w:t xml:space="preserve">he accuracy of the RSTD measurements will impact on the location fix proportionally to the HDOP of the positioning scenario. Therefore, the RSTD accuracy can be </w:t>
      </w:r>
      <w:r w:rsidR="005A02E5">
        <w:t xml:space="preserve">indirectly </w:t>
      </w:r>
      <w:r w:rsidR="00B63A95">
        <w:t>evaluated from the formula:</w:t>
      </w:r>
    </w:p>
    <w:p w:rsidR="00B63A95" w:rsidRPr="00B63A95" w:rsidRDefault="00D402BC" w:rsidP="001B5DBC">
      <w:pPr>
        <w:rPr>
          <w:rFonts w:eastAsiaTheme="minorEastAsia"/>
        </w:rPr>
      </w:pPr>
      <m:oMathPara>
        <m:oMath>
          <m:sSub>
            <m:sSubPr>
              <m:ctrlPr>
                <w:rPr>
                  <w:rFonts w:ascii="Cambria Math" w:hAnsi="Cambria Math"/>
                  <w:i/>
                </w:rPr>
              </m:ctrlPr>
            </m:sSubPr>
            <m:e>
              <m:r>
                <w:rPr>
                  <w:rFonts w:ascii="Cambria Math" w:hAnsi="Cambria Math"/>
                </w:rPr>
                <m:t>E</m:t>
              </m:r>
            </m:e>
            <m:sub>
              <m:r>
                <w:rPr>
                  <w:rFonts w:ascii="Cambria Math" w:hAnsi="Cambria Math"/>
                </w:rPr>
                <m:t>fix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RSTD</m:t>
              </m:r>
            </m:sub>
          </m:sSub>
          <m:r>
            <w:rPr>
              <w:rFonts w:ascii="Cambria Math" w:hAnsi="Cambria Math"/>
            </w:rPr>
            <m:t>⋅HDOP</m:t>
          </m:r>
        </m:oMath>
      </m:oMathPara>
    </w:p>
    <w:p w:rsidR="00A8149A" w:rsidRPr="004648B6" w:rsidRDefault="004648B6" w:rsidP="00B63A95">
      <w:pPr>
        <w:rPr>
          <w:b/>
        </w:rPr>
      </w:pPr>
      <w:r w:rsidRPr="004648B6">
        <w:t xml:space="preserve"> </w:t>
      </w:r>
      <w:r w:rsidRPr="004648B6">
        <w:rPr>
          <w:b/>
        </w:rPr>
        <w:t xml:space="preserve"> </w:t>
      </w:r>
    </w:p>
    <w:p w:rsidR="00B63A95" w:rsidRPr="00B63A95" w:rsidRDefault="00B63A95" w:rsidP="00B63A95">
      <w:pPr>
        <w:rPr>
          <w:rFonts w:eastAsiaTheme="minorEastAsia"/>
        </w:rPr>
      </w:pPr>
      <w:r w:rsidRPr="00B63A95">
        <w:rPr>
          <w:b/>
        </w:rPr>
        <w:lastRenderedPageBreak/>
        <w:t>Proposal 2:</w:t>
      </w:r>
      <w:r>
        <w:t xml:space="preserve"> </w:t>
      </w:r>
      <w:r w:rsidR="009339B0" w:rsidRPr="000F12E7">
        <w:t>To</w:t>
      </w:r>
      <w:r w:rsidR="009339B0">
        <w:t xml:space="preserve"> enable </w:t>
      </w:r>
      <w:r w:rsidR="009339B0" w:rsidRPr="002D03CF">
        <w:t xml:space="preserve">measurement </w:t>
      </w:r>
      <w:r w:rsidR="009339B0">
        <w:t>accuracy</w:t>
      </w:r>
      <w:r w:rsidR="009339B0" w:rsidRPr="002D03CF">
        <w:t xml:space="preserve"> </w:t>
      </w:r>
      <w:r w:rsidR="009339B0">
        <w:t>testing for UE-based DL-TDOA</w:t>
      </w:r>
      <w:r w:rsidR="005A02E5">
        <w:t>,</w:t>
      </w:r>
      <w:r w:rsidR="009339B0">
        <w:t xml:space="preserve"> </w:t>
      </w:r>
      <w:r w:rsidR="005A02E5">
        <w:t>infer</w:t>
      </w:r>
      <w:r w:rsidR="009339B0">
        <w:t xml:space="preserve"> </w:t>
      </w:r>
      <w:r w:rsidR="005A02E5">
        <w:t xml:space="preserve">RSTD measurement accuracy from location fix reporting accuracy </w:t>
      </w:r>
      <w:r w:rsidR="009339B0">
        <w:t>u</w:t>
      </w:r>
      <w:r>
        <w:t>s</w:t>
      </w:r>
      <w:r w:rsidR="005A02E5">
        <w:t xml:space="preserve">ing </w:t>
      </w:r>
      <w:r>
        <w:t xml:space="preserve">the equation </w:t>
      </w:r>
      <m:oMath>
        <m:sSub>
          <m:sSubPr>
            <m:ctrlPr>
              <w:rPr>
                <w:rFonts w:ascii="Cambria Math" w:hAnsi="Cambria Math"/>
                <w:i/>
              </w:rPr>
            </m:ctrlPr>
          </m:sSubPr>
          <m:e>
            <m:r>
              <w:rPr>
                <w:rFonts w:ascii="Cambria Math" w:hAnsi="Cambria Math"/>
              </w:rPr>
              <m:t>E</m:t>
            </m:r>
          </m:e>
          <m:sub>
            <m:r>
              <w:rPr>
                <w:rFonts w:ascii="Cambria Math" w:hAnsi="Cambria Math"/>
              </w:rPr>
              <m:t>fix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RSTD</m:t>
            </m:r>
          </m:sub>
        </m:sSub>
        <m:r>
          <w:rPr>
            <w:rFonts w:ascii="Cambria Math" w:hAnsi="Cambria Math"/>
          </w:rPr>
          <m:t>⋅HDOP</m:t>
        </m:r>
      </m:oMath>
    </w:p>
    <w:p w:rsidR="00B63A95" w:rsidRDefault="007026B8" w:rsidP="001B5DBC">
      <w:r>
        <w:t>However, the current RSTD measurement accuracy test cases in A.6.7.13 have only 2 NR cells defined. In order to obtain a 2D location fix, at least three cells are required</w:t>
      </w:r>
      <w:r w:rsidR="005A02E5">
        <w:t>.</w:t>
      </w:r>
    </w:p>
    <w:p w:rsidR="005A02E5" w:rsidRDefault="007026B8" w:rsidP="001B5DBC">
      <w:r w:rsidRPr="007026B8">
        <w:rPr>
          <w:b/>
        </w:rPr>
        <w:t>Proposal 3:</w:t>
      </w:r>
      <w:r>
        <w:t xml:space="preserve"> Add a third cell to RSTD measurement accuracy test cases</w:t>
      </w:r>
      <w:r w:rsidR="003F44DA">
        <w:t xml:space="preserve"> to enable RSTD accuracy testing for UE-based DL-TDOA</w:t>
      </w:r>
      <w:r w:rsidR="005A02E5">
        <w:t>.</w:t>
      </w:r>
    </w:p>
    <w:p w:rsidR="005A02E5" w:rsidRDefault="005A02E5" w:rsidP="001B5DBC">
      <w:r>
        <w:t>Again, a positioning scenario is required, to enable the evaluation of the location fix.</w:t>
      </w:r>
    </w:p>
    <w:p w:rsidR="00E7570C" w:rsidRDefault="00E7570C" w:rsidP="00E7570C">
      <w:pPr>
        <w:ind w:left="425" w:hanging="425"/>
      </w:pPr>
      <w:r w:rsidRPr="00E7570C">
        <w:rPr>
          <w:b/>
        </w:rPr>
        <w:t>Proposal 4:</w:t>
      </w:r>
      <w:r>
        <w:t xml:space="preserve"> For the measurement accuracy test case, re-use the same positioning scenario as for measurement delay test case (Proposal 1).</w:t>
      </w:r>
    </w:p>
    <w:p w:rsidR="00861CDE" w:rsidRPr="00B578BF" w:rsidRDefault="00861CDE" w:rsidP="00B578BF">
      <w:pPr>
        <w:pStyle w:val="ListParagraph"/>
        <w:keepNext/>
        <w:keepLines/>
        <w:numPr>
          <w:ilvl w:val="0"/>
          <w:numId w:val="31"/>
        </w:numPr>
        <w:pBdr>
          <w:top w:val="single" w:sz="12" w:space="3" w:color="auto"/>
        </w:pBdr>
        <w:spacing w:before="240" w:after="180" w:line="240" w:lineRule="auto"/>
        <w:outlineLvl w:val="0"/>
        <w:rPr>
          <w:rFonts w:ascii="Arial" w:eastAsia="Malgun Gothic" w:hAnsi="Arial" w:cs="Times New Roman"/>
          <w:sz w:val="36"/>
          <w:lang w:val="en-GB"/>
        </w:rPr>
      </w:pPr>
      <w:r w:rsidRPr="00B578BF">
        <w:rPr>
          <w:rFonts w:ascii="Arial" w:eastAsia="Malgun Gothic" w:hAnsi="Arial" w:cs="Times New Roman"/>
          <w:sz w:val="36"/>
          <w:lang w:val="en-GB"/>
        </w:rPr>
        <w:t>Conclusion</w:t>
      </w:r>
    </w:p>
    <w:p w:rsidR="005A02E5" w:rsidRDefault="005A02E5" w:rsidP="005A02E5">
      <w:r w:rsidRPr="005A02E5">
        <w:rPr>
          <w:b/>
        </w:rPr>
        <w:t xml:space="preserve">Proposal 1: </w:t>
      </w:r>
      <w:r w:rsidRPr="000F12E7">
        <w:t>To</w:t>
      </w:r>
      <w:r>
        <w:t xml:space="preserve"> enable </w:t>
      </w:r>
      <w:r w:rsidRPr="002D03CF">
        <w:t>measurement delay test</w:t>
      </w:r>
      <w:r>
        <w:t>ing for UE-based DL-TDOA</w:t>
      </w:r>
      <w:r w:rsidRPr="002D03CF">
        <w:t>,</w:t>
      </w:r>
      <w:r w:rsidRPr="005A02E5">
        <w:rPr>
          <w:b/>
        </w:rPr>
        <w:t xml:space="preserve"> </w:t>
      </w:r>
      <w:r>
        <w:t xml:space="preserve">add to the test case a table containing a model of the base station locations and the RTD value between them </w:t>
      </w:r>
      <w:r w:rsidR="00ED238C">
        <w:rPr>
          <w:noProof/>
        </w:rPr>
        <w:t>compliant to the current test configurations</w:t>
      </w:r>
      <w:r w:rsidR="00ED238C">
        <w:t xml:space="preserve">. </w:t>
      </w:r>
      <w:r>
        <w:t>For UE-based the UE location fix reporting delay is evaluated.</w:t>
      </w:r>
    </w:p>
    <w:p w:rsidR="00806BB6" w:rsidRDefault="00806BB6" w:rsidP="005A02E5">
      <w:r>
        <w:t xml:space="preserve">Example table for test cases </w:t>
      </w:r>
      <w:r>
        <w:t>A.6.6.12.1/2</w:t>
      </w:r>
    </w:p>
    <w:tbl>
      <w:tblPr>
        <w:tblStyle w:val="RS-StandardTable8pt"/>
        <w:tblW w:w="0" w:type="auto"/>
        <w:tblLook w:val="04A0" w:firstRow="1" w:lastRow="0" w:firstColumn="1" w:lastColumn="0" w:noHBand="0" w:noVBand="1"/>
      </w:tblPr>
      <w:tblGrid>
        <w:gridCol w:w="1885"/>
        <w:gridCol w:w="1962"/>
        <w:gridCol w:w="1982"/>
        <w:gridCol w:w="1941"/>
        <w:gridCol w:w="1887"/>
      </w:tblGrid>
      <w:tr w:rsidR="00B63A95" w:rsidTr="00FC1F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rsidR="00B63A95" w:rsidRDefault="00B63A95" w:rsidP="00FC1F21"/>
        </w:tc>
        <w:tc>
          <w:tcPr>
            <w:tcW w:w="1962" w:type="dxa"/>
          </w:tcPr>
          <w:p w:rsidR="00B63A95" w:rsidRDefault="00B63A95" w:rsidP="00FC1F21">
            <w:pPr>
              <w:cnfStyle w:val="100000000000" w:firstRow="1" w:lastRow="0" w:firstColumn="0" w:lastColumn="0" w:oddVBand="0" w:evenVBand="0" w:oddHBand="0" w:evenHBand="0" w:firstRowFirstColumn="0" w:firstRowLastColumn="0" w:lastRowFirstColumn="0" w:lastRowLastColumn="0"/>
            </w:pPr>
            <w:r>
              <w:t>East [m]</w:t>
            </w:r>
          </w:p>
        </w:tc>
        <w:tc>
          <w:tcPr>
            <w:tcW w:w="1982" w:type="dxa"/>
          </w:tcPr>
          <w:p w:rsidR="00B63A95" w:rsidRDefault="00B63A95" w:rsidP="00FC1F21">
            <w:pPr>
              <w:cnfStyle w:val="100000000000" w:firstRow="1" w:lastRow="0" w:firstColumn="0" w:lastColumn="0" w:oddVBand="0" w:evenVBand="0" w:oddHBand="0" w:evenHBand="0" w:firstRowFirstColumn="0" w:firstRowLastColumn="0" w:lastRowFirstColumn="0" w:lastRowLastColumn="0"/>
            </w:pPr>
            <w:r>
              <w:t>North [m]</w:t>
            </w:r>
          </w:p>
        </w:tc>
        <w:tc>
          <w:tcPr>
            <w:tcW w:w="1941" w:type="dxa"/>
          </w:tcPr>
          <w:p w:rsidR="00B63A95" w:rsidRDefault="00B63A95" w:rsidP="00FC1F21">
            <w:pPr>
              <w:cnfStyle w:val="100000000000" w:firstRow="1" w:lastRow="0" w:firstColumn="0" w:lastColumn="0" w:oddVBand="0" w:evenVBand="0" w:oddHBand="0" w:evenHBand="0" w:firstRowFirstColumn="0" w:firstRowLastColumn="0" w:lastRowFirstColumn="0" w:lastRowLastColumn="0"/>
            </w:pPr>
            <w:r>
              <w:t>Up [m]</w:t>
            </w:r>
          </w:p>
        </w:tc>
        <w:tc>
          <w:tcPr>
            <w:tcW w:w="1887" w:type="dxa"/>
          </w:tcPr>
          <w:p w:rsidR="00B63A95" w:rsidRDefault="00B63A95" w:rsidP="00FC1F21">
            <w:pPr>
              <w:cnfStyle w:val="100000000000" w:firstRow="1" w:lastRow="0" w:firstColumn="0" w:lastColumn="0" w:oddVBand="0" w:evenVBand="0" w:oddHBand="0" w:evenHBand="0" w:firstRowFirstColumn="0" w:firstRowLastColumn="0" w:lastRowFirstColumn="0" w:lastRowLastColumn="0"/>
            </w:pPr>
            <w:r>
              <w:t>RTD</w:t>
            </w:r>
          </w:p>
        </w:tc>
      </w:tr>
      <w:tr w:rsidR="00B63A95" w:rsidTr="00FC1F21">
        <w:tc>
          <w:tcPr>
            <w:cnfStyle w:val="001000000000" w:firstRow="0" w:lastRow="0" w:firstColumn="1" w:lastColumn="0" w:oddVBand="0" w:evenVBand="0" w:oddHBand="0" w:evenHBand="0" w:firstRowFirstColumn="0" w:firstRowLastColumn="0" w:lastRowFirstColumn="0" w:lastRowLastColumn="0"/>
            <w:tcW w:w="1885" w:type="dxa"/>
          </w:tcPr>
          <w:p w:rsidR="00B63A95" w:rsidRDefault="00B63A95" w:rsidP="00FC1F21">
            <w:r>
              <w:t>NR Cell 1</w:t>
            </w:r>
          </w:p>
        </w:tc>
        <w:tc>
          <w:tcPr>
            <w:tcW w:w="1962" w:type="dxa"/>
          </w:tcPr>
          <w:p w:rsidR="00B63A95" w:rsidRDefault="00B63A95" w:rsidP="00FC1F21">
            <w:pPr>
              <w:cnfStyle w:val="000000000000" w:firstRow="0" w:lastRow="0" w:firstColumn="0" w:lastColumn="0" w:oddVBand="0" w:evenVBand="0" w:oddHBand="0" w:evenHBand="0" w:firstRowFirstColumn="0" w:firstRowLastColumn="0" w:lastRowFirstColumn="0" w:lastRowLastColumn="0"/>
            </w:pPr>
            <w:r>
              <w:t>0</w:t>
            </w:r>
          </w:p>
        </w:tc>
        <w:tc>
          <w:tcPr>
            <w:tcW w:w="1982" w:type="dxa"/>
          </w:tcPr>
          <w:p w:rsidR="00B63A95" w:rsidRDefault="00B63A95" w:rsidP="00FC1F21">
            <w:pPr>
              <w:cnfStyle w:val="000000000000" w:firstRow="0" w:lastRow="0" w:firstColumn="0" w:lastColumn="0" w:oddVBand="0" w:evenVBand="0" w:oddHBand="0" w:evenHBand="0" w:firstRowFirstColumn="0" w:firstRowLastColumn="0" w:lastRowFirstColumn="0" w:lastRowLastColumn="0"/>
            </w:pPr>
            <w:r>
              <w:t>0</w:t>
            </w:r>
          </w:p>
        </w:tc>
        <w:tc>
          <w:tcPr>
            <w:tcW w:w="1941" w:type="dxa"/>
          </w:tcPr>
          <w:p w:rsidR="00B63A95" w:rsidRDefault="00B63A95" w:rsidP="00FC1F21">
            <w:pPr>
              <w:cnfStyle w:val="000000000000" w:firstRow="0" w:lastRow="0" w:firstColumn="0" w:lastColumn="0" w:oddVBand="0" w:evenVBand="0" w:oddHBand="0" w:evenHBand="0" w:firstRowFirstColumn="0" w:firstRowLastColumn="0" w:lastRowFirstColumn="0" w:lastRowLastColumn="0"/>
            </w:pPr>
            <w:r>
              <w:t>20</w:t>
            </w:r>
          </w:p>
        </w:tc>
        <w:tc>
          <w:tcPr>
            <w:tcW w:w="1887" w:type="dxa"/>
          </w:tcPr>
          <w:p w:rsidR="00B63A95" w:rsidRDefault="00B63A95" w:rsidP="00FC1F21">
            <w:pPr>
              <w:cnfStyle w:val="000000000000" w:firstRow="0" w:lastRow="0" w:firstColumn="0" w:lastColumn="0" w:oddVBand="0" w:evenVBand="0" w:oddHBand="0" w:evenHBand="0" w:firstRowFirstColumn="0" w:firstRowLastColumn="0" w:lastRowFirstColumn="0" w:lastRowLastColumn="0"/>
            </w:pPr>
            <w:r>
              <w:t>0 (Ref)</w:t>
            </w:r>
          </w:p>
        </w:tc>
      </w:tr>
      <w:tr w:rsidR="00B63A95" w:rsidTr="00FC1F21">
        <w:tc>
          <w:tcPr>
            <w:cnfStyle w:val="001000000000" w:firstRow="0" w:lastRow="0" w:firstColumn="1" w:lastColumn="0" w:oddVBand="0" w:evenVBand="0" w:oddHBand="0" w:evenHBand="0" w:firstRowFirstColumn="0" w:firstRowLastColumn="0" w:lastRowFirstColumn="0" w:lastRowLastColumn="0"/>
            <w:tcW w:w="1885" w:type="dxa"/>
          </w:tcPr>
          <w:p w:rsidR="00B63A95" w:rsidRDefault="00B63A95" w:rsidP="00FC1F21">
            <w:r>
              <w:t>NR Cell 2</w:t>
            </w:r>
          </w:p>
        </w:tc>
        <w:tc>
          <w:tcPr>
            <w:tcW w:w="1962" w:type="dxa"/>
          </w:tcPr>
          <w:p w:rsidR="00B63A95" w:rsidRDefault="00B63A95" w:rsidP="00FC1F21">
            <w:pPr>
              <w:cnfStyle w:val="000000000000" w:firstRow="0" w:lastRow="0" w:firstColumn="0" w:lastColumn="0" w:oddVBand="0" w:evenVBand="0" w:oddHBand="0" w:evenHBand="0" w:firstRowFirstColumn="0" w:firstRowLastColumn="0" w:lastRowFirstColumn="0" w:lastRowLastColumn="0"/>
            </w:pPr>
            <w:r>
              <w:t>3000</w:t>
            </w:r>
          </w:p>
        </w:tc>
        <w:tc>
          <w:tcPr>
            <w:tcW w:w="1982" w:type="dxa"/>
          </w:tcPr>
          <w:p w:rsidR="00B63A95" w:rsidRDefault="00B63A95" w:rsidP="00FC1F21">
            <w:pPr>
              <w:cnfStyle w:val="000000000000" w:firstRow="0" w:lastRow="0" w:firstColumn="0" w:lastColumn="0" w:oddVBand="0" w:evenVBand="0" w:oddHBand="0" w:evenHBand="0" w:firstRowFirstColumn="0" w:firstRowLastColumn="0" w:lastRowFirstColumn="0" w:lastRowLastColumn="0"/>
            </w:pPr>
            <w:r>
              <w:t>0</w:t>
            </w:r>
          </w:p>
        </w:tc>
        <w:tc>
          <w:tcPr>
            <w:tcW w:w="1941" w:type="dxa"/>
          </w:tcPr>
          <w:p w:rsidR="00B63A95" w:rsidRDefault="00B63A95" w:rsidP="00FC1F21">
            <w:pPr>
              <w:cnfStyle w:val="000000000000" w:firstRow="0" w:lastRow="0" w:firstColumn="0" w:lastColumn="0" w:oddVBand="0" w:evenVBand="0" w:oddHBand="0" w:evenHBand="0" w:firstRowFirstColumn="0" w:firstRowLastColumn="0" w:lastRowFirstColumn="0" w:lastRowLastColumn="0"/>
            </w:pPr>
            <w:r>
              <w:t>15</w:t>
            </w:r>
          </w:p>
        </w:tc>
        <w:tc>
          <w:tcPr>
            <w:tcW w:w="1887" w:type="dxa"/>
          </w:tcPr>
          <w:p w:rsidR="00B63A95" w:rsidRDefault="00B63A95" w:rsidP="00FC1F21">
            <w:pPr>
              <w:cnfStyle w:val="000000000000" w:firstRow="0" w:lastRow="0" w:firstColumn="0" w:lastColumn="0" w:oddVBand="0" w:evenVBand="0" w:oddHBand="0" w:evenHBand="0" w:firstRowFirstColumn="0" w:firstRowLastColumn="0" w:lastRowFirstColumn="0" w:lastRowLastColumn="0"/>
            </w:pPr>
            <w:r>
              <w:t>0</w:t>
            </w:r>
          </w:p>
        </w:tc>
      </w:tr>
      <w:tr w:rsidR="00B63A95" w:rsidTr="00FC1F21">
        <w:tc>
          <w:tcPr>
            <w:cnfStyle w:val="001000000000" w:firstRow="0" w:lastRow="0" w:firstColumn="1" w:lastColumn="0" w:oddVBand="0" w:evenVBand="0" w:oddHBand="0" w:evenHBand="0" w:firstRowFirstColumn="0" w:firstRowLastColumn="0" w:lastRowFirstColumn="0" w:lastRowLastColumn="0"/>
            <w:tcW w:w="1885" w:type="dxa"/>
          </w:tcPr>
          <w:p w:rsidR="00B63A95" w:rsidRDefault="00B63A95" w:rsidP="00FC1F21">
            <w:r>
              <w:t>NR Cell 3</w:t>
            </w:r>
          </w:p>
        </w:tc>
        <w:tc>
          <w:tcPr>
            <w:tcW w:w="1962" w:type="dxa"/>
          </w:tcPr>
          <w:p w:rsidR="00B63A95" w:rsidRDefault="00B63A95" w:rsidP="00FC1F21">
            <w:pPr>
              <w:cnfStyle w:val="000000000000" w:firstRow="0" w:lastRow="0" w:firstColumn="0" w:lastColumn="0" w:oddVBand="0" w:evenVBand="0" w:oddHBand="0" w:evenHBand="0" w:firstRowFirstColumn="0" w:firstRowLastColumn="0" w:lastRowFirstColumn="0" w:lastRowLastColumn="0"/>
            </w:pPr>
            <w:r>
              <w:t>1500</w:t>
            </w:r>
          </w:p>
        </w:tc>
        <w:tc>
          <w:tcPr>
            <w:tcW w:w="1982" w:type="dxa"/>
          </w:tcPr>
          <w:p w:rsidR="00B63A95" w:rsidRDefault="00B63A95" w:rsidP="00FC1F21">
            <w:pPr>
              <w:cnfStyle w:val="000000000000" w:firstRow="0" w:lastRow="0" w:firstColumn="0" w:lastColumn="0" w:oddVBand="0" w:evenVBand="0" w:oddHBand="0" w:evenHBand="0" w:firstRowFirstColumn="0" w:firstRowLastColumn="0" w:lastRowFirstColumn="0" w:lastRowLastColumn="0"/>
            </w:pPr>
            <w:r>
              <w:t>2598</w:t>
            </w:r>
          </w:p>
        </w:tc>
        <w:tc>
          <w:tcPr>
            <w:tcW w:w="1941" w:type="dxa"/>
          </w:tcPr>
          <w:p w:rsidR="00B63A95" w:rsidRDefault="00B63A95" w:rsidP="00FC1F21">
            <w:pPr>
              <w:cnfStyle w:val="000000000000" w:firstRow="0" w:lastRow="0" w:firstColumn="0" w:lastColumn="0" w:oddVBand="0" w:evenVBand="0" w:oddHBand="0" w:evenHBand="0" w:firstRowFirstColumn="0" w:firstRowLastColumn="0" w:lastRowFirstColumn="0" w:lastRowLastColumn="0"/>
            </w:pPr>
            <w:r>
              <w:t>25</w:t>
            </w:r>
          </w:p>
        </w:tc>
        <w:tc>
          <w:tcPr>
            <w:tcW w:w="1887" w:type="dxa"/>
          </w:tcPr>
          <w:p w:rsidR="00B63A95" w:rsidRDefault="00B63A95" w:rsidP="00FC1F21">
            <w:pPr>
              <w:cnfStyle w:val="000000000000" w:firstRow="0" w:lastRow="0" w:firstColumn="0" w:lastColumn="0" w:oddVBand="0" w:evenVBand="0" w:oddHBand="0" w:evenHBand="0" w:firstRowFirstColumn="0" w:firstRowLastColumn="0" w:lastRowFirstColumn="0" w:lastRowLastColumn="0"/>
            </w:pPr>
            <w:r>
              <w:t>0</w:t>
            </w:r>
          </w:p>
        </w:tc>
      </w:tr>
      <w:tr w:rsidR="00B63A95" w:rsidTr="00FC1F21">
        <w:tc>
          <w:tcPr>
            <w:cnfStyle w:val="001000000000" w:firstRow="0" w:lastRow="0" w:firstColumn="1" w:lastColumn="0" w:oddVBand="0" w:evenVBand="0" w:oddHBand="0" w:evenHBand="0" w:firstRowFirstColumn="0" w:firstRowLastColumn="0" w:lastRowFirstColumn="0" w:lastRowLastColumn="0"/>
            <w:tcW w:w="1885" w:type="dxa"/>
          </w:tcPr>
          <w:p w:rsidR="00B63A95" w:rsidRPr="00B63A95" w:rsidRDefault="00B63A95" w:rsidP="00FC1F21">
            <w:pPr>
              <w:rPr>
                <w:vertAlign w:val="superscript"/>
              </w:rPr>
            </w:pPr>
            <w:proofErr w:type="spellStart"/>
            <w:r>
              <w:t>UE</w:t>
            </w:r>
            <w:r>
              <w:rPr>
                <w:vertAlign w:val="superscript"/>
              </w:rPr>
              <w:t>Note</w:t>
            </w:r>
            <w:proofErr w:type="spellEnd"/>
            <w:r>
              <w:rPr>
                <w:vertAlign w:val="superscript"/>
              </w:rPr>
              <w:t xml:space="preserve"> 1</w:t>
            </w:r>
          </w:p>
        </w:tc>
        <w:tc>
          <w:tcPr>
            <w:tcW w:w="1962" w:type="dxa"/>
          </w:tcPr>
          <w:p w:rsidR="00B63A95" w:rsidRDefault="00B63A95" w:rsidP="00FC1F21">
            <w:pPr>
              <w:cnfStyle w:val="000000000000" w:firstRow="0" w:lastRow="0" w:firstColumn="0" w:lastColumn="0" w:oddVBand="0" w:evenVBand="0" w:oddHBand="0" w:evenHBand="0" w:firstRowFirstColumn="0" w:firstRowLastColumn="0" w:lastRowFirstColumn="0" w:lastRowLastColumn="0"/>
            </w:pPr>
            <w:r>
              <w:t>1500</w:t>
            </w:r>
          </w:p>
        </w:tc>
        <w:tc>
          <w:tcPr>
            <w:tcW w:w="1982" w:type="dxa"/>
          </w:tcPr>
          <w:p w:rsidR="00B63A95" w:rsidRDefault="00B63A95" w:rsidP="00FC1F21">
            <w:pPr>
              <w:cnfStyle w:val="000000000000" w:firstRow="0" w:lastRow="0" w:firstColumn="0" w:lastColumn="0" w:oddVBand="0" w:evenVBand="0" w:oddHBand="0" w:evenHBand="0" w:firstRowFirstColumn="0" w:firstRowLastColumn="0" w:lastRowFirstColumn="0" w:lastRowLastColumn="0"/>
            </w:pPr>
            <w:r>
              <w:t>399</w:t>
            </w:r>
          </w:p>
        </w:tc>
        <w:tc>
          <w:tcPr>
            <w:tcW w:w="1941" w:type="dxa"/>
          </w:tcPr>
          <w:p w:rsidR="00B63A95" w:rsidRDefault="00B63A95" w:rsidP="00FC1F21">
            <w:pPr>
              <w:cnfStyle w:val="000000000000" w:firstRow="0" w:lastRow="0" w:firstColumn="0" w:lastColumn="0" w:oddVBand="0" w:evenVBand="0" w:oddHBand="0" w:evenHBand="0" w:firstRowFirstColumn="0" w:firstRowLastColumn="0" w:lastRowFirstColumn="0" w:lastRowLastColumn="0"/>
            </w:pPr>
            <w:r>
              <w:t>0</w:t>
            </w:r>
          </w:p>
        </w:tc>
        <w:tc>
          <w:tcPr>
            <w:tcW w:w="1887" w:type="dxa"/>
          </w:tcPr>
          <w:p w:rsidR="00B63A95" w:rsidRDefault="00B63A95" w:rsidP="00FC1F21">
            <w:pPr>
              <w:cnfStyle w:val="000000000000" w:firstRow="0" w:lastRow="0" w:firstColumn="0" w:lastColumn="0" w:oddVBand="0" w:evenVBand="0" w:oddHBand="0" w:evenHBand="0" w:firstRowFirstColumn="0" w:firstRowLastColumn="0" w:lastRowFirstColumn="0" w:lastRowLastColumn="0"/>
            </w:pPr>
            <w:r>
              <w:t>N/A</w:t>
            </w:r>
          </w:p>
        </w:tc>
      </w:tr>
      <w:tr w:rsidR="00B63A95" w:rsidTr="00FC1F21">
        <w:tc>
          <w:tcPr>
            <w:cnfStyle w:val="001000000000" w:firstRow="0" w:lastRow="0" w:firstColumn="1" w:lastColumn="0" w:oddVBand="0" w:evenVBand="0" w:oddHBand="0" w:evenHBand="0" w:firstRowFirstColumn="0" w:firstRowLastColumn="0" w:lastRowFirstColumn="0" w:lastRowLastColumn="0"/>
            <w:tcW w:w="9657" w:type="dxa"/>
            <w:gridSpan w:val="5"/>
          </w:tcPr>
          <w:p w:rsidR="00B63A95" w:rsidRPr="00B63A95" w:rsidRDefault="00B63A95" w:rsidP="00FC1F21">
            <w:pPr>
              <w:rPr>
                <w:b w:val="0"/>
                <w:bCs w:val="0"/>
              </w:rPr>
            </w:pPr>
            <w:r w:rsidRPr="00B63A95">
              <w:rPr>
                <w:b w:val="0"/>
              </w:rPr>
              <w:t>Note 1: The UE coordinates are derived from the time delays between PRS signals. They are for information and are not part of the assistance data.</w:t>
            </w:r>
          </w:p>
          <w:p w:rsidR="00B63A95" w:rsidRDefault="00B63A95" w:rsidP="00FC1F21">
            <w:r w:rsidRPr="00B63A95">
              <w:rPr>
                <w:b w:val="0"/>
              </w:rPr>
              <w:t>Note 2: The HDOP of the proposed model is 1.03.</w:t>
            </w:r>
          </w:p>
        </w:tc>
      </w:tr>
    </w:tbl>
    <w:p w:rsidR="00861CDE" w:rsidRDefault="00861CDE" w:rsidP="001B5DBC"/>
    <w:p w:rsidR="005A02E5" w:rsidRPr="00B63A95" w:rsidRDefault="005A02E5" w:rsidP="005A02E5">
      <w:pPr>
        <w:rPr>
          <w:rFonts w:eastAsiaTheme="minorEastAsia"/>
        </w:rPr>
      </w:pPr>
      <w:r w:rsidRPr="00B63A95">
        <w:rPr>
          <w:b/>
        </w:rPr>
        <w:t>Proposal 2:</w:t>
      </w:r>
      <w:r>
        <w:t xml:space="preserve"> </w:t>
      </w:r>
      <w:r w:rsidRPr="000F12E7">
        <w:t>To</w:t>
      </w:r>
      <w:r>
        <w:t xml:space="preserve"> enable </w:t>
      </w:r>
      <w:r w:rsidRPr="002D03CF">
        <w:t xml:space="preserve">measurement </w:t>
      </w:r>
      <w:r>
        <w:t>accuracy</w:t>
      </w:r>
      <w:r w:rsidRPr="002D03CF">
        <w:t xml:space="preserve"> </w:t>
      </w:r>
      <w:r>
        <w:t xml:space="preserve">testing for UE-based DL-TDOA, infer RSTD measurement accuracy from location fix reporting accuracy using the equation </w:t>
      </w:r>
      <m:oMath>
        <m:sSub>
          <m:sSubPr>
            <m:ctrlPr>
              <w:rPr>
                <w:rFonts w:ascii="Cambria Math" w:hAnsi="Cambria Math"/>
                <w:i/>
              </w:rPr>
            </m:ctrlPr>
          </m:sSubPr>
          <m:e>
            <m:r>
              <w:rPr>
                <w:rFonts w:ascii="Cambria Math" w:hAnsi="Cambria Math"/>
              </w:rPr>
              <m:t>E</m:t>
            </m:r>
          </m:e>
          <m:sub>
            <m:r>
              <w:rPr>
                <w:rFonts w:ascii="Cambria Math" w:hAnsi="Cambria Math"/>
              </w:rPr>
              <m:t>fix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RSTD</m:t>
            </m:r>
          </m:sub>
        </m:sSub>
        <m:r>
          <w:rPr>
            <w:rFonts w:ascii="Cambria Math" w:hAnsi="Cambria Math"/>
          </w:rPr>
          <m:t>⋅HDOP</m:t>
        </m:r>
      </m:oMath>
    </w:p>
    <w:p w:rsidR="005A02E5" w:rsidRDefault="005A02E5" w:rsidP="005A02E5">
      <w:r w:rsidRPr="007026B8">
        <w:rPr>
          <w:b/>
        </w:rPr>
        <w:t>Proposal 3:</w:t>
      </w:r>
      <w:r>
        <w:t xml:space="preserve"> Add a third cell to RSTD measurement accuracy test cases to enable RSTD accuracy testing for UE-based DL-TDOA.</w:t>
      </w:r>
    </w:p>
    <w:p w:rsidR="005A02E5" w:rsidRDefault="005A02E5" w:rsidP="005A02E5">
      <w:pPr>
        <w:ind w:left="425" w:hanging="425"/>
      </w:pPr>
      <w:r w:rsidRPr="005A02E5">
        <w:rPr>
          <w:b/>
        </w:rPr>
        <w:t>Proposal 4:</w:t>
      </w:r>
      <w:r>
        <w:t xml:space="preserve"> </w:t>
      </w:r>
      <w:r w:rsidR="00E7570C">
        <w:t>For the measurement accuracy test case, r</w:t>
      </w:r>
      <w:r>
        <w:t xml:space="preserve">e-use the same positioning scenario </w:t>
      </w:r>
      <w:r w:rsidR="00E7570C">
        <w:t>as for</w:t>
      </w:r>
      <w:r>
        <w:t xml:space="preserve"> measurement delay test case (Proposal 1).</w:t>
      </w:r>
    </w:p>
    <w:p w:rsidR="00B16398" w:rsidRDefault="00B16398" w:rsidP="00B16398">
      <w:pPr>
        <w:ind w:left="425" w:hanging="425"/>
      </w:pPr>
      <w:r w:rsidRPr="00B16398">
        <w:t xml:space="preserve">The </w:t>
      </w:r>
      <w:r w:rsidR="004E7157">
        <w:t>focus</w:t>
      </w:r>
      <w:r w:rsidRPr="00B16398">
        <w:t xml:space="preserve"> </w:t>
      </w:r>
      <w:r>
        <w:t xml:space="preserve">of </w:t>
      </w:r>
      <w:r w:rsidRPr="00B16398">
        <w:t xml:space="preserve">this paper </w:t>
      </w:r>
      <w:r>
        <w:t xml:space="preserve">was </w:t>
      </w:r>
      <w:r w:rsidRPr="00B16398">
        <w:t xml:space="preserve">to explore </w:t>
      </w:r>
      <w:r>
        <w:t>a way</w:t>
      </w:r>
      <w:r w:rsidRPr="00B16398">
        <w:t xml:space="preserve"> to assess and test the UE-based requirements</w:t>
      </w:r>
      <w:r>
        <w:t xml:space="preserve"> with minimal impact on the current specifications</w:t>
      </w:r>
      <w:r w:rsidRPr="00B16398">
        <w:t>, by adapting existing test cases.</w:t>
      </w:r>
    </w:p>
    <w:p w:rsidR="00B16398" w:rsidRPr="00B16398" w:rsidRDefault="00B16398" w:rsidP="00B16398">
      <w:pPr>
        <w:ind w:left="425" w:hanging="425"/>
      </w:pPr>
      <w:r>
        <w:t>If RAN4 agrees, further necessary parameters can be elaborated in future contributions, while other detailed test configurations can be handled and defined in RAN5.</w:t>
      </w:r>
    </w:p>
    <w:p w:rsidR="00B16398" w:rsidRDefault="00B16398" w:rsidP="005A02E5">
      <w:pPr>
        <w:ind w:left="425" w:hanging="425"/>
      </w:pPr>
      <w:r>
        <w:t xml:space="preserve">An initial draft CR to add the location scenario table to </w:t>
      </w:r>
      <w:r w:rsidRPr="00B16398">
        <w:t>A.6.6.12</w:t>
      </w:r>
      <w:r>
        <w:t xml:space="preserve"> in [</w:t>
      </w:r>
      <w:r w:rsidR="00624DE3">
        <w:t>4</w:t>
      </w:r>
      <w:r>
        <w:t>]</w:t>
      </w:r>
      <w:r w:rsidR="004E7157">
        <w:t xml:space="preserve"> has been proposed in [5]</w:t>
      </w:r>
      <w:r>
        <w:t>.</w:t>
      </w:r>
    </w:p>
    <w:p w:rsidR="00861CDE" w:rsidRPr="00B578BF" w:rsidRDefault="00861CDE" w:rsidP="00B578BF">
      <w:pPr>
        <w:pStyle w:val="ListParagraph"/>
        <w:keepNext/>
        <w:keepLines/>
        <w:numPr>
          <w:ilvl w:val="0"/>
          <w:numId w:val="31"/>
        </w:numPr>
        <w:pBdr>
          <w:top w:val="single" w:sz="12" w:space="3" w:color="auto"/>
        </w:pBdr>
        <w:spacing w:before="240" w:after="180" w:line="240" w:lineRule="auto"/>
        <w:outlineLvl w:val="0"/>
        <w:rPr>
          <w:rFonts w:ascii="Arial" w:eastAsia="Malgun Gothic" w:hAnsi="Arial" w:cs="Times New Roman"/>
          <w:sz w:val="36"/>
          <w:lang w:val="en-GB"/>
        </w:rPr>
      </w:pPr>
      <w:r w:rsidRPr="00B578BF">
        <w:rPr>
          <w:rFonts w:ascii="Arial" w:eastAsia="Malgun Gothic" w:hAnsi="Arial" w:cs="Times New Roman"/>
          <w:sz w:val="36"/>
          <w:lang w:val="en-GB"/>
        </w:rPr>
        <w:t>References</w:t>
      </w:r>
    </w:p>
    <w:p w:rsidR="001A530E" w:rsidRPr="003F44DA" w:rsidRDefault="00B578BF" w:rsidP="001A530E">
      <w:pPr>
        <w:numPr>
          <w:ilvl w:val="0"/>
          <w:numId w:val="30"/>
        </w:numPr>
        <w:tabs>
          <w:tab w:val="left" w:pos="426"/>
        </w:tabs>
        <w:overflowPunct w:val="0"/>
        <w:autoSpaceDE w:val="0"/>
        <w:autoSpaceDN w:val="0"/>
        <w:adjustRightInd w:val="0"/>
        <w:spacing w:after="180" w:line="240" w:lineRule="auto"/>
        <w:textAlignment w:val="baseline"/>
      </w:pPr>
      <w:r w:rsidRPr="003F44DA">
        <w:t>R4-2119262</w:t>
      </w:r>
      <w:r w:rsidR="001A530E" w:rsidRPr="003F44DA">
        <w:t>, “</w:t>
      </w:r>
      <w:r w:rsidRPr="003F44DA">
        <w:t>On requirements and test coverage for UE-based DL-TDOA</w:t>
      </w:r>
      <w:r w:rsidR="001A530E" w:rsidRPr="003F44DA">
        <w:t>”</w:t>
      </w:r>
      <w:r w:rsidRPr="003F44DA">
        <w:t>, Rohde &amp; Schwarz</w:t>
      </w:r>
    </w:p>
    <w:p w:rsidR="00861CDE" w:rsidRPr="003F44DA" w:rsidRDefault="002D03CF" w:rsidP="001B5DBC">
      <w:pPr>
        <w:rPr>
          <w:rFonts w:ascii="Arial" w:hAnsi="Arial" w:cs="Arial"/>
          <w:color w:val="000000"/>
        </w:rPr>
      </w:pPr>
      <w:r w:rsidRPr="003F44DA">
        <w:t>[2]</w:t>
      </w:r>
      <w:r w:rsidRPr="003F44DA">
        <w:tab/>
        <w:t>TS 37.355, “</w:t>
      </w:r>
      <w:r w:rsidRPr="003F44DA">
        <w:rPr>
          <w:rFonts w:ascii="Arial" w:hAnsi="Arial" w:cs="Arial"/>
          <w:color w:val="000000"/>
        </w:rPr>
        <w:t>LTE Positioning Protocol (LPP)”, V16.7.0</w:t>
      </w:r>
    </w:p>
    <w:p w:rsidR="00393F69" w:rsidRPr="003F44DA" w:rsidRDefault="00393F69" w:rsidP="00393F69">
      <w:r w:rsidRPr="003F44DA">
        <w:t>[3]</w:t>
      </w:r>
      <w:r w:rsidRPr="003F44DA">
        <w:tab/>
      </w:r>
      <w:r w:rsidR="00677C0D" w:rsidRPr="003F44DA">
        <w:t>R4-2120270</w:t>
      </w:r>
      <w:r w:rsidRPr="003F44DA">
        <w:t xml:space="preserve">, </w:t>
      </w:r>
      <w:r w:rsidR="00DA0A71" w:rsidRPr="003F44DA">
        <w:t>Email discussion summary for [101-</w:t>
      </w:r>
      <w:proofErr w:type="gramStart"/>
      <w:r w:rsidR="00DA0A71" w:rsidRPr="003F44DA">
        <w:t>e][</w:t>
      </w:r>
      <w:proofErr w:type="gramEnd"/>
      <w:r w:rsidR="00DA0A71" w:rsidRPr="003F44DA">
        <w:t>209] Maintenance_NR_pos_2</w:t>
      </w:r>
    </w:p>
    <w:p w:rsidR="003F44DA" w:rsidRDefault="003F44DA" w:rsidP="003F44DA">
      <w:pPr>
        <w:rPr>
          <w:rFonts w:ascii="Arial" w:hAnsi="Arial" w:cs="Arial"/>
          <w:color w:val="000000"/>
        </w:rPr>
      </w:pPr>
      <w:r w:rsidRPr="003F44DA">
        <w:t>[4]</w:t>
      </w:r>
      <w:r w:rsidRPr="003F44DA">
        <w:tab/>
        <w:t>TS 3</w:t>
      </w:r>
      <w:r>
        <w:t>8</w:t>
      </w:r>
      <w:r w:rsidRPr="003F44DA">
        <w:t>.</w:t>
      </w:r>
      <w:r>
        <w:t>133</w:t>
      </w:r>
      <w:r w:rsidRPr="003F44DA">
        <w:t>, “</w:t>
      </w:r>
      <w:r>
        <w:t xml:space="preserve">NR, </w:t>
      </w:r>
      <w:r w:rsidRPr="003F44DA">
        <w:rPr>
          <w:rFonts w:ascii="Arial" w:hAnsi="Arial" w:cs="Arial"/>
          <w:color w:val="000000"/>
        </w:rPr>
        <w:t>Requirements for support of radio resource management”, V16.7.0</w:t>
      </w:r>
    </w:p>
    <w:p w:rsidR="00393F69" w:rsidRPr="001B5DBC" w:rsidRDefault="00B16398" w:rsidP="001B5DBC">
      <w:r w:rsidRPr="003F44DA">
        <w:t>[</w:t>
      </w:r>
      <w:r>
        <w:t>5</w:t>
      </w:r>
      <w:r w:rsidRPr="003F44DA">
        <w:t>]</w:t>
      </w:r>
      <w:r w:rsidRPr="003F44DA">
        <w:tab/>
      </w:r>
      <w:r w:rsidRPr="00B16398">
        <w:t>R4-2205442</w:t>
      </w:r>
      <w:r w:rsidRPr="003F44DA">
        <w:t>, “</w:t>
      </w:r>
      <w:r w:rsidR="000923B3" w:rsidRPr="000923B3">
        <w:t>Draft CR to TS 38.133: Additions to RSTD test cases for UE-based DL-TDOA support (Rel 16)</w:t>
      </w:r>
      <w:r>
        <w:t>”, Rohde &amp; Schwarz</w:t>
      </w:r>
    </w:p>
    <w:sectPr w:rsidR="00393F69" w:rsidRPr="001B5DBC" w:rsidSect="002E4218">
      <w:pgSz w:w="11906" w:h="16838"/>
      <w:pgMar w:top="1701" w:right="99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02BC" w:rsidRDefault="00D402BC" w:rsidP="007D0431">
      <w:pPr>
        <w:spacing w:after="0" w:line="240" w:lineRule="auto"/>
      </w:pPr>
      <w:r>
        <w:separator/>
      </w:r>
    </w:p>
  </w:endnote>
  <w:endnote w:type="continuationSeparator" w:id="0">
    <w:p w:rsidR="00D402BC" w:rsidRDefault="00D402BC" w:rsidP="007D0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02BC" w:rsidRDefault="00D402BC" w:rsidP="007D0431">
      <w:pPr>
        <w:spacing w:after="0" w:line="240" w:lineRule="auto"/>
      </w:pPr>
      <w:r>
        <w:separator/>
      </w:r>
    </w:p>
  </w:footnote>
  <w:footnote w:type="continuationSeparator" w:id="0">
    <w:p w:rsidR="00D402BC" w:rsidRDefault="00D402BC" w:rsidP="007D04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676D81"/>
    <w:multiLevelType w:val="multilevel"/>
    <w:tmpl w:val="1B04B730"/>
    <w:numStyleLink w:val="RSBullets"/>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29F0864"/>
    <w:multiLevelType w:val="multilevel"/>
    <w:tmpl w:val="C1B49A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6"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7" w15:restartNumberingAfterBreak="0">
    <w:nsid w:val="1CD8441C"/>
    <w:multiLevelType w:val="multilevel"/>
    <w:tmpl w:val="1B04B730"/>
    <w:numStyleLink w:val="RSBullets"/>
  </w:abstractNum>
  <w:abstractNum w:abstractNumId="8" w15:restartNumberingAfterBreak="0">
    <w:nsid w:val="2574065C"/>
    <w:multiLevelType w:val="multilevel"/>
    <w:tmpl w:val="3D287A5C"/>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737"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9" w15:restartNumberingAfterBreak="0">
    <w:nsid w:val="28EB76CD"/>
    <w:multiLevelType w:val="hybridMultilevel"/>
    <w:tmpl w:val="BC50CB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2806D7"/>
    <w:multiLevelType w:val="multilevel"/>
    <w:tmpl w:val="1B04B730"/>
    <w:numStyleLink w:val="RSBullets"/>
  </w:abstractNum>
  <w:abstractNum w:abstractNumId="11" w15:restartNumberingAfterBreak="0">
    <w:nsid w:val="2FE52E80"/>
    <w:multiLevelType w:val="multilevel"/>
    <w:tmpl w:val="1B04B730"/>
    <w:numStyleLink w:val="RSBullets"/>
  </w:abstractNum>
  <w:abstractNum w:abstractNumId="1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3" w15:restartNumberingAfterBreak="0">
    <w:nsid w:val="364A6D1D"/>
    <w:multiLevelType w:val="multilevel"/>
    <w:tmpl w:val="1B04B730"/>
    <w:numStyleLink w:val="RSBullets"/>
  </w:abstractNum>
  <w:abstractNum w:abstractNumId="14" w15:restartNumberingAfterBreak="0">
    <w:nsid w:val="3A29703A"/>
    <w:multiLevelType w:val="multilevel"/>
    <w:tmpl w:val="760620C0"/>
    <w:numStyleLink w:val="1ai"/>
  </w:abstractNum>
  <w:abstractNum w:abstractNumId="15"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6" w15:restartNumberingAfterBreak="0">
    <w:nsid w:val="3E9D5BE6"/>
    <w:multiLevelType w:val="multilevel"/>
    <w:tmpl w:val="1B04B730"/>
    <w:numStyleLink w:val="RSBullets"/>
  </w:abstractNum>
  <w:abstractNum w:abstractNumId="17" w15:restartNumberingAfterBreak="0">
    <w:nsid w:val="406C2E72"/>
    <w:multiLevelType w:val="multilevel"/>
    <w:tmpl w:val="1B04B730"/>
    <w:numStyleLink w:val="RSBullets"/>
  </w:abstractNum>
  <w:abstractNum w:abstractNumId="18" w15:restartNumberingAfterBreak="0">
    <w:nsid w:val="43392F8D"/>
    <w:multiLevelType w:val="multilevel"/>
    <w:tmpl w:val="16ECC3E0"/>
    <w:numStyleLink w:val="111111"/>
  </w:abstractNum>
  <w:abstractNum w:abstractNumId="19" w15:restartNumberingAfterBreak="0">
    <w:nsid w:val="48D714EE"/>
    <w:multiLevelType w:val="multilevel"/>
    <w:tmpl w:val="1B04B730"/>
    <w:numStyleLink w:val="RSBullets"/>
  </w:abstractNum>
  <w:abstractNum w:abstractNumId="2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2"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4"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C31123"/>
    <w:multiLevelType w:val="multilevel"/>
    <w:tmpl w:val="1B04B730"/>
    <w:numStyleLink w:val="RSBullets"/>
  </w:abstractNum>
  <w:abstractNum w:abstractNumId="26"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A56C02"/>
    <w:multiLevelType w:val="multilevel"/>
    <w:tmpl w:val="760620C0"/>
    <w:numStyleLink w:val="1ai"/>
  </w:abstractNum>
  <w:abstractNum w:abstractNumId="28" w15:restartNumberingAfterBreak="0">
    <w:nsid w:val="65BC23B4"/>
    <w:multiLevelType w:val="multilevel"/>
    <w:tmpl w:val="1B04B730"/>
    <w:numStyleLink w:val="RSBullets"/>
  </w:abstractNum>
  <w:num w:numId="1">
    <w:abstractNumId w:val="8"/>
  </w:num>
  <w:num w:numId="2">
    <w:abstractNumId w:val="20"/>
  </w:num>
  <w:num w:numId="3">
    <w:abstractNumId w:val="15"/>
  </w:num>
  <w:num w:numId="4">
    <w:abstractNumId w:val="12"/>
  </w:num>
  <w:num w:numId="5">
    <w:abstractNumId w:val="6"/>
  </w:num>
  <w:num w:numId="6">
    <w:abstractNumId w:val="4"/>
  </w:num>
  <w:num w:numId="7">
    <w:abstractNumId w:val="13"/>
  </w:num>
  <w:num w:numId="8">
    <w:abstractNumId w:val="23"/>
  </w:num>
  <w:num w:numId="9">
    <w:abstractNumId w:val="24"/>
  </w:num>
  <w:num w:numId="10">
    <w:abstractNumId w:val="3"/>
  </w:num>
  <w:num w:numId="11">
    <w:abstractNumId w:val="7"/>
  </w:num>
  <w:num w:numId="12">
    <w:abstractNumId w:val="10"/>
  </w:num>
  <w:num w:numId="13">
    <w:abstractNumId w:val="16"/>
  </w:num>
  <w:num w:numId="14">
    <w:abstractNumId w:val="19"/>
  </w:num>
  <w:num w:numId="15">
    <w:abstractNumId w:val="17"/>
  </w:num>
  <w:num w:numId="16">
    <w:abstractNumId w:val="26"/>
  </w:num>
  <w:num w:numId="17">
    <w:abstractNumId w:val="25"/>
  </w:num>
  <w:num w:numId="18">
    <w:abstractNumId w:val="28"/>
  </w:num>
  <w:num w:numId="19">
    <w:abstractNumId w:val="11"/>
  </w:num>
  <w:num w:numId="20">
    <w:abstractNumId w:val="14"/>
  </w:num>
  <w:num w:numId="21">
    <w:abstractNumId w:val="5"/>
  </w:num>
  <w:num w:numId="22">
    <w:abstractNumId w:val="5"/>
  </w:num>
  <w:num w:numId="23">
    <w:abstractNumId w:val="5"/>
  </w:num>
  <w:num w:numId="24">
    <w:abstractNumId w:val="0"/>
  </w:num>
  <w:num w:numId="25">
    <w:abstractNumId w:val="18"/>
  </w:num>
  <w:num w:numId="26">
    <w:abstractNumId w:val="21"/>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2"/>
  </w:num>
  <w:num w:numId="31">
    <w:abstractNumId w:val="9"/>
  </w:num>
  <w:num w:numId="32">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709"/>
    <w:rsid w:val="00063F79"/>
    <w:rsid w:val="00065E5F"/>
    <w:rsid w:val="00085B3E"/>
    <w:rsid w:val="000923B3"/>
    <w:rsid w:val="00092DD8"/>
    <w:rsid w:val="00093490"/>
    <w:rsid w:val="000A023B"/>
    <w:rsid w:val="000A69EA"/>
    <w:rsid w:val="000E35A6"/>
    <w:rsid w:val="000F12E7"/>
    <w:rsid w:val="0012030E"/>
    <w:rsid w:val="001233D7"/>
    <w:rsid w:val="0012408E"/>
    <w:rsid w:val="00132A51"/>
    <w:rsid w:val="001434ED"/>
    <w:rsid w:val="001459FA"/>
    <w:rsid w:val="001772E2"/>
    <w:rsid w:val="00181DF3"/>
    <w:rsid w:val="00182481"/>
    <w:rsid w:val="0019653E"/>
    <w:rsid w:val="001A2DC0"/>
    <w:rsid w:val="001A2DCE"/>
    <w:rsid w:val="001A530E"/>
    <w:rsid w:val="001B195F"/>
    <w:rsid w:val="001B3943"/>
    <w:rsid w:val="001B5DBC"/>
    <w:rsid w:val="001E1A3A"/>
    <w:rsid w:val="001F2FCC"/>
    <w:rsid w:val="00212170"/>
    <w:rsid w:val="002159D0"/>
    <w:rsid w:val="00215A93"/>
    <w:rsid w:val="00230C1A"/>
    <w:rsid w:val="00240EF7"/>
    <w:rsid w:val="00242FF6"/>
    <w:rsid w:val="00252B64"/>
    <w:rsid w:val="00253002"/>
    <w:rsid w:val="002643E4"/>
    <w:rsid w:val="00266397"/>
    <w:rsid w:val="00271681"/>
    <w:rsid w:val="0027496B"/>
    <w:rsid w:val="00274C5D"/>
    <w:rsid w:val="00297B6F"/>
    <w:rsid w:val="002A0A87"/>
    <w:rsid w:val="002A61A0"/>
    <w:rsid w:val="002D03CF"/>
    <w:rsid w:val="002D1F9B"/>
    <w:rsid w:val="002E11AB"/>
    <w:rsid w:val="002E4218"/>
    <w:rsid w:val="00307F96"/>
    <w:rsid w:val="00320D57"/>
    <w:rsid w:val="00321CD7"/>
    <w:rsid w:val="0032523E"/>
    <w:rsid w:val="00325AF9"/>
    <w:rsid w:val="00337439"/>
    <w:rsid w:val="003563D4"/>
    <w:rsid w:val="00356822"/>
    <w:rsid w:val="00356FB2"/>
    <w:rsid w:val="003571EB"/>
    <w:rsid w:val="0036182E"/>
    <w:rsid w:val="00363881"/>
    <w:rsid w:val="003666EB"/>
    <w:rsid w:val="00390B32"/>
    <w:rsid w:val="00393F69"/>
    <w:rsid w:val="003A50BA"/>
    <w:rsid w:val="003A7FAA"/>
    <w:rsid w:val="003B3C34"/>
    <w:rsid w:val="003C4E06"/>
    <w:rsid w:val="003C7723"/>
    <w:rsid w:val="003D68E5"/>
    <w:rsid w:val="003E7BA2"/>
    <w:rsid w:val="003F44DA"/>
    <w:rsid w:val="003F4EC7"/>
    <w:rsid w:val="004131B0"/>
    <w:rsid w:val="0042429B"/>
    <w:rsid w:val="00463D89"/>
    <w:rsid w:val="004648B6"/>
    <w:rsid w:val="00465C54"/>
    <w:rsid w:val="00490CBB"/>
    <w:rsid w:val="004B14CB"/>
    <w:rsid w:val="004E7157"/>
    <w:rsid w:val="004E7E35"/>
    <w:rsid w:val="004F1C5B"/>
    <w:rsid w:val="00500BA1"/>
    <w:rsid w:val="00503116"/>
    <w:rsid w:val="00520C26"/>
    <w:rsid w:val="00521709"/>
    <w:rsid w:val="00532390"/>
    <w:rsid w:val="00534070"/>
    <w:rsid w:val="0054297B"/>
    <w:rsid w:val="005433BF"/>
    <w:rsid w:val="00554991"/>
    <w:rsid w:val="0059369C"/>
    <w:rsid w:val="00594E12"/>
    <w:rsid w:val="005A02E5"/>
    <w:rsid w:val="005C77D0"/>
    <w:rsid w:val="005D51A4"/>
    <w:rsid w:val="005E286D"/>
    <w:rsid w:val="00624DE3"/>
    <w:rsid w:val="00630DB5"/>
    <w:rsid w:val="0064067F"/>
    <w:rsid w:val="00677C0D"/>
    <w:rsid w:val="00694C17"/>
    <w:rsid w:val="006B52BD"/>
    <w:rsid w:val="006B59CE"/>
    <w:rsid w:val="006D5DE8"/>
    <w:rsid w:val="006E77C0"/>
    <w:rsid w:val="007026B8"/>
    <w:rsid w:val="007054F4"/>
    <w:rsid w:val="007366B5"/>
    <w:rsid w:val="007468E6"/>
    <w:rsid w:val="007547A0"/>
    <w:rsid w:val="00757E33"/>
    <w:rsid w:val="00781E78"/>
    <w:rsid w:val="007A552B"/>
    <w:rsid w:val="007B5F72"/>
    <w:rsid w:val="007C5A1B"/>
    <w:rsid w:val="007C7931"/>
    <w:rsid w:val="007D0431"/>
    <w:rsid w:val="007D4391"/>
    <w:rsid w:val="007E3502"/>
    <w:rsid w:val="007E4F6F"/>
    <w:rsid w:val="007F7350"/>
    <w:rsid w:val="00806BB6"/>
    <w:rsid w:val="00806F61"/>
    <w:rsid w:val="00811938"/>
    <w:rsid w:val="008158FE"/>
    <w:rsid w:val="00816E81"/>
    <w:rsid w:val="00821A2D"/>
    <w:rsid w:val="00861CDE"/>
    <w:rsid w:val="008922BC"/>
    <w:rsid w:val="008C1B71"/>
    <w:rsid w:val="008D3C8A"/>
    <w:rsid w:val="008E1D01"/>
    <w:rsid w:val="008E436F"/>
    <w:rsid w:val="008E7B7D"/>
    <w:rsid w:val="00900940"/>
    <w:rsid w:val="00910F48"/>
    <w:rsid w:val="00914ADD"/>
    <w:rsid w:val="00915BD2"/>
    <w:rsid w:val="009213E6"/>
    <w:rsid w:val="00927983"/>
    <w:rsid w:val="009339B0"/>
    <w:rsid w:val="0094562B"/>
    <w:rsid w:val="00950F4E"/>
    <w:rsid w:val="009620AE"/>
    <w:rsid w:val="00962C49"/>
    <w:rsid w:val="00974D8D"/>
    <w:rsid w:val="0099541E"/>
    <w:rsid w:val="009A7252"/>
    <w:rsid w:val="009B75B3"/>
    <w:rsid w:val="00A206B5"/>
    <w:rsid w:val="00A31A63"/>
    <w:rsid w:val="00A506B1"/>
    <w:rsid w:val="00A5355C"/>
    <w:rsid w:val="00A739E6"/>
    <w:rsid w:val="00A8149A"/>
    <w:rsid w:val="00A87D1C"/>
    <w:rsid w:val="00A91B46"/>
    <w:rsid w:val="00AB25C6"/>
    <w:rsid w:val="00AC12C8"/>
    <w:rsid w:val="00AD0725"/>
    <w:rsid w:val="00AD11AA"/>
    <w:rsid w:val="00AD3F9B"/>
    <w:rsid w:val="00AE0B49"/>
    <w:rsid w:val="00B16398"/>
    <w:rsid w:val="00B1733E"/>
    <w:rsid w:val="00B235AB"/>
    <w:rsid w:val="00B3318B"/>
    <w:rsid w:val="00B34260"/>
    <w:rsid w:val="00B578BF"/>
    <w:rsid w:val="00B623F6"/>
    <w:rsid w:val="00B63A95"/>
    <w:rsid w:val="00B80285"/>
    <w:rsid w:val="00B94D6B"/>
    <w:rsid w:val="00BA08A1"/>
    <w:rsid w:val="00BB2BD9"/>
    <w:rsid w:val="00BE07D9"/>
    <w:rsid w:val="00BE46B9"/>
    <w:rsid w:val="00BE7460"/>
    <w:rsid w:val="00BF4658"/>
    <w:rsid w:val="00C154F0"/>
    <w:rsid w:val="00C1647C"/>
    <w:rsid w:val="00C30D53"/>
    <w:rsid w:val="00C314CC"/>
    <w:rsid w:val="00C33B71"/>
    <w:rsid w:val="00C34351"/>
    <w:rsid w:val="00C36D6F"/>
    <w:rsid w:val="00C40172"/>
    <w:rsid w:val="00C405F7"/>
    <w:rsid w:val="00C601F9"/>
    <w:rsid w:val="00C70FEF"/>
    <w:rsid w:val="00C746EF"/>
    <w:rsid w:val="00C763E9"/>
    <w:rsid w:val="00C910F3"/>
    <w:rsid w:val="00C976AE"/>
    <w:rsid w:val="00CC6AF4"/>
    <w:rsid w:val="00CF1C34"/>
    <w:rsid w:val="00D054DD"/>
    <w:rsid w:val="00D2660B"/>
    <w:rsid w:val="00D31632"/>
    <w:rsid w:val="00D402BC"/>
    <w:rsid w:val="00D4734E"/>
    <w:rsid w:val="00D73A81"/>
    <w:rsid w:val="00D73B9E"/>
    <w:rsid w:val="00D86161"/>
    <w:rsid w:val="00D90EBF"/>
    <w:rsid w:val="00D94F1C"/>
    <w:rsid w:val="00DA0A71"/>
    <w:rsid w:val="00DB0E64"/>
    <w:rsid w:val="00DD6721"/>
    <w:rsid w:val="00DE55BE"/>
    <w:rsid w:val="00E02069"/>
    <w:rsid w:val="00E032D7"/>
    <w:rsid w:val="00E05CF5"/>
    <w:rsid w:val="00E07844"/>
    <w:rsid w:val="00E1654B"/>
    <w:rsid w:val="00E16837"/>
    <w:rsid w:val="00E32F3C"/>
    <w:rsid w:val="00E42BC3"/>
    <w:rsid w:val="00E74F38"/>
    <w:rsid w:val="00E7570C"/>
    <w:rsid w:val="00E77A96"/>
    <w:rsid w:val="00E82662"/>
    <w:rsid w:val="00E918F7"/>
    <w:rsid w:val="00E930FE"/>
    <w:rsid w:val="00EA62F3"/>
    <w:rsid w:val="00EB0D37"/>
    <w:rsid w:val="00EB26C6"/>
    <w:rsid w:val="00ED238C"/>
    <w:rsid w:val="00EE2244"/>
    <w:rsid w:val="00EE399B"/>
    <w:rsid w:val="00F107B8"/>
    <w:rsid w:val="00F2618B"/>
    <w:rsid w:val="00F32E03"/>
    <w:rsid w:val="00F46CD0"/>
    <w:rsid w:val="00F525C4"/>
    <w:rsid w:val="00F64D55"/>
    <w:rsid w:val="00F7627A"/>
    <w:rsid w:val="00F77D6D"/>
    <w:rsid w:val="00F81C7A"/>
    <w:rsid w:val="00F9104F"/>
    <w:rsid w:val="00FA000F"/>
    <w:rsid w:val="00FA1760"/>
    <w:rsid w:val="00FA1BA3"/>
    <w:rsid w:val="00FA769B"/>
    <w:rsid w:val="00FB45F4"/>
    <w:rsid w:val="00FC40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F274F"/>
  <w15:chartTrackingRefBased/>
  <w15:docId w15:val="{83558CC6-1250-433A-978F-F475FE8FA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5">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20"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7570C"/>
  </w:style>
  <w:style w:type="paragraph" w:styleId="Heading1">
    <w:name w:val="heading 1"/>
    <w:basedOn w:val="Normal"/>
    <w:next w:val="Normal"/>
    <w:link w:val="Heading1Char"/>
    <w:uiPriority w:val="12"/>
    <w:qFormat/>
    <w:rsid w:val="00E42BC3"/>
    <w:pPr>
      <w:keepNext/>
      <w:keepLines/>
      <w:numPr>
        <w:numId w:val="1"/>
      </w:numPr>
      <w:spacing w:before="720" w:after="240"/>
      <w:contextualSpacing/>
      <w:outlineLvl w:val="0"/>
    </w:pPr>
    <w:rPr>
      <w:rFonts w:asciiTheme="majorHAnsi" w:eastAsiaTheme="majorEastAsia" w:hAnsiTheme="majorHAnsi" w:cstheme="majorBidi"/>
      <w:b/>
      <w:bCs/>
      <w:color w:val="003E76" w:themeColor="accent1"/>
      <w:sz w:val="48"/>
      <w:szCs w:val="48"/>
    </w:rPr>
  </w:style>
  <w:style w:type="paragraph" w:styleId="Heading2">
    <w:name w:val="heading 2"/>
    <w:basedOn w:val="Normal"/>
    <w:next w:val="Normal"/>
    <w:link w:val="Heading2Char"/>
    <w:uiPriority w:val="12"/>
    <w:unhideWhenUsed/>
    <w:qFormat/>
    <w:rsid w:val="00D94F1C"/>
    <w:pPr>
      <w:keepNext/>
      <w:keepLines/>
      <w:numPr>
        <w:ilvl w:val="1"/>
        <w:numId w:val="1"/>
      </w:numPr>
      <w:spacing w:before="480" w:after="240"/>
      <w:outlineLvl w:val="1"/>
    </w:pPr>
    <w:rPr>
      <w:b/>
      <w:bCs/>
      <w:sz w:val="28"/>
      <w:szCs w:val="28"/>
    </w:rPr>
  </w:style>
  <w:style w:type="paragraph" w:styleId="Heading3">
    <w:name w:val="heading 3"/>
    <w:basedOn w:val="Heading2"/>
    <w:next w:val="Normal"/>
    <w:link w:val="Heading3Char"/>
    <w:uiPriority w:val="12"/>
    <w:semiHidden/>
    <w:unhideWhenUsed/>
    <w:qFormat/>
    <w:rsid w:val="001459FA"/>
    <w:pPr>
      <w:numPr>
        <w:ilvl w:val="2"/>
      </w:numPr>
      <w:spacing w:before="360"/>
      <w:outlineLvl w:val="2"/>
    </w:pPr>
    <w:rPr>
      <w:sz w:val="24"/>
      <w:szCs w:val="24"/>
    </w:rPr>
  </w:style>
  <w:style w:type="paragraph" w:styleId="Heading4">
    <w:name w:val="heading 4"/>
    <w:basedOn w:val="Heading3"/>
    <w:next w:val="Normal"/>
    <w:link w:val="Heading4Char"/>
    <w:uiPriority w:val="12"/>
    <w:semiHidden/>
    <w:unhideWhenUsed/>
    <w:qFormat/>
    <w:rsid w:val="001459FA"/>
    <w:pPr>
      <w:numPr>
        <w:ilvl w:val="3"/>
      </w:numPr>
      <w:outlineLvl w:val="3"/>
    </w:pPr>
  </w:style>
  <w:style w:type="paragraph" w:styleId="Heading5">
    <w:name w:val="heading 5"/>
    <w:basedOn w:val="Heading4"/>
    <w:next w:val="Normal"/>
    <w:link w:val="Heading5Char"/>
    <w:uiPriority w:val="12"/>
    <w:semiHidden/>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iPriority w:val="12"/>
    <w:semiHidden/>
    <w:unhideWhenUsed/>
    <w:qFormat/>
    <w:rsid w:val="00BF4658"/>
    <w:pPr>
      <w:numPr>
        <w:ilvl w:val="6"/>
      </w:numPr>
      <w:outlineLvl w:val="6"/>
    </w:pPr>
  </w:style>
  <w:style w:type="paragraph" w:styleId="Heading8">
    <w:name w:val="heading 8"/>
    <w:basedOn w:val="Heading7"/>
    <w:next w:val="Normal"/>
    <w:link w:val="Heading8Char"/>
    <w:uiPriority w:val="12"/>
    <w:semiHidden/>
    <w:unhideWhenUsed/>
    <w:qFormat/>
    <w:rsid w:val="00BF4658"/>
    <w:pPr>
      <w:numPr>
        <w:ilvl w:val="7"/>
      </w:numPr>
      <w:outlineLvl w:val="7"/>
    </w:pPr>
  </w:style>
  <w:style w:type="paragraph" w:styleId="Heading9">
    <w:name w:val="heading 9"/>
    <w:basedOn w:val="Heading8"/>
    <w:next w:val="Normal"/>
    <w:link w:val="Heading9Char"/>
    <w:uiPriority w:val="12"/>
    <w:semiHidden/>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253002"/>
    <w:pPr>
      <w:spacing w:after="0" w:line="240" w:lineRule="auto"/>
    </w:pPr>
  </w:style>
  <w:style w:type="character" w:customStyle="1" w:styleId="Heading1Char">
    <w:name w:val="Heading 1 Char"/>
    <w:basedOn w:val="DefaultParagraphFont"/>
    <w:link w:val="Heading1"/>
    <w:uiPriority w:val="12"/>
    <w:rsid w:val="00E42BC3"/>
    <w:rPr>
      <w:rFonts w:asciiTheme="majorHAnsi" w:eastAsiaTheme="majorEastAsia" w:hAnsiTheme="majorHAnsi" w:cstheme="majorBidi"/>
      <w:b/>
      <w:bCs/>
      <w:color w:val="003E76" w:themeColor="accent1"/>
      <w:sz w:val="48"/>
      <w:szCs w:val="48"/>
    </w:rPr>
  </w:style>
  <w:style w:type="character" w:customStyle="1" w:styleId="Heading2Char">
    <w:name w:val="Heading 2 Char"/>
    <w:basedOn w:val="DefaultParagraphFont"/>
    <w:link w:val="Heading2"/>
    <w:uiPriority w:val="12"/>
    <w:rsid w:val="001B3943"/>
    <w:rPr>
      <w:b/>
      <w:bCs/>
      <w:sz w:val="28"/>
      <w:szCs w:val="28"/>
    </w:rPr>
  </w:style>
  <w:style w:type="character" w:customStyle="1" w:styleId="Heading3Char">
    <w:name w:val="Heading 3 Char"/>
    <w:basedOn w:val="DefaultParagraphFont"/>
    <w:link w:val="Heading3"/>
    <w:uiPriority w:val="12"/>
    <w:semiHidden/>
    <w:rsid w:val="001B3943"/>
    <w:rPr>
      <w:b/>
      <w:bCs/>
      <w:sz w:val="24"/>
      <w:szCs w:val="24"/>
    </w:rPr>
  </w:style>
  <w:style w:type="character" w:customStyle="1" w:styleId="Heading4Char">
    <w:name w:val="Heading 4 Char"/>
    <w:basedOn w:val="DefaultParagraphFont"/>
    <w:link w:val="Heading4"/>
    <w:uiPriority w:val="12"/>
    <w:semiHidden/>
    <w:rsid w:val="001B3943"/>
    <w:rPr>
      <w:b/>
      <w:bCs/>
      <w:sz w:val="24"/>
      <w:szCs w:val="24"/>
    </w:rPr>
  </w:style>
  <w:style w:type="character" w:customStyle="1" w:styleId="Heading5Char">
    <w:name w:val="Heading 5 Char"/>
    <w:basedOn w:val="DefaultParagraphFont"/>
    <w:link w:val="Heading5"/>
    <w:uiPriority w:val="12"/>
    <w:semiHidden/>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uiPriority w:val="12"/>
    <w:semiHidden/>
    <w:rsid w:val="001B3943"/>
    <w:rPr>
      <w:b/>
      <w:bCs/>
      <w:sz w:val="24"/>
      <w:szCs w:val="24"/>
    </w:rPr>
  </w:style>
  <w:style w:type="character" w:customStyle="1" w:styleId="Heading8Char">
    <w:name w:val="Heading 8 Char"/>
    <w:basedOn w:val="DefaultParagraphFont"/>
    <w:link w:val="Heading8"/>
    <w:uiPriority w:val="12"/>
    <w:semiHidden/>
    <w:rsid w:val="001B3943"/>
    <w:rPr>
      <w:b/>
      <w:bCs/>
      <w:sz w:val="24"/>
      <w:szCs w:val="24"/>
    </w:rPr>
  </w:style>
  <w:style w:type="character" w:customStyle="1" w:styleId="Heading9Char">
    <w:name w:val="Heading 9 Char"/>
    <w:basedOn w:val="DefaultParagraphFont"/>
    <w:link w:val="Heading9"/>
    <w:uiPriority w:val="12"/>
    <w:semiHidden/>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19"/>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semiHidden/>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semiHidden/>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semiHidden/>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semiHidden/>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semiHidden/>
    <w:rsid w:val="001B3943"/>
    <w:rPr>
      <w:sz w:val="15"/>
      <w:szCs w:val="15"/>
    </w:rPr>
  </w:style>
  <w:style w:type="paragraph" w:styleId="List">
    <w:name w:val="List"/>
    <w:basedOn w:val="Normal"/>
    <w:uiPriority w:val="79"/>
    <w:qFormat/>
    <w:rsid w:val="00D2660B"/>
    <w:pPr>
      <w:numPr>
        <w:numId w:val="3"/>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pPr>
  </w:style>
  <w:style w:type="paragraph" w:styleId="List4">
    <w:name w:val="List 4"/>
    <w:basedOn w:val="List3"/>
    <w:uiPriority w:val="79"/>
    <w:semiHidden/>
    <w:unhideWhenUsed/>
    <w:rsid w:val="001A2DC0"/>
    <w:pPr>
      <w:numPr>
        <w:ilvl w:val="3"/>
      </w:numPr>
    </w:pPr>
  </w:style>
  <w:style w:type="paragraph" w:styleId="List5">
    <w:name w:val="List 5"/>
    <w:basedOn w:val="List4"/>
    <w:uiPriority w:val="79"/>
    <w:semiHidden/>
    <w:unhideWhenUsed/>
    <w:rsid w:val="001A2DC0"/>
    <w:pPr>
      <w:numPr>
        <w:ilvl w:val="4"/>
      </w:numPr>
    </w:p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ListBullet"/>
    <w:link w:val="ListParagraphChar"/>
    <w:uiPriority w:val="34"/>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2"/>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TOCHeading"/>
    <w:next w:val="Normal"/>
    <w:uiPriority w:val="37"/>
    <w:semiHidden/>
    <w:unhideWhenUsed/>
    <w:rsid w:val="00337439"/>
    <w:pPr>
      <w:spacing w:after="120"/>
    </w:pPr>
  </w:style>
  <w:style w:type="character" w:styleId="PlaceholderText">
    <w:name w:val="Placeholder Text"/>
    <w:basedOn w:val="DefaultParagraphFont"/>
    <w:uiPriority w:val="99"/>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TOCHeading"/>
    <w:next w:val="Normal"/>
    <w:uiPriority w:val="99"/>
    <w:semiHidden/>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4"/>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5"/>
      </w:numPr>
    </w:pPr>
  </w:style>
  <w:style w:type="numbering" w:styleId="1ai">
    <w:name w:val="Outline List 1"/>
    <w:basedOn w:val="NoList"/>
    <w:uiPriority w:val="99"/>
    <w:semiHidden/>
    <w:unhideWhenUsed/>
    <w:rsid w:val="00EA62F3"/>
    <w:pPr>
      <w:numPr>
        <w:numId w:val="6"/>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qFormat/>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semiHidden/>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321CD7"/>
    <w:pPr>
      <w:keepNext/>
      <w:keepLines/>
      <w:numPr>
        <w:numId w:val="26"/>
      </w:numPr>
    </w:pPr>
  </w:style>
  <w:style w:type="character" w:customStyle="1" w:styleId="Hashtag1">
    <w:name w:val="Hashtag1"/>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321CD7"/>
    <w:pPr>
      <w:keepNext/>
      <w:keepLines/>
      <w:numPr>
        <w:numId w:val="26"/>
      </w:numPr>
      <w:tabs>
        <w:tab w:val="left" w:pos="851"/>
      </w:tabs>
    </w:pPr>
  </w:style>
  <w:style w:type="paragraph" w:customStyle="1" w:styleId="Structuring3">
    <w:name w:val="Structuring 3"/>
    <w:basedOn w:val="ListNumber3"/>
    <w:uiPriority w:val="80"/>
    <w:semiHidden/>
    <w:unhideWhenUsed/>
    <w:qFormat/>
    <w:rsid w:val="00321CD7"/>
    <w:pPr>
      <w:keepNext/>
      <w:keepLines/>
      <w:numPr>
        <w:numId w:val="26"/>
      </w:numPr>
      <w:tabs>
        <w:tab w:val="left" w:pos="1276"/>
        <w:tab w:val="left" w:pos="1701"/>
      </w:tabs>
    </w:pPr>
  </w:style>
  <w:style w:type="numbering" w:customStyle="1" w:styleId="StruckturingA">
    <w:name w:val="Struckturing A"/>
    <w:uiPriority w:val="99"/>
    <w:rsid w:val="00321CD7"/>
    <w:pPr>
      <w:numPr>
        <w:numId w:val="26"/>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547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295478036">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4615806">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C6C119E4-F82A-45DE-876C-B6F7A2C99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1191</Words>
  <Characters>6794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Cardalda-Garcia Adrian 1SI1</dc:creator>
  <cp:keywords/>
  <dc:description/>
  <cp:lastModifiedBy>Karajani Bledar 1SI1</cp:lastModifiedBy>
  <cp:revision>24</cp:revision>
  <cp:lastPrinted>2015-11-10T12:30:00Z</cp:lastPrinted>
  <dcterms:created xsi:type="dcterms:W3CDTF">2022-02-14T15:15:00Z</dcterms:created>
  <dcterms:modified xsi:type="dcterms:W3CDTF">2022-02-14T21:55:00Z</dcterms:modified>
</cp:coreProperties>
</file>