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FAD3" w14:textId="246C7887" w:rsidR="00337188" w:rsidRPr="00837B55" w:rsidRDefault="00337188" w:rsidP="00337188">
      <w:pPr>
        <w:pStyle w:val="a5"/>
        <w:keepLines/>
        <w:tabs>
          <w:tab w:val="right" w:pos="10440"/>
          <w:tab w:val="right" w:pos="13323"/>
        </w:tabs>
        <w:rPr>
          <w:rFonts w:asciiTheme="minorHAnsi" w:eastAsia="MS Mincho" w:hAnsiTheme="minorHAnsi" w:cstheme="minorHAnsi"/>
          <w:noProof w:val="0"/>
          <w:sz w:val="24"/>
          <w:szCs w:val="24"/>
          <w:lang w:eastAsia="zh-TW"/>
        </w:rPr>
      </w:pPr>
      <w:bookmarkStart w:id="0" w:name="Title"/>
      <w:bookmarkStart w:id="1" w:name="DocumentFor"/>
      <w:bookmarkEnd w:id="0"/>
      <w:bookmarkEnd w:id="1"/>
      <w:r w:rsidRPr="00837B55">
        <w:rPr>
          <w:rFonts w:asciiTheme="minorHAnsi" w:eastAsia="MS Mincho" w:hAnsiTheme="minorHAnsi" w:cstheme="minorHAnsi"/>
          <w:noProof w:val="0"/>
          <w:sz w:val="24"/>
          <w:szCs w:val="24"/>
        </w:rPr>
        <w:t>3GPP TSG-RAN WG4 Meeting # 102-e</w:t>
      </w:r>
      <w:r w:rsidRPr="00837B55">
        <w:rPr>
          <w:rFonts w:asciiTheme="minorHAnsi" w:eastAsia="MS Mincho" w:hAnsiTheme="minorHAnsi" w:cstheme="minorHAnsi"/>
          <w:noProof w:val="0"/>
          <w:sz w:val="24"/>
          <w:szCs w:val="24"/>
        </w:rPr>
        <w:tab/>
        <w:t>R4-2</w:t>
      </w:r>
      <w:r w:rsidR="008A16F0">
        <w:rPr>
          <w:rFonts w:asciiTheme="minorHAnsi" w:eastAsia="MS Mincho" w:hAnsiTheme="minorHAnsi" w:cstheme="minorHAnsi"/>
          <w:noProof w:val="0"/>
          <w:sz w:val="24"/>
          <w:szCs w:val="24"/>
        </w:rPr>
        <w:t>204365</w:t>
      </w:r>
    </w:p>
    <w:p w14:paraId="352E38A9" w14:textId="77777777" w:rsidR="00337188" w:rsidRPr="00837B55" w:rsidRDefault="00337188" w:rsidP="00337188">
      <w:pPr>
        <w:rPr>
          <w:rFonts w:eastAsia="MS Mincho" w:cstheme="minorHAnsi"/>
          <w:b/>
          <w:szCs w:val="24"/>
          <w:lang w:eastAsia="en-US"/>
        </w:rPr>
      </w:pPr>
      <w:r w:rsidRPr="00837B55">
        <w:rPr>
          <w:rFonts w:eastAsia="MS Mincho" w:cstheme="minorHAnsi"/>
          <w:b/>
          <w:szCs w:val="24"/>
          <w:lang w:eastAsia="en-US"/>
        </w:rPr>
        <w:t>Electronic Meeting, February 21 – March 3, 2022</w:t>
      </w:r>
    </w:p>
    <w:p w14:paraId="13685AEA" w14:textId="75123F96" w:rsidR="00811EEE" w:rsidRPr="006F3377" w:rsidRDefault="00811EEE" w:rsidP="003A280F">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Agenda Item:</w:t>
      </w:r>
      <w:r w:rsidR="00CD5E70" w:rsidRPr="009A2A8B">
        <w:rPr>
          <w:rFonts w:asciiTheme="minorHAnsi" w:eastAsiaTheme="minorEastAsia" w:hAnsiTheme="minorHAnsi" w:cstheme="minorHAnsi"/>
          <w:bCs/>
          <w:noProof w:val="0"/>
          <w:sz w:val="24"/>
          <w:szCs w:val="24"/>
          <w:lang w:eastAsia="zh-CN"/>
        </w:rPr>
        <w:t xml:space="preserve"> </w:t>
      </w:r>
      <w:r w:rsidR="00337188">
        <w:rPr>
          <w:rFonts w:asciiTheme="minorHAnsi" w:eastAsia="新細明體" w:hAnsiTheme="minorHAnsi" w:cstheme="minorHAnsi"/>
          <w:bCs/>
          <w:noProof w:val="0"/>
          <w:sz w:val="24"/>
          <w:szCs w:val="24"/>
          <w:lang w:eastAsia="zh-TW"/>
        </w:rPr>
        <w:t>10</w:t>
      </w:r>
      <w:r w:rsidR="00CC7419">
        <w:rPr>
          <w:rFonts w:asciiTheme="minorHAnsi" w:eastAsia="新細明體" w:hAnsiTheme="minorHAnsi" w:cstheme="minorHAnsi" w:hint="eastAsia"/>
          <w:bCs/>
          <w:noProof w:val="0"/>
          <w:sz w:val="24"/>
          <w:szCs w:val="24"/>
          <w:lang w:eastAsia="zh-TW"/>
        </w:rPr>
        <w:t>.19.3.1</w:t>
      </w:r>
    </w:p>
    <w:p w14:paraId="25747DAE" w14:textId="77777777" w:rsidR="0034111C"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w:t>
      </w:r>
      <w:r w:rsidR="00CD5E70" w:rsidRPr="009A2A8B">
        <w:rPr>
          <w:rFonts w:asciiTheme="minorHAnsi" w:eastAsiaTheme="minorEastAsia" w:hAnsiTheme="minorHAnsi" w:cstheme="minorHAnsi"/>
          <w:bCs/>
          <w:noProof w:val="0"/>
          <w:sz w:val="24"/>
          <w:szCs w:val="24"/>
          <w:lang w:eastAsia="zh-CN"/>
        </w:rPr>
        <w:t xml:space="preserve"> </w:t>
      </w:r>
      <w:r w:rsidR="002E58D2" w:rsidRPr="009A2A8B">
        <w:rPr>
          <w:rFonts w:asciiTheme="minorHAnsi" w:eastAsiaTheme="minorEastAsia" w:hAnsiTheme="minorHAnsi" w:cstheme="minorHAnsi"/>
          <w:bCs/>
          <w:noProof w:val="0"/>
          <w:sz w:val="24"/>
          <w:szCs w:val="24"/>
          <w:lang w:eastAsia="zh-CN"/>
        </w:rPr>
        <w:t>MediaTek Inc.</w:t>
      </w:r>
    </w:p>
    <w:p w14:paraId="0106384F" w14:textId="655C3676" w:rsidR="00174EC2"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D5E70" w:rsidRPr="009A2A8B">
        <w:rPr>
          <w:rFonts w:asciiTheme="minorHAnsi" w:eastAsiaTheme="minorEastAsia" w:hAnsiTheme="minorHAnsi" w:cstheme="minorHAnsi"/>
          <w:bCs/>
          <w:noProof w:val="0"/>
          <w:sz w:val="24"/>
          <w:szCs w:val="24"/>
          <w:lang w:eastAsia="zh-CN"/>
        </w:rPr>
        <w:t xml:space="preserve"> </w:t>
      </w:r>
      <w:r w:rsidR="006F3377" w:rsidRPr="006F3377">
        <w:rPr>
          <w:rFonts w:asciiTheme="minorHAnsi" w:eastAsiaTheme="minorEastAsia" w:hAnsiTheme="minorHAnsi" w:cstheme="minorHAnsi"/>
          <w:bCs/>
          <w:noProof w:val="0"/>
          <w:sz w:val="24"/>
          <w:szCs w:val="24"/>
          <w:lang w:eastAsia="zh-CN"/>
        </w:rPr>
        <w:t>Discussion on unified TCI for DL and UL in R17 feMIMO</w:t>
      </w:r>
      <w:r w:rsidR="00BF462F" w:rsidRPr="009A2A8B">
        <w:rPr>
          <w:rFonts w:asciiTheme="minorHAnsi" w:eastAsiaTheme="minorEastAsia" w:hAnsiTheme="minorHAnsi" w:cstheme="minorHAnsi"/>
          <w:bCs/>
          <w:noProof w:val="0"/>
          <w:sz w:val="24"/>
          <w:szCs w:val="24"/>
          <w:lang w:eastAsia="zh-CN"/>
        </w:rPr>
        <w:t xml:space="preserve"> </w:t>
      </w:r>
    </w:p>
    <w:p w14:paraId="66AAD5BC" w14:textId="77777777" w:rsidR="0034111C" w:rsidRPr="009A2A8B" w:rsidRDefault="0034111C" w:rsidP="00A252C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w:t>
      </w:r>
      <w:r w:rsidR="00CD5E70" w:rsidRPr="009A2A8B">
        <w:rPr>
          <w:rFonts w:asciiTheme="minorHAnsi" w:eastAsiaTheme="minorEastAsia" w:hAnsiTheme="minorHAnsi" w:cstheme="minorHAnsi"/>
          <w:bCs/>
          <w:noProof w:val="0"/>
          <w:sz w:val="24"/>
          <w:szCs w:val="24"/>
          <w:lang w:eastAsia="zh-CN"/>
        </w:rPr>
        <w:t xml:space="preserve"> Discussion</w:t>
      </w:r>
      <w:r w:rsidR="00F43398" w:rsidRPr="009A2A8B">
        <w:rPr>
          <w:rFonts w:asciiTheme="minorHAnsi" w:eastAsiaTheme="minorEastAsia" w:hAnsiTheme="minorHAnsi" w:cstheme="minorHAnsi"/>
          <w:bCs/>
          <w:noProof w:val="0"/>
          <w:sz w:val="24"/>
          <w:szCs w:val="24"/>
          <w:lang w:eastAsia="zh-CN"/>
        </w:rPr>
        <w:tab/>
      </w:r>
    </w:p>
    <w:p w14:paraId="42D67F7D" w14:textId="77777777" w:rsidR="0034111C" w:rsidRPr="00DA469A" w:rsidRDefault="0034111C"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ab/>
      </w:r>
      <w:r w:rsidR="00EE7FA7" w:rsidRPr="00DA469A">
        <w:rPr>
          <w:rFonts w:asciiTheme="minorHAnsi" w:hAnsiTheme="minorHAnsi" w:cstheme="minorHAnsi"/>
          <w:szCs w:val="36"/>
        </w:rPr>
        <w:t>Introduction</w:t>
      </w:r>
    </w:p>
    <w:p w14:paraId="39E5BCD2" w14:textId="0471B09D" w:rsidR="0052332A" w:rsidRPr="0035409E" w:rsidRDefault="0084131B" w:rsidP="00F4246F">
      <w:pPr>
        <w:jc w:val="both"/>
        <w:rPr>
          <w:rFonts w:eastAsia="新細明體" w:cstheme="minorHAnsi"/>
          <w:szCs w:val="24"/>
        </w:rPr>
      </w:pPr>
      <w:r w:rsidRPr="0035409E">
        <w:rPr>
          <w:rFonts w:eastAsia="新細明體" w:cstheme="minorHAnsi"/>
          <w:szCs w:val="24"/>
        </w:rPr>
        <w:t xml:space="preserve">In </w:t>
      </w:r>
      <w:r w:rsidR="007366FE">
        <w:rPr>
          <w:rFonts w:eastAsia="新細明體" w:cstheme="minorHAnsi" w:hint="eastAsia"/>
          <w:szCs w:val="24"/>
        </w:rPr>
        <w:t>t</w:t>
      </w:r>
      <w:r w:rsidR="007366FE">
        <w:rPr>
          <w:rFonts w:eastAsia="新細明體" w:cstheme="minorHAnsi"/>
          <w:szCs w:val="24"/>
        </w:rPr>
        <w:t xml:space="preserve">he </w:t>
      </w:r>
      <w:r w:rsidRPr="0035409E">
        <w:rPr>
          <w:rFonts w:eastAsia="新細明體" w:cstheme="minorHAnsi"/>
          <w:szCs w:val="24"/>
        </w:rPr>
        <w:t>last meeting,</w:t>
      </w:r>
      <w:r w:rsidR="00EB2B96" w:rsidRPr="0035409E">
        <w:rPr>
          <w:rFonts w:eastAsia="新細明體" w:cstheme="minorHAnsi"/>
          <w:szCs w:val="24"/>
        </w:rPr>
        <w:t xml:space="preserve"> </w:t>
      </w:r>
      <w:r w:rsidR="00042637">
        <w:rPr>
          <w:rFonts w:eastAsia="新細明體" w:cstheme="minorHAnsi"/>
          <w:szCs w:val="24"/>
        </w:rPr>
        <w:t>some issues have been agreed</w:t>
      </w:r>
      <w:r w:rsidR="0057215D">
        <w:rPr>
          <w:rFonts w:eastAsia="新細明體" w:cstheme="minorHAnsi" w:hint="eastAsia"/>
          <w:szCs w:val="24"/>
        </w:rPr>
        <w:t xml:space="preserve"> i</w:t>
      </w:r>
      <w:r w:rsidR="0057215D">
        <w:rPr>
          <w:rFonts w:eastAsia="新細明體" w:cstheme="minorHAnsi"/>
          <w:szCs w:val="24"/>
        </w:rPr>
        <w:t xml:space="preserve">n </w:t>
      </w:r>
      <w:r w:rsidR="0057215D">
        <w:rPr>
          <w:rFonts w:eastAsia="新細明體" w:cstheme="minorHAnsi"/>
          <w:szCs w:val="24"/>
        </w:rPr>
        <w:fldChar w:fldCharType="begin"/>
      </w:r>
      <w:r w:rsidR="0057215D">
        <w:rPr>
          <w:rFonts w:eastAsia="新細明體" w:cstheme="minorHAnsi"/>
          <w:szCs w:val="24"/>
        </w:rPr>
        <w:instrText xml:space="preserve"> REF _Ref94781619 \r \h </w:instrText>
      </w:r>
      <w:r w:rsidR="0057215D">
        <w:rPr>
          <w:rFonts w:eastAsia="新細明體" w:cstheme="minorHAnsi"/>
          <w:szCs w:val="24"/>
        </w:rPr>
      </w:r>
      <w:r w:rsidR="0057215D">
        <w:rPr>
          <w:rFonts w:eastAsia="新細明體" w:cstheme="minorHAnsi"/>
          <w:szCs w:val="24"/>
        </w:rPr>
        <w:fldChar w:fldCharType="separate"/>
      </w:r>
      <w:r w:rsidR="00B635F7">
        <w:rPr>
          <w:rFonts w:eastAsia="新細明體" w:cstheme="minorHAnsi"/>
          <w:szCs w:val="24"/>
        </w:rPr>
        <w:t>[1]</w:t>
      </w:r>
      <w:r w:rsidR="0057215D">
        <w:rPr>
          <w:rFonts w:eastAsia="新細明體" w:cstheme="minorHAnsi"/>
          <w:szCs w:val="24"/>
        </w:rPr>
        <w:fldChar w:fldCharType="end"/>
      </w:r>
      <w:r w:rsidR="00042637">
        <w:rPr>
          <w:rFonts w:eastAsia="新細明體" w:cstheme="minorHAnsi"/>
          <w:szCs w:val="24"/>
        </w:rPr>
        <w:t xml:space="preserve">, e.g., </w:t>
      </w:r>
      <w:r w:rsidR="0057215D">
        <w:rPr>
          <w:rFonts w:eastAsia="新細明體" w:cstheme="minorHAnsi"/>
          <w:szCs w:val="24"/>
        </w:rPr>
        <w:t>the delay requirement for MAC CE based UL TCI state switch with known/unknown condition</w:t>
      </w:r>
      <w:r w:rsidR="00042637">
        <w:rPr>
          <w:rFonts w:eastAsia="新細明體" w:cstheme="minorHAnsi"/>
          <w:szCs w:val="24"/>
        </w:rPr>
        <w:t xml:space="preserve">. </w:t>
      </w:r>
      <w:r w:rsidR="00173B5A">
        <w:rPr>
          <w:rFonts w:eastAsia="新細明體" w:cstheme="minorHAnsi"/>
          <w:szCs w:val="24"/>
        </w:rPr>
        <w:t>O</w:t>
      </w:r>
      <w:r w:rsidR="00AC03FF" w:rsidRPr="0035409E">
        <w:rPr>
          <w:rFonts w:eastAsia="新細明體" w:cstheme="minorHAnsi"/>
          <w:szCs w:val="24"/>
        </w:rPr>
        <w:t xml:space="preserve">ur views on </w:t>
      </w:r>
      <w:r w:rsidR="0057215D">
        <w:rPr>
          <w:rFonts w:eastAsia="新細明體" w:cstheme="minorHAnsi"/>
          <w:szCs w:val="24"/>
        </w:rPr>
        <w:t>the</w:t>
      </w:r>
      <w:r w:rsidR="00173B5A">
        <w:rPr>
          <w:rFonts w:eastAsia="新細明體" w:cstheme="minorHAnsi"/>
          <w:szCs w:val="24"/>
        </w:rPr>
        <w:t xml:space="preserve"> </w:t>
      </w:r>
      <w:r w:rsidR="0057215D">
        <w:rPr>
          <w:rFonts w:eastAsia="新細明體" w:cstheme="minorHAnsi"/>
          <w:szCs w:val="24"/>
        </w:rPr>
        <w:t>definition of beam alignment</w:t>
      </w:r>
      <w:r w:rsidR="00173B5A">
        <w:rPr>
          <w:rFonts w:eastAsia="新細明體" w:cstheme="minorHAnsi"/>
          <w:szCs w:val="24"/>
        </w:rPr>
        <w:t xml:space="preserve">, </w:t>
      </w:r>
      <w:r w:rsidR="0057215D">
        <w:rPr>
          <w:rFonts w:eastAsia="新細明體" w:cstheme="minorHAnsi"/>
          <w:szCs w:val="24"/>
        </w:rPr>
        <w:t xml:space="preserve">conditions of </w:t>
      </w:r>
      <w:r w:rsidR="00173B5A">
        <w:rPr>
          <w:rFonts w:eastAsia="新細明體" w:cstheme="minorHAnsi"/>
          <w:szCs w:val="24"/>
        </w:rPr>
        <w:t>TCI switching for a cell with PCI different from a serving cell (</w:t>
      </w:r>
      <w:r w:rsidR="002B5C17">
        <w:rPr>
          <w:rFonts w:eastAsia="新細明體" w:cstheme="minorHAnsi"/>
          <w:szCs w:val="24"/>
        </w:rPr>
        <w:t xml:space="preserve">i.e. </w:t>
      </w:r>
      <w:r w:rsidR="00173B5A">
        <w:rPr>
          <w:rFonts w:eastAsia="新細明體" w:cstheme="minorHAnsi"/>
          <w:szCs w:val="24"/>
        </w:rPr>
        <w:t>non-serving cell) and</w:t>
      </w:r>
      <w:r w:rsidR="00173B5A" w:rsidRPr="00173B5A">
        <w:rPr>
          <w:rFonts w:eastAsia="新細明體" w:cstheme="minorHAnsi"/>
          <w:szCs w:val="24"/>
        </w:rPr>
        <w:t xml:space="preserve"> </w:t>
      </w:r>
      <w:r w:rsidR="00173B5A">
        <w:rPr>
          <w:rFonts w:eastAsia="新細明體" w:cstheme="minorHAnsi"/>
          <w:szCs w:val="24"/>
        </w:rPr>
        <w:t>TCI state switch delay requirement for CA</w:t>
      </w:r>
      <w:r w:rsidR="00FF515A" w:rsidRPr="0035409E">
        <w:rPr>
          <w:rFonts w:eastAsia="新細明體" w:cstheme="minorHAnsi"/>
          <w:szCs w:val="24"/>
        </w:rPr>
        <w:t xml:space="preserve"> </w:t>
      </w:r>
      <w:r w:rsidR="00AC03FF" w:rsidRPr="0035409E">
        <w:rPr>
          <w:rFonts w:eastAsia="新細明體" w:cstheme="minorHAnsi"/>
          <w:szCs w:val="24"/>
        </w:rPr>
        <w:t>are provided</w:t>
      </w:r>
      <w:r w:rsidR="00173B5A">
        <w:rPr>
          <w:rFonts w:eastAsia="新細明體" w:cstheme="minorHAnsi"/>
          <w:szCs w:val="24"/>
        </w:rPr>
        <w:t xml:space="preserve"> in this paper</w:t>
      </w:r>
      <w:r w:rsidR="007366FE">
        <w:rPr>
          <w:rFonts w:eastAsia="新細明體" w:cstheme="minorHAnsi"/>
          <w:szCs w:val="24"/>
        </w:rPr>
        <w:t>.</w:t>
      </w:r>
    </w:p>
    <w:p w14:paraId="3D899909" w14:textId="77777777" w:rsidR="005575F9" w:rsidRPr="00DA469A" w:rsidRDefault="00C51F3B" w:rsidP="00FB4AB0">
      <w:pPr>
        <w:pStyle w:val="1"/>
        <w:numPr>
          <w:ilvl w:val="0"/>
          <w:numId w:val="1"/>
        </w:numPr>
        <w:jc w:val="both"/>
        <w:rPr>
          <w:rFonts w:asciiTheme="minorHAnsi" w:hAnsiTheme="minorHAnsi" w:cstheme="minorHAnsi"/>
          <w:szCs w:val="36"/>
        </w:rPr>
      </w:pPr>
      <w:r w:rsidRPr="00DA469A">
        <w:rPr>
          <w:rFonts w:asciiTheme="minorHAnsi" w:hAnsiTheme="minorHAnsi" w:cstheme="minorHAnsi"/>
          <w:szCs w:val="36"/>
        </w:rPr>
        <w:t>Dis</w:t>
      </w:r>
      <w:r w:rsidR="0076676F" w:rsidRPr="00DA469A">
        <w:rPr>
          <w:rFonts w:asciiTheme="minorHAnsi" w:hAnsiTheme="minorHAnsi" w:cstheme="minorHAnsi"/>
          <w:szCs w:val="36"/>
        </w:rPr>
        <w:t>cu</w:t>
      </w:r>
      <w:r w:rsidRPr="00DA469A">
        <w:rPr>
          <w:rFonts w:asciiTheme="minorHAnsi" w:hAnsiTheme="minorHAnsi" w:cstheme="minorHAnsi"/>
          <w:szCs w:val="36"/>
        </w:rPr>
        <w:t>ssion</w:t>
      </w:r>
    </w:p>
    <w:p w14:paraId="42ABB5A5" w14:textId="798EC24A" w:rsidR="000D71D7" w:rsidRPr="0035409E" w:rsidRDefault="000D71D7" w:rsidP="000D71D7">
      <w:pPr>
        <w:pStyle w:val="2"/>
        <w:rPr>
          <w:rFonts w:asciiTheme="minorHAnsi" w:hAnsiTheme="minorHAnsi" w:cstheme="minorHAnsi"/>
          <w:szCs w:val="32"/>
        </w:rPr>
      </w:pPr>
      <w:r w:rsidRPr="0035409E">
        <w:rPr>
          <w:rFonts w:asciiTheme="minorHAnsi" w:hAnsiTheme="minorHAnsi" w:cstheme="minorHAnsi"/>
          <w:szCs w:val="32"/>
        </w:rPr>
        <w:t xml:space="preserve">2.1 </w:t>
      </w:r>
      <w:r w:rsidR="00173B5A">
        <w:rPr>
          <w:rFonts w:asciiTheme="minorHAnsi" w:hAnsiTheme="minorHAnsi" w:cstheme="minorHAnsi"/>
          <w:szCs w:val="32"/>
        </w:rPr>
        <w:t>Beam alignment</w:t>
      </w:r>
    </w:p>
    <w:p w14:paraId="48030CC4" w14:textId="1030DCEC" w:rsidR="0045702C" w:rsidRDefault="00126BC0" w:rsidP="000D71D7">
      <w:pPr>
        <w:jc w:val="both"/>
        <w:rPr>
          <w:rFonts w:eastAsia="新細明體" w:cstheme="minorHAnsi"/>
          <w:szCs w:val="24"/>
          <w:lang w:val="en-GB"/>
        </w:rPr>
      </w:pPr>
      <w:r>
        <w:rPr>
          <w:rFonts w:eastAsia="新細明體" w:cstheme="minorHAnsi"/>
          <w:szCs w:val="24"/>
          <w:lang w:val="en-GB"/>
        </w:rPr>
        <w:t>There is one open issue regarding the definition of the beam alignment in the last meeting.</w:t>
      </w:r>
    </w:p>
    <w:p w14:paraId="3D97F545" w14:textId="77777777" w:rsidR="00126BC0" w:rsidRDefault="00126BC0" w:rsidP="000D71D7">
      <w:pPr>
        <w:jc w:val="both"/>
        <w:rPr>
          <w:rFonts w:eastAsia="新細明體" w:cstheme="minorHAnsi"/>
          <w:szCs w:val="24"/>
          <w:lang w:val="en-GB"/>
        </w:rPr>
      </w:pPr>
    </w:p>
    <w:tbl>
      <w:tblPr>
        <w:tblStyle w:val="af7"/>
        <w:tblW w:w="0" w:type="auto"/>
        <w:tblLook w:val="04A0" w:firstRow="1" w:lastRow="0" w:firstColumn="1" w:lastColumn="0" w:noHBand="0" w:noVBand="1"/>
      </w:tblPr>
      <w:tblGrid>
        <w:gridCol w:w="9629"/>
      </w:tblGrid>
      <w:tr w:rsidR="00126BC0" w14:paraId="41D521B6" w14:textId="77777777" w:rsidTr="00126BC0">
        <w:tc>
          <w:tcPr>
            <w:tcW w:w="9629" w:type="dxa"/>
          </w:tcPr>
          <w:p w14:paraId="234579FF" w14:textId="77777777" w:rsidR="00126BC0" w:rsidRDefault="00126BC0" w:rsidP="00126BC0">
            <w:pPr>
              <w:pStyle w:val="af5"/>
              <w:numPr>
                <w:ilvl w:val="0"/>
                <w:numId w:val="7"/>
              </w:numPr>
              <w:ind w:hanging="357"/>
              <w:contextualSpacing w:val="0"/>
              <w:rPr>
                <w:lang w:val="sv-SE"/>
              </w:rPr>
            </w:pPr>
            <w:r>
              <w:rPr>
                <w:lang w:val="sv-SE"/>
              </w:rPr>
              <w:t>RAN4 will further study and confirm the below beam alignment defination as applicability scenario for uplink TCI switching requirements</w:t>
            </w:r>
          </w:p>
          <w:p w14:paraId="3B66027B" w14:textId="77777777" w:rsidR="00126BC0" w:rsidRPr="009B4958" w:rsidRDefault="00126BC0" w:rsidP="00126BC0">
            <w:pPr>
              <w:pStyle w:val="af5"/>
              <w:numPr>
                <w:ilvl w:val="1"/>
                <w:numId w:val="7"/>
              </w:numPr>
              <w:ind w:hanging="357"/>
              <w:contextualSpacing w:val="0"/>
              <w:rPr>
                <w:lang w:val="sv-SE"/>
              </w:rPr>
            </w:pPr>
            <w:r w:rsidRPr="009B4958">
              <w:rPr>
                <w:lang w:val="sv-SE"/>
              </w:rPr>
              <w:t>If PL-RS is included in UL TCI or joint TCI, PL-RS is identical to the source RS in UL or joint TCI</w:t>
            </w:r>
          </w:p>
          <w:p w14:paraId="59699064" w14:textId="3382A5CD" w:rsidR="00126BC0" w:rsidRPr="00126BC0" w:rsidRDefault="00126BC0" w:rsidP="00126BC0">
            <w:pPr>
              <w:pStyle w:val="af5"/>
              <w:numPr>
                <w:ilvl w:val="1"/>
                <w:numId w:val="7"/>
              </w:numPr>
              <w:ind w:hanging="357"/>
              <w:contextualSpacing w:val="0"/>
              <w:rPr>
                <w:lang w:val="sv-SE"/>
              </w:rPr>
            </w:pPr>
            <w:r w:rsidRPr="009B4958">
              <w:rPr>
                <w:lang w:val="sv-SE"/>
              </w:rPr>
              <w:t>If PL-RS is associated UL TCI or joint TCI, PL-RS and source RS in UL or joint TCI is QCL-Type D.</w:t>
            </w:r>
          </w:p>
        </w:tc>
      </w:tr>
    </w:tbl>
    <w:p w14:paraId="160F270E" w14:textId="77777777" w:rsidR="00126BC0" w:rsidRPr="00126BC0" w:rsidRDefault="00126BC0" w:rsidP="000D71D7">
      <w:pPr>
        <w:jc w:val="both"/>
        <w:rPr>
          <w:rFonts w:eastAsia="新細明體" w:cstheme="minorHAnsi"/>
          <w:szCs w:val="24"/>
          <w:lang w:val="en-GB"/>
        </w:rPr>
      </w:pPr>
    </w:p>
    <w:p w14:paraId="503AFA51" w14:textId="5686C38E" w:rsidR="001232AB" w:rsidRDefault="00B938FA" w:rsidP="000D71D7">
      <w:pPr>
        <w:jc w:val="both"/>
        <w:rPr>
          <w:rFonts w:eastAsia="新細明體" w:cstheme="minorHAnsi"/>
          <w:szCs w:val="24"/>
          <w:lang w:val="en-GB"/>
        </w:rPr>
      </w:pPr>
      <w:r>
        <w:rPr>
          <w:rFonts w:eastAsia="新細明體" w:cstheme="minorHAnsi"/>
          <w:szCs w:val="24"/>
          <w:lang w:val="en-GB"/>
        </w:rPr>
        <w:t xml:space="preserve">To our understanding, the delay requirement for both cases are the same. Because </w:t>
      </w:r>
      <w:r w:rsidR="00126BC0">
        <w:rPr>
          <w:rFonts w:eastAsia="新細明體" w:cstheme="minorHAnsi"/>
          <w:szCs w:val="24"/>
          <w:lang w:val="en-GB"/>
        </w:rPr>
        <w:t>regardless PL-RS is same as</w:t>
      </w:r>
      <w:r>
        <w:rPr>
          <w:rFonts w:eastAsia="新細明體" w:cstheme="minorHAnsi"/>
          <w:szCs w:val="24"/>
          <w:lang w:val="en-GB"/>
        </w:rPr>
        <w:t xml:space="preserve"> the RS associated</w:t>
      </w:r>
      <w:r w:rsidR="00126BC0">
        <w:rPr>
          <w:rFonts w:eastAsia="新細明體" w:cstheme="minorHAnsi"/>
          <w:szCs w:val="24"/>
          <w:lang w:val="en-GB"/>
        </w:rPr>
        <w:t xml:space="preserve"> </w:t>
      </w:r>
      <w:r>
        <w:rPr>
          <w:rFonts w:eastAsia="新細明體" w:cstheme="minorHAnsi"/>
          <w:szCs w:val="24"/>
          <w:lang w:val="en-GB"/>
        </w:rPr>
        <w:t xml:space="preserve">with </w:t>
      </w:r>
      <w:r w:rsidR="00126BC0">
        <w:rPr>
          <w:rFonts w:eastAsia="新細明體" w:cstheme="minorHAnsi"/>
          <w:szCs w:val="24"/>
          <w:lang w:val="en-GB"/>
        </w:rPr>
        <w:t>UL TCI state or PL-RS is QCL Type-D with</w:t>
      </w:r>
      <w:r>
        <w:rPr>
          <w:rFonts w:eastAsia="新細明體" w:cstheme="minorHAnsi"/>
          <w:szCs w:val="24"/>
          <w:lang w:val="en-GB"/>
        </w:rPr>
        <w:t xml:space="preserve"> the RS associated with</w:t>
      </w:r>
      <w:r w:rsidR="00126BC0">
        <w:rPr>
          <w:rFonts w:eastAsia="新細明體" w:cstheme="minorHAnsi"/>
          <w:szCs w:val="24"/>
          <w:lang w:val="en-GB"/>
        </w:rPr>
        <w:t xml:space="preserve"> UL TCI state, the PL-RS will be measured based on the same beam as UL TCI state</w:t>
      </w:r>
      <w:r w:rsidR="001232AB">
        <w:rPr>
          <w:rFonts w:eastAsia="新細明體" w:cstheme="minorHAnsi"/>
          <w:szCs w:val="24"/>
          <w:lang w:val="en-GB"/>
        </w:rPr>
        <w:t>.</w:t>
      </w:r>
      <w:r>
        <w:rPr>
          <w:rFonts w:eastAsia="新細明體" w:cstheme="minorHAnsi"/>
          <w:szCs w:val="24"/>
          <w:lang w:val="en-GB"/>
        </w:rPr>
        <w:t xml:space="preserve"> Thus, from the delay requirement perspective, both cases are beam alignment case.</w:t>
      </w:r>
    </w:p>
    <w:p w14:paraId="0A143857" w14:textId="77777777" w:rsidR="00B938FA" w:rsidRDefault="00B938FA" w:rsidP="000D71D7">
      <w:pPr>
        <w:jc w:val="both"/>
        <w:rPr>
          <w:rFonts w:eastAsia="新細明體" w:cstheme="minorHAnsi"/>
          <w:szCs w:val="24"/>
          <w:lang w:val="en-GB"/>
        </w:rPr>
      </w:pPr>
    </w:p>
    <w:p w14:paraId="41FEDA4E" w14:textId="434ABE05" w:rsidR="001232AB" w:rsidRDefault="001232AB" w:rsidP="001232AB">
      <w:pPr>
        <w:pStyle w:val="af1"/>
        <w:jc w:val="both"/>
        <w:rPr>
          <w:sz w:val="24"/>
          <w:szCs w:val="24"/>
        </w:rPr>
      </w:pPr>
      <w:bookmarkStart w:id="2" w:name="_Ref95410624"/>
      <w:r w:rsidRPr="0035409E">
        <w:rPr>
          <w:sz w:val="24"/>
          <w:szCs w:val="24"/>
        </w:rPr>
        <w:t xml:space="preserve">Proposal </w:t>
      </w:r>
      <w:r w:rsidRPr="0035409E">
        <w:rPr>
          <w:sz w:val="24"/>
          <w:szCs w:val="24"/>
        </w:rPr>
        <w:fldChar w:fldCharType="begin"/>
      </w:r>
      <w:r w:rsidRPr="0035409E">
        <w:rPr>
          <w:sz w:val="24"/>
          <w:szCs w:val="24"/>
        </w:rPr>
        <w:instrText xml:space="preserve"> SEQ Proposal \* ARABIC </w:instrText>
      </w:r>
      <w:r w:rsidRPr="0035409E">
        <w:rPr>
          <w:sz w:val="24"/>
          <w:szCs w:val="24"/>
        </w:rPr>
        <w:fldChar w:fldCharType="separate"/>
      </w:r>
      <w:r w:rsidR="00B635F7">
        <w:rPr>
          <w:noProof/>
          <w:sz w:val="24"/>
          <w:szCs w:val="24"/>
        </w:rPr>
        <w:t>1</w:t>
      </w:r>
      <w:r w:rsidRPr="0035409E">
        <w:rPr>
          <w:noProof/>
          <w:sz w:val="24"/>
          <w:szCs w:val="24"/>
        </w:rPr>
        <w:fldChar w:fldCharType="end"/>
      </w:r>
      <w:r w:rsidRPr="0035409E">
        <w:rPr>
          <w:sz w:val="24"/>
          <w:szCs w:val="24"/>
        </w:rPr>
        <w:t xml:space="preserve">: </w:t>
      </w:r>
      <w:r>
        <w:rPr>
          <w:sz w:val="24"/>
          <w:szCs w:val="24"/>
        </w:rPr>
        <w:t xml:space="preserve">The definition of </w:t>
      </w:r>
      <w:r w:rsidRPr="001232AB">
        <w:rPr>
          <w:sz w:val="24"/>
          <w:szCs w:val="24"/>
        </w:rPr>
        <w:t xml:space="preserve">beam alignment </w:t>
      </w:r>
      <w:r>
        <w:rPr>
          <w:sz w:val="24"/>
          <w:szCs w:val="24"/>
        </w:rPr>
        <w:t>is as following:</w:t>
      </w:r>
      <w:bookmarkEnd w:id="2"/>
    </w:p>
    <w:p w14:paraId="392960BB" w14:textId="77777777" w:rsidR="001232AB" w:rsidRPr="001232AB" w:rsidRDefault="001232AB" w:rsidP="001232AB">
      <w:pPr>
        <w:pStyle w:val="af5"/>
        <w:numPr>
          <w:ilvl w:val="1"/>
          <w:numId w:val="7"/>
        </w:numPr>
        <w:ind w:hanging="357"/>
        <w:contextualSpacing w:val="0"/>
        <w:rPr>
          <w:b/>
          <w:szCs w:val="24"/>
          <w:lang w:eastAsia="zh-TW"/>
        </w:rPr>
      </w:pPr>
      <w:r w:rsidRPr="001232AB">
        <w:rPr>
          <w:b/>
          <w:szCs w:val="24"/>
          <w:lang w:eastAsia="zh-TW"/>
        </w:rPr>
        <w:t>If PL-RS is included in UL TCI or joint TCI, PL-RS is identical to the source RS in UL or joint TCI</w:t>
      </w:r>
    </w:p>
    <w:p w14:paraId="1B97022B" w14:textId="0370B237" w:rsidR="001232AB" w:rsidRPr="001232AB" w:rsidRDefault="001232AB" w:rsidP="001232AB">
      <w:pPr>
        <w:pStyle w:val="af5"/>
        <w:numPr>
          <w:ilvl w:val="1"/>
          <w:numId w:val="7"/>
        </w:numPr>
        <w:rPr>
          <w:b/>
          <w:szCs w:val="24"/>
          <w:lang w:eastAsia="zh-TW"/>
        </w:rPr>
      </w:pPr>
      <w:r w:rsidRPr="001232AB">
        <w:rPr>
          <w:b/>
          <w:szCs w:val="24"/>
          <w:lang w:eastAsia="zh-TW"/>
        </w:rPr>
        <w:t>If PL-RS is associated UL TCI or joint TCI, PL-RS and source RS in UL or joint TCI is QCL-Type D.</w:t>
      </w:r>
    </w:p>
    <w:p w14:paraId="3B31EBBB" w14:textId="77777777" w:rsidR="00126BC0" w:rsidRPr="00126BC0" w:rsidRDefault="00126BC0" w:rsidP="000D71D7">
      <w:pPr>
        <w:jc w:val="both"/>
        <w:rPr>
          <w:rFonts w:eastAsia="新細明體" w:cstheme="minorHAnsi"/>
          <w:szCs w:val="24"/>
          <w:lang w:val="en-GB"/>
        </w:rPr>
      </w:pPr>
    </w:p>
    <w:p w14:paraId="7A0B41E0" w14:textId="2C0B6E30" w:rsidR="00173B5A" w:rsidRPr="0035409E" w:rsidRDefault="00173B5A" w:rsidP="00173B5A">
      <w:pPr>
        <w:pStyle w:val="2"/>
        <w:rPr>
          <w:rFonts w:asciiTheme="minorHAnsi" w:hAnsiTheme="minorHAnsi" w:cstheme="minorHAnsi"/>
          <w:szCs w:val="32"/>
        </w:rPr>
      </w:pPr>
      <w:r w:rsidRPr="0035409E">
        <w:rPr>
          <w:rFonts w:asciiTheme="minorHAnsi" w:hAnsiTheme="minorHAnsi" w:cstheme="minorHAnsi"/>
          <w:szCs w:val="32"/>
        </w:rPr>
        <w:t>2.</w:t>
      </w:r>
      <w:r>
        <w:rPr>
          <w:rFonts w:asciiTheme="minorHAnsi" w:hAnsiTheme="minorHAnsi" w:cstheme="minorHAnsi"/>
          <w:szCs w:val="32"/>
        </w:rPr>
        <w:t>2</w:t>
      </w:r>
      <w:r w:rsidRPr="0035409E">
        <w:rPr>
          <w:rFonts w:asciiTheme="minorHAnsi" w:hAnsiTheme="minorHAnsi" w:cstheme="minorHAnsi"/>
          <w:szCs w:val="32"/>
        </w:rPr>
        <w:t xml:space="preserve"> </w:t>
      </w:r>
      <w:r w:rsidRPr="00173B5A">
        <w:rPr>
          <w:rFonts w:asciiTheme="minorHAnsi" w:hAnsiTheme="minorHAnsi" w:cstheme="minorHAnsi"/>
          <w:szCs w:val="32"/>
        </w:rPr>
        <w:t>TCI state-pair indication</w:t>
      </w:r>
      <w:r w:rsidR="00647117">
        <w:rPr>
          <w:rFonts w:asciiTheme="minorHAnsi" w:hAnsiTheme="minorHAnsi" w:cstheme="minorHAnsi"/>
          <w:szCs w:val="32"/>
        </w:rPr>
        <w:t xml:space="preserve"> for separate mode</w:t>
      </w:r>
    </w:p>
    <w:p w14:paraId="18C1BF3B" w14:textId="27F92266" w:rsidR="00173B5A" w:rsidRDefault="00173B5A" w:rsidP="000D71D7">
      <w:pPr>
        <w:jc w:val="both"/>
        <w:rPr>
          <w:rFonts w:eastAsia="新細明體" w:cstheme="minorHAnsi"/>
          <w:szCs w:val="24"/>
          <w:lang w:val="en-GB"/>
        </w:rPr>
      </w:pPr>
      <w:r>
        <w:rPr>
          <w:rFonts w:eastAsia="新細明體" w:cstheme="minorHAnsi"/>
          <w:szCs w:val="24"/>
          <w:lang w:val="en-GB"/>
        </w:rPr>
        <w:t xml:space="preserve">For the TCI state-pair indication, network </w:t>
      </w:r>
      <w:r w:rsidR="004139D3">
        <w:rPr>
          <w:rFonts w:eastAsia="新細明體" w:cstheme="minorHAnsi"/>
          <w:szCs w:val="24"/>
          <w:lang w:val="en-GB"/>
        </w:rPr>
        <w:t>will</w:t>
      </w:r>
      <w:r>
        <w:rPr>
          <w:rFonts w:eastAsia="新細明體" w:cstheme="minorHAnsi"/>
          <w:szCs w:val="24"/>
          <w:lang w:val="en-GB"/>
        </w:rPr>
        <w:t xml:space="preserve"> </w:t>
      </w:r>
      <w:r w:rsidR="004139D3">
        <w:rPr>
          <w:rFonts w:eastAsia="新細明體" w:cstheme="minorHAnsi"/>
          <w:szCs w:val="24"/>
          <w:lang w:val="en-GB"/>
        </w:rPr>
        <w:t>indicate</w:t>
      </w:r>
      <w:r>
        <w:rPr>
          <w:rFonts w:eastAsia="新細明體" w:cstheme="minorHAnsi"/>
          <w:szCs w:val="24"/>
          <w:lang w:val="en-GB"/>
        </w:rPr>
        <w:t xml:space="preserve"> a TCI state containing 1 DL TCI state and 1 UL TCI state</w:t>
      </w:r>
      <w:r w:rsidR="004139D3">
        <w:rPr>
          <w:rFonts w:eastAsia="新細明體" w:cstheme="minorHAnsi"/>
          <w:szCs w:val="24"/>
          <w:lang w:val="en-GB"/>
        </w:rPr>
        <w:t>,</w:t>
      </w:r>
      <w:r>
        <w:rPr>
          <w:rFonts w:eastAsia="新細明體" w:cstheme="minorHAnsi"/>
          <w:szCs w:val="24"/>
          <w:lang w:val="en-GB"/>
        </w:rPr>
        <w:t xml:space="preserve"> and the source RSs for the 2 TCIs </w:t>
      </w:r>
      <w:r w:rsidR="00CE798C">
        <w:rPr>
          <w:rFonts w:eastAsia="新細明體" w:cstheme="minorHAnsi"/>
          <w:szCs w:val="24"/>
          <w:lang w:val="en-GB"/>
        </w:rPr>
        <w:t xml:space="preserve">can be </w:t>
      </w:r>
      <w:r>
        <w:rPr>
          <w:rFonts w:eastAsia="新細明體" w:cstheme="minorHAnsi"/>
          <w:szCs w:val="24"/>
          <w:lang w:val="en-GB"/>
        </w:rPr>
        <w:t xml:space="preserve">different. </w:t>
      </w:r>
      <w:r w:rsidR="002B5C17">
        <w:rPr>
          <w:rFonts w:eastAsia="新細明體" w:cstheme="minorHAnsi"/>
          <w:szCs w:val="24"/>
          <w:lang w:val="en-GB"/>
        </w:rPr>
        <w:t>F</w:t>
      </w:r>
      <w:r w:rsidR="00C30EFB">
        <w:rPr>
          <w:rFonts w:eastAsia="新細明體" w:cstheme="minorHAnsi"/>
          <w:szCs w:val="24"/>
          <w:lang w:val="en-GB"/>
        </w:rPr>
        <w:t xml:space="preserve">rom the delay requirement perspective, </w:t>
      </w:r>
      <w:r w:rsidR="002B5C17">
        <w:rPr>
          <w:rFonts w:eastAsia="新細明體" w:cstheme="minorHAnsi"/>
          <w:szCs w:val="24"/>
          <w:lang w:val="en-GB"/>
        </w:rPr>
        <w:t xml:space="preserve">to our understanding, </w:t>
      </w:r>
      <w:r w:rsidR="00C30EFB">
        <w:rPr>
          <w:rFonts w:eastAsia="新細明體" w:cstheme="minorHAnsi"/>
          <w:szCs w:val="24"/>
          <w:lang w:val="en-GB"/>
        </w:rPr>
        <w:t>there is no essential difference</w:t>
      </w:r>
      <w:r w:rsidR="00B627C6">
        <w:rPr>
          <w:rStyle w:val="ab"/>
          <w:rFonts w:eastAsia="MS Mincho"/>
        </w:rPr>
        <w:t xml:space="preserve"> </w:t>
      </w:r>
      <w:r w:rsidR="00647117">
        <w:rPr>
          <w:rFonts w:eastAsia="新細明體" w:cstheme="minorHAnsi" w:hint="eastAsia"/>
          <w:szCs w:val="24"/>
          <w:lang w:val="en-GB"/>
        </w:rPr>
        <w:t>b</w:t>
      </w:r>
      <w:r w:rsidR="00647117">
        <w:rPr>
          <w:rFonts w:eastAsia="新細明體" w:cstheme="minorHAnsi"/>
          <w:szCs w:val="24"/>
          <w:lang w:val="en-GB"/>
        </w:rPr>
        <w:t xml:space="preserve">etween </w:t>
      </w:r>
      <w:r w:rsidR="00C30EFB">
        <w:rPr>
          <w:rFonts w:eastAsia="新細明體" w:cstheme="minorHAnsi"/>
          <w:szCs w:val="24"/>
          <w:lang w:val="en-GB"/>
        </w:rPr>
        <w:t>separate</w:t>
      </w:r>
      <w:r w:rsidR="00647117">
        <w:rPr>
          <w:rFonts w:eastAsia="新細明體" w:cstheme="minorHAnsi"/>
          <w:szCs w:val="24"/>
          <w:lang w:val="en-GB"/>
        </w:rPr>
        <w:t xml:space="preserve"> and </w:t>
      </w:r>
      <w:r w:rsidR="00C30EFB">
        <w:rPr>
          <w:rFonts w:eastAsia="新細明體" w:cstheme="minorHAnsi"/>
          <w:szCs w:val="24"/>
          <w:lang w:val="en-GB"/>
        </w:rPr>
        <w:t>joint mode</w:t>
      </w:r>
      <w:r w:rsidR="00647117">
        <w:rPr>
          <w:rFonts w:eastAsia="新細明體" w:cstheme="minorHAnsi"/>
          <w:szCs w:val="24"/>
          <w:lang w:val="en-GB"/>
        </w:rPr>
        <w:t xml:space="preserve"> which the UL and DL delay requirements are defined independently</w:t>
      </w:r>
      <w:r w:rsidR="00C30EFB">
        <w:rPr>
          <w:rFonts w:eastAsia="新細明體" w:cstheme="minorHAnsi"/>
          <w:szCs w:val="24"/>
          <w:lang w:val="en-GB"/>
        </w:rPr>
        <w:t>. Thus, the following proposal is suggested.</w:t>
      </w:r>
    </w:p>
    <w:p w14:paraId="15C848A7" w14:textId="3F97F82C" w:rsidR="00C30EFB" w:rsidRDefault="00C30EFB" w:rsidP="000D71D7">
      <w:pPr>
        <w:jc w:val="both"/>
        <w:rPr>
          <w:rFonts w:eastAsia="新細明體" w:cstheme="minorHAnsi"/>
          <w:szCs w:val="24"/>
          <w:lang w:val="en-GB"/>
        </w:rPr>
      </w:pPr>
    </w:p>
    <w:p w14:paraId="1328288B" w14:textId="645DBFD3" w:rsidR="00C30EFB" w:rsidRPr="0035409E" w:rsidRDefault="00C30EFB" w:rsidP="00C30EFB">
      <w:pPr>
        <w:pStyle w:val="af1"/>
        <w:jc w:val="both"/>
        <w:rPr>
          <w:rFonts w:eastAsia="新細明體" w:cstheme="minorHAnsi"/>
          <w:sz w:val="24"/>
          <w:szCs w:val="24"/>
          <w:lang w:val="en-GB"/>
        </w:rPr>
      </w:pPr>
      <w:bookmarkStart w:id="3" w:name="_Ref95410633"/>
      <w:r w:rsidRPr="0035409E">
        <w:rPr>
          <w:sz w:val="24"/>
          <w:szCs w:val="24"/>
        </w:rPr>
        <w:t xml:space="preserve">Proposal </w:t>
      </w:r>
      <w:r w:rsidRPr="0035409E">
        <w:rPr>
          <w:sz w:val="24"/>
          <w:szCs w:val="24"/>
        </w:rPr>
        <w:fldChar w:fldCharType="begin"/>
      </w:r>
      <w:r w:rsidRPr="0035409E">
        <w:rPr>
          <w:sz w:val="24"/>
          <w:szCs w:val="24"/>
        </w:rPr>
        <w:instrText xml:space="preserve"> SEQ Proposal \* ARABIC </w:instrText>
      </w:r>
      <w:r w:rsidRPr="0035409E">
        <w:rPr>
          <w:sz w:val="24"/>
          <w:szCs w:val="24"/>
        </w:rPr>
        <w:fldChar w:fldCharType="separate"/>
      </w:r>
      <w:r w:rsidR="00B635F7">
        <w:rPr>
          <w:noProof/>
          <w:sz w:val="24"/>
          <w:szCs w:val="24"/>
        </w:rPr>
        <w:t>2</w:t>
      </w:r>
      <w:r w:rsidRPr="0035409E">
        <w:rPr>
          <w:noProof/>
          <w:sz w:val="24"/>
          <w:szCs w:val="24"/>
        </w:rPr>
        <w:fldChar w:fldCharType="end"/>
      </w:r>
      <w:r w:rsidRPr="0035409E">
        <w:rPr>
          <w:sz w:val="24"/>
          <w:szCs w:val="24"/>
        </w:rPr>
        <w:t xml:space="preserve">: </w:t>
      </w:r>
      <w:r>
        <w:rPr>
          <w:sz w:val="24"/>
          <w:szCs w:val="24"/>
        </w:rPr>
        <w:t xml:space="preserve">For the </w:t>
      </w:r>
      <w:r w:rsidR="002B5C17">
        <w:rPr>
          <w:sz w:val="24"/>
          <w:szCs w:val="24"/>
        </w:rPr>
        <w:t xml:space="preserve">MAC CE based and DCI based </w:t>
      </w:r>
      <w:r>
        <w:rPr>
          <w:sz w:val="24"/>
          <w:szCs w:val="24"/>
        </w:rPr>
        <w:t>TCI state-pair indication, t</w:t>
      </w:r>
      <w:r w:rsidRPr="00C30EFB">
        <w:rPr>
          <w:sz w:val="24"/>
          <w:szCs w:val="24"/>
        </w:rPr>
        <w:t xml:space="preserve">he TCI state switching </w:t>
      </w:r>
      <w:r w:rsidRPr="00C30EFB">
        <w:rPr>
          <w:sz w:val="24"/>
          <w:szCs w:val="24"/>
        </w:rPr>
        <w:lastRenderedPageBreak/>
        <w:t xml:space="preserve">delay requirement can be defined for UL TCI and DL TCI switching </w:t>
      </w:r>
      <w:r w:rsidR="00647117">
        <w:rPr>
          <w:sz w:val="24"/>
          <w:szCs w:val="24"/>
        </w:rPr>
        <w:t>independently</w:t>
      </w:r>
      <w:r w:rsidRPr="00CD3CBF">
        <w:rPr>
          <w:sz w:val="24"/>
          <w:szCs w:val="24"/>
        </w:rPr>
        <w:t>.</w:t>
      </w:r>
      <w:bookmarkEnd w:id="3"/>
    </w:p>
    <w:p w14:paraId="44189117" w14:textId="77777777" w:rsidR="00C30EFB" w:rsidRPr="00C30EFB" w:rsidRDefault="00C30EFB" w:rsidP="000D71D7">
      <w:pPr>
        <w:jc w:val="both"/>
        <w:rPr>
          <w:rFonts w:eastAsia="新細明體" w:cstheme="minorHAnsi"/>
          <w:szCs w:val="24"/>
          <w:lang w:val="en-GB"/>
        </w:rPr>
      </w:pPr>
    </w:p>
    <w:p w14:paraId="53BC3C30" w14:textId="76A4BBBB" w:rsidR="0036502D" w:rsidRPr="0036502D" w:rsidRDefault="002B5C17" w:rsidP="0036502D">
      <w:pPr>
        <w:pStyle w:val="2"/>
        <w:rPr>
          <w:rFonts w:asciiTheme="minorHAnsi" w:hAnsiTheme="minorHAnsi" w:cstheme="minorHAnsi"/>
          <w:szCs w:val="32"/>
        </w:rPr>
      </w:pPr>
      <w:r w:rsidRPr="0035409E">
        <w:rPr>
          <w:rFonts w:asciiTheme="minorHAnsi" w:hAnsiTheme="minorHAnsi" w:cstheme="minorHAnsi"/>
          <w:szCs w:val="32"/>
        </w:rPr>
        <w:t>2.</w:t>
      </w:r>
      <w:r>
        <w:rPr>
          <w:rFonts w:asciiTheme="minorHAnsi" w:hAnsiTheme="minorHAnsi" w:cstheme="minorHAnsi"/>
          <w:szCs w:val="32"/>
        </w:rPr>
        <w:t>3</w:t>
      </w:r>
      <w:r w:rsidRPr="0035409E">
        <w:rPr>
          <w:rFonts w:asciiTheme="minorHAnsi" w:hAnsiTheme="minorHAnsi" w:cstheme="minorHAnsi"/>
          <w:szCs w:val="32"/>
        </w:rPr>
        <w:t xml:space="preserve"> </w:t>
      </w:r>
      <w:r>
        <w:rPr>
          <w:rFonts w:asciiTheme="minorHAnsi" w:hAnsiTheme="minorHAnsi" w:cstheme="minorHAnsi"/>
          <w:szCs w:val="32"/>
        </w:rPr>
        <w:t>switching delay requirement for non-serving cell</w:t>
      </w:r>
    </w:p>
    <w:p w14:paraId="4DB75448" w14:textId="627BD3EC" w:rsidR="0036502D" w:rsidRDefault="0036502D" w:rsidP="000D71D7">
      <w:pPr>
        <w:jc w:val="both"/>
        <w:rPr>
          <w:rFonts w:eastAsia="新細明體" w:cstheme="minorHAnsi"/>
          <w:szCs w:val="24"/>
          <w:lang w:val="en-GB"/>
        </w:rPr>
      </w:pPr>
      <w:r>
        <w:rPr>
          <w:rFonts w:eastAsia="新細明體" w:cstheme="minorHAnsi"/>
          <w:szCs w:val="24"/>
          <w:lang w:val="en-GB"/>
        </w:rPr>
        <w:t xml:space="preserve">In this section, we would like to clarify two issues. The first one is the BWP configuration of non-serving cell and the second one is the delay requirement of TCI state switch for unknown non-serving cell. </w:t>
      </w:r>
    </w:p>
    <w:p w14:paraId="015A3782" w14:textId="3406C8BA" w:rsidR="0036502D" w:rsidRDefault="0036502D" w:rsidP="000D71D7">
      <w:pPr>
        <w:jc w:val="both"/>
        <w:rPr>
          <w:rFonts w:eastAsia="新細明體" w:cstheme="minorHAnsi"/>
          <w:szCs w:val="24"/>
          <w:lang w:val="en-GB"/>
        </w:rPr>
      </w:pPr>
    </w:p>
    <w:p w14:paraId="034F586C" w14:textId="15FFDA57" w:rsidR="0036502D" w:rsidRPr="0036502D" w:rsidRDefault="0036502D" w:rsidP="000D71D7">
      <w:pPr>
        <w:jc w:val="both"/>
        <w:rPr>
          <w:rFonts w:eastAsia="新細明體" w:cstheme="minorHAnsi"/>
          <w:b/>
          <w:bCs/>
          <w:szCs w:val="24"/>
          <w:u w:val="single"/>
          <w:lang w:val="en-GB"/>
        </w:rPr>
      </w:pPr>
      <w:r w:rsidRPr="0036502D">
        <w:rPr>
          <w:rFonts w:eastAsia="新細明體" w:cstheme="minorHAnsi"/>
          <w:b/>
          <w:bCs/>
          <w:szCs w:val="24"/>
          <w:u w:val="single"/>
          <w:lang w:val="en-GB"/>
        </w:rPr>
        <w:t>BWP configuration of non-serving cell</w:t>
      </w:r>
    </w:p>
    <w:p w14:paraId="6F7E972D" w14:textId="77777777" w:rsidR="0036502D" w:rsidRDefault="0036502D" w:rsidP="000D71D7">
      <w:pPr>
        <w:jc w:val="both"/>
        <w:rPr>
          <w:rFonts w:eastAsia="新細明體" w:cstheme="minorHAnsi"/>
          <w:szCs w:val="24"/>
          <w:lang w:val="en-GB"/>
        </w:rPr>
      </w:pPr>
    </w:p>
    <w:p w14:paraId="41E989A0" w14:textId="0134F0A4" w:rsidR="00173B5A" w:rsidRDefault="002B5C17" w:rsidP="000D71D7">
      <w:pPr>
        <w:jc w:val="both"/>
        <w:rPr>
          <w:rFonts w:eastAsia="新細明體" w:cstheme="minorHAnsi"/>
          <w:szCs w:val="24"/>
          <w:lang w:val="en-GB"/>
        </w:rPr>
      </w:pPr>
      <w:r>
        <w:rPr>
          <w:rFonts w:eastAsia="新細明體" w:cstheme="minorHAnsi" w:hint="eastAsia"/>
          <w:szCs w:val="24"/>
          <w:lang w:val="en-GB"/>
        </w:rPr>
        <w:t>I</w:t>
      </w:r>
      <w:r>
        <w:rPr>
          <w:rFonts w:eastAsia="新細明體" w:cstheme="minorHAnsi"/>
          <w:szCs w:val="24"/>
          <w:lang w:val="en-GB"/>
        </w:rPr>
        <w:t xml:space="preserve">n the last meeting, RAN4 </w:t>
      </w:r>
      <w:r w:rsidR="00B938FA">
        <w:rPr>
          <w:rFonts w:eastAsia="新細明體" w:cstheme="minorHAnsi"/>
          <w:szCs w:val="24"/>
          <w:lang w:val="en-GB"/>
        </w:rPr>
        <w:t>had the following agreement</w:t>
      </w:r>
      <w:r w:rsidRPr="00B938FA">
        <w:rPr>
          <w:rFonts w:eastAsia="新細明體" w:cstheme="minorHAnsi"/>
          <w:szCs w:val="24"/>
          <w:lang w:val="en-GB"/>
        </w:rPr>
        <w:t>.</w:t>
      </w:r>
      <w:r w:rsidR="0036502D">
        <w:rPr>
          <w:rFonts w:eastAsia="新細明體" w:cstheme="minorHAnsi"/>
          <w:szCs w:val="24"/>
          <w:lang w:val="en-GB"/>
        </w:rPr>
        <w:t xml:space="preserve"> </w:t>
      </w:r>
    </w:p>
    <w:p w14:paraId="7DB86E5E" w14:textId="26CE9A0A" w:rsidR="002B5C17" w:rsidRPr="0036502D" w:rsidRDefault="002B5C17" w:rsidP="000D71D7">
      <w:pPr>
        <w:jc w:val="both"/>
        <w:rPr>
          <w:rFonts w:eastAsia="新細明體" w:cstheme="minorHAnsi"/>
          <w:szCs w:val="24"/>
          <w:lang w:val="en-GB"/>
        </w:rPr>
      </w:pPr>
    </w:p>
    <w:p w14:paraId="5EF82AE0" w14:textId="1D0A8A7D" w:rsidR="002B5C17" w:rsidRPr="00173B5A" w:rsidRDefault="002B5C17" w:rsidP="000D71D7">
      <w:pPr>
        <w:jc w:val="both"/>
        <w:rPr>
          <w:rFonts w:eastAsia="新細明體" w:cstheme="minorHAnsi"/>
          <w:szCs w:val="24"/>
          <w:lang w:val="en-GB"/>
        </w:rPr>
      </w:pPr>
      <w:r>
        <w:rPr>
          <w:rFonts w:eastAsia="新細明體" w:cstheme="minorHAnsi" w:hint="eastAsia"/>
          <w:szCs w:val="24"/>
          <w:lang w:val="en-GB"/>
        </w:rPr>
        <w:t>A</w:t>
      </w:r>
      <w:r>
        <w:rPr>
          <w:rFonts w:eastAsia="新細明體" w:cstheme="minorHAnsi"/>
          <w:szCs w:val="24"/>
          <w:lang w:val="en-GB"/>
        </w:rPr>
        <w:t xml:space="preserve">greement in </w:t>
      </w:r>
      <w:r>
        <w:rPr>
          <w:rFonts w:eastAsia="新細明體" w:cstheme="minorHAnsi"/>
          <w:szCs w:val="24"/>
          <w:lang w:val="en-GB"/>
        </w:rPr>
        <w:fldChar w:fldCharType="begin"/>
      </w:r>
      <w:r>
        <w:rPr>
          <w:rFonts w:eastAsia="新細明體" w:cstheme="minorHAnsi"/>
          <w:szCs w:val="24"/>
          <w:lang w:val="en-GB"/>
        </w:rPr>
        <w:instrText xml:space="preserve"> REF _Ref94781619 \r \h </w:instrText>
      </w:r>
      <w:r>
        <w:rPr>
          <w:rFonts w:eastAsia="新細明體" w:cstheme="minorHAnsi"/>
          <w:szCs w:val="24"/>
          <w:lang w:val="en-GB"/>
        </w:rPr>
      </w:r>
      <w:r>
        <w:rPr>
          <w:rFonts w:eastAsia="新細明體" w:cstheme="minorHAnsi"/>
          <w:szCs w:val="24"/>
          <w:lang w:val="en-GB"/>
        </w:rPr>
        <w:fldChar w:fldCharType="separate"/>
      </w:r>
      <w:r w:rsidR="00B635F7">
        <w:rPr>
          <w:rFonts w:eastAsia="新細明體" w:cstheme="minorHAnsi"/>
          <w:szCs w:val="24"/>
          <w:lang w:val="en-GB"/>
        </w:rPr>
        <w:t>[1]</w:t>
      </w:r>
      <w:r>
        <w:rPr>
          <w:rFonts w:eastAsia="新細明體" w:cstheme="minorHAnsi"/>
          <w:szCs w:val="24"/>
          <w:lang w:val="en-GB"/>
        </w:rPr>
        <w:fldChar w:fldCharType="end"/>
      </w:r>
      <w:r>
        <w:rPr>
          <w:rFonts w:eastAsia="新細明體" w:cstheme="minorHAnsi"/>
          <w:szCs w:val="24"/>
          <w:lang w:val="en-GB"/>
        </w:rPr>
        <w:t>.</w:t>
      </w:r>
    </w:p>
    <w:tbl>
      <w:tblPr>
        <w:tblStyle w:val="af7"/>
        <w:tblW w:w="0" w:type="auto"/>
        <w:tblLook w:val="04A0" w:firstRow="1" w:lastRow="0" w:firstColumn="1" w:lastColumn="0" w:noHBand="0" w:noVBand="1"/>
      </w:tblPr>
      <w:tblGrid>
        <w:gridCol w:w="9629"/>
      </w:tblGrid>
      <w:tr w:rsidR="002B5C17" w14:paraId="2529B0E7" w14:textId="77777777" w:rsidTr="002B5C17">
        <w:tc>
          <w:tcPr>
            <w:tcW w:w="9629" w:type="dxa"/>
          </w:tcPr>
          <w:p w14:paraId="68F8A9FC" w14:textId="77777777" w:rsidR="002B5C17" w:rsidRPr="001100EF" w:rsidRDefault="002B5C17" w:rsidP="00190CF0">
            <w:pPr>
              <w:pStyle w:val="af5"/>
              <w:numPr>
                <w:ilvl w:val="0"/>
                <w:numId w:val="7"/>
              </w:numPr>
              <w:ind w:left="720" w:hanging="357"/>
              <w:contextualSpacing w:val="0"/>
              <w:rPr>
                <w:lang w:val="sv-SE"/>
              </w:rPr>
            </w:pPr>
            <w:r w:rsidRPr="001100EF">
              <w:rPr>
                <w:lang w:val="sv-SE"/>
              </w:rPr>
              <w:t>Switching delay requirements for unified TCI associated with ”NSC”</w:t>
            </w:r>
          </w:p>
          <w:p w14:paraId="269E28E7" w14:textId="77777777" w:rsidR="002B5C17" w:rsidRDefault="002B5C17" w:rsidP="00190CF0">
            <w:pPr>
              <w:pStyle w:val="af5"/>
              <w:numPr>
                <w:ilvl w:val="1"/>
                <w:numId w:val="7"/>
              </w:numPr>
              <w:ind w:left="1440" w:hanging="357"/>
              <w:contextualSpacing w:val="0"/>
              <w:rPr>
                <w:rFonts w:eastAsia="Times New Roman"/>
                <w:bCs/>
                <w:szCs w:val="21"/>
                <w:lang w:val="sv-SE"/>
              </w:rPr>
            </w:pPr>
            <w:r>
              <w:rPr>
                <w:rFonts w:hint="eastAsia"/>
                <w:bCs/>
                <w:szCs w:val="21"/>
                <w:lang w:val="sv-SE" w:eastAsia="zh-CN"/>
              </w:rPr>
              <w:t>N</w:t>
            </w:r>
            <w:r>
              <w:rPr>
                <w:bCs/>
                <w:szCs w:val="21"/>
                <w:lang w:val="sv-SE" w:eastAsia="zh-CN"/>
              </w:rPr>
              <w:t xml:space="preserve">SC in TCI switching delay will be specified as </w:t>
            </w:r>
            <w:r>
              <w:rPr>
                <w:rFonts w:hint="eastAsia"/>
                <w:bCs/>
                <w:szCs w:val="21"/>
                <w:lang w:val="sv-SE" w:eastAsia="zh-CN"/>
              </w:rPr>
              <w:t>“</w:t>
            </w:r>
            <w:r>
              <w:rPr>
                <w:i/>
                <w:iCs/>
                <w:lang w:eastAsia="zh-CN"/>
              </w:rPr>
              <w:t>a cell with PCI different from a serving cel</w:t>
            </w:r>
            <w:r w:rsidRPr="00882F7F">
              <w:rPr>
                <w:i/>
                <w:iCs/>
                <w:lang w:eastAsia="zh-CN"/>
              </w:rPr>
              <w:t>l</w:t>
            </w:r>
            <w:r>
              <w:rPr>
                <w:bCs/>
                <w:szCs w:val="21"/>
                <w:lang w:val="sv-SE" w:eastAsia="zh-CN"/>
              </w:rPr>
              <w:t>”</w:t>
            </w:r>
          </w:p>
          <w:p w14:paraId="1C93DF2A" w14:textId="77777777" w:rsidR="002B5C17" w:rsidRPr="00B938FA" w:rsidRDefault="002B5C17" w:rsidP="00190CF0">
            <w:pPr>
              <w:pStyle w:val="af5"/>
              <w:numPr>
                <w:ilvl w:val="1"/>
                <w:numId w:val="7"/>
              </w:numPr>
              <w:ind w:left="1440" w:hanging="357"/>
              <w:contextualSpacing w:val="0"/>
              <w:rPr>
                <w:rFonts w:eastAsia="Times New Roman"/>
                <w:bCs/>
                <w:szCs w:val="21"/>
                <w:lang w:val="sv-SE"/>
              </w:rPr>
            </w:pPr>
            <w:r w:rsidRPr="005F4781">
              <w:rPr>
                <w:rFonts w:eastAsia="Times New Roman"/>
                <w:bCs/>
                <w:szCs w:val="21"/>
                <w:lang w:val="sv-SE"/>
              </w:rPr>
              <w:t>MAC-CE based</w:t>
            </w:r>
            <w:r>
              <w:rPr>
                <w:rFonts w:eastAsia="Times New Roman"/>
                <w:bCs/>
                <w:szCs w:val="21"/>
                <w:lang w:val="sv-SE"/>
              </w:rPr>
              <w:t xml:space="preserve"> and DCI based</w:t>
            </w:r>
            <w:r w:rsidRPr="005F4781">
              <w:rPr>
                <w:rFonts w:eastAsia="Times New Roman"/>
                <w:bCs/>
                <w:szCs w:val="21"/>
                <w:lang w:val="sv-SE"/>
              </w:rPr>
              <w:t xml:space="preserve"> TCI switching delay does not have difference for a serving cell and </w:t>
            </w:r>
            <w:r w:rsidRPr="00B938FA">
              <w:rPr>
                <w:rFonts w:eastAsia="Times New Roman"/>
                <w:bCs/>
                <w:szCs w:val="21"/>
                <w:lang w:val="sv-SE"/>
              </w:rPr>
              <w:t xml:space="preserve">a cell with PCI different from a serving cell based on the following conditions. </w:t>
            </w:r>
          </w:p>
          <w:p w14:paraId="6FE51F67" w14:textId="77777777" w:rsidR="002B5C17" w:rsidRPr="00B938FA" w:rsidRDefault="002B5C17" w:rsidP="00190CF0">
            <w:pPr>
              <w:pStyle w:val="af5"/>
              <w:numPr>
                <w:ilvl w:val="2"/>
                <w:numId w:val="7"/>
              </w:numPr>
              <w:ind w:hanging="357"/>
              <w:contextualSpacing w:val="0"/>
              <w:rPr>
                <w:lang w:val="sv-SE"/>
              </w:rPr>
            </w:pPr>
            <w:r w:rsidRPr="00B938FA">
              <w:rPr>
                <w:rFonts w:eastAsia="Yu Mincho" w:hint="eastAsia"/>
                <w:bCs/>
                <w:lang w:eastAsia="ja-JP"/>
              </w:rPr>
              <w:t>A</w:t>
            </w:r>
            <w:r w:rsidRPr="00B938FA">
              <w:rPr>
                <w:rFonts w:eastAsia="Yu Mincho"/>
                <w:bCs/>
                <w:lang w:eastAsia="ja-JP"/>
              </w:rPr>
              <w:t xml:space="preserve">ctive BWP of cell with different PCI shall be </w:t>
            </w:r>
            <w:r w:rsidRPr="00B938FA">
              <w:rPr>
                <w:rFonts w:eastAsia="Yu Mincho"/>
                <w:bCs/>
                <w:highlight w:val="yellow"/>
                <w:lang w:eastAsia="ja-JP"/>
              </w:rPr>
              <w:t>within active BWP of serving cell</w:t>
            </w:r>
            <w:r w:rsidRPr="00B938FA">
              <w:rPr>
                <w:rFonts w:eastAsia="Yu Mincho"/>
                <w:bCs/>
                <w:lang w:eastAsia="ja-JP"/>
              </w:rPr>
              <w:t xml:space="preserve"> </w:t>
            </w:r>
          </w:p>
          <w:p w14:paraId="43F2A7C1" w14:textId="77777777" w:rsidR="002B5C17" w:rsidRPr="00B938FA" w:rsidRDefault="002B5C17" w:rsidP="00190CF0">
            <w:pPr>
              <w:pStyle w:val="af5"/>
              <w:numPr>
                <w:ilvl w:val="2"/>
                <w:numId w:val="7"/>
              </w:numPr>
              <w:ind w:hanging="357"/>
              <w:contextualSpacing w:val="0"/>
              <w:rPr>
                <w:lang w:val="sv-SE"/>
              </w:rPr>
            </w:pPr>
            <w:r w:rsidRPr="00B938FA">
              <w:rPr>
                <w:rFonts w:eastAsia="Yu Mincho"/>
                <w:bCs/>
                <w:lang w:eastAsia="ja-JP"/>
              </w:rPr>
              <w:t>SCS between cell with different PCI and serving cell shall the same</w:t>
            </w:r>
            <w:r w:rsidRPr="00B938FA">
              <w:rPr>
                <w:lang w:val="sv-SE"/>
              </w:rPr>
              <w:t xml:space="preserve"> </w:t>
            </w:r>
          </w:p>
          <w:p w14:paraId="4F1A8256" w14:textId="77777777" w:rsidR="002B5C17" w:rsidRPr="00B938FA" w:rsidRDefault="002B5C17" w:rsidP="00190CF0">
            <w:pPr>
              <w:pStyle w:val="af5"/>
              <w:numPr>
                <w:ilvl w:val="2"/>
                <w:numId w:val="7"/>
              </w:numPr>
              <w:ind w:hanging="357"/>
              <w:contextualSpacing w:val="0"/>
              <w:rPr>
                <w:lang w:val="sv-SE"/>
              </w:rPr>
            </w:pPr>
            <w:r w:rsidRPr="00B938FA">
              <w:rPr>
                <w:rFonts w:eastAsia="Yu Mincho"/>
                <w:bCs/>
                <w:lang w:eastAsia="ja-JP"/>
              </w:rPr>
              <w:t>Timing offset between SC and NSC are within CP</w:t>
            </w:r>
            <w:r w:rsidRPr="00B938FA">
              <w:rPr>
                <w:lang w:val="sv-SE"/>
              </w:rPr>
              <w:t xml:space="preserve"> </w:t>
            </w:r>
          </w:p>
          <w:p w14:paraId="45CB5932" w14:textId="4706F44F" w:rsidR="002B5C17" w:rsidRPr="002B5C17" w:rsidRDefault="002B5C17" w:rsidP="00190CF0">
            <w:pPr>
              <w:pStyle w:val="af5"/>
              <w:numPr>
                <w:ilvl w:val="1"/>
                <w:numId w:val="7"/>
              </w:numPr>
              <w:ind w:hanging="357"/>
              <w:jc w:val="both"/>
              <w:rPr>
                <w:rFonts w:eastAsia="新細明體" w:cstheme="minorHAnsi"/>
                <w:szCs w:val="24"/>
                <w:lang w:val="en-GB"/>
              </w:rPr>
            </w:pPr>
            <w:r w:rsidRPr="002B5C17">
              <w:rPr>
                <w:lang w:val="sv-SE"/>
              </w:rPr>
              <w:t>RAN4 will further study whether to specify the requirements if above conditions do not meet.</w:t>
            </w:r>
          </w:p>
        </w:tc>
      </w:tr>
    </w:tbl>
    <w:p w14:paraId="4F2CBB80" w14:textId="0221EBBB" w:rsidR="00173B5A" w:rsidRPr="002B5C17" w:rsidRDefault="00173B5A" w:rsidP="000D71D7">
      <w:pPr>
        <w:jc w:val="both"/>
        <w:rPr>
          <w:rFonts w:eastAsia="新細明體" w:cstheme="minorHAnsi"/>
          <w:szCs w:val="24"/>
          <w:lang w:val="en-GB"/>
        </w:rPr>
      </w:pPr>
    </w:p>
    <w:p w14:paraId="6A5D0A52" w14:textId="080ACD5B" w:rsidR="00173B5A" w:rsidRDefault="002B5C17" w:rsidP="000D71D7">
      <w:pPr>
        <w:jc w:val="both"/>
        <w:rPr>
          <w:rFonts w:eastAsia="新細明體" w:cstheme="minorHAnsi"/>
          <w:szCs w:val="24"/>
          <w:lang w:val="en-GB"/>
        </w:rPr>
      </w:pPr>
      <w:r>
        <w:rPr>
          <w:rFonts w:eastAsia="新細明體" w:cstheme="minorHAnsi" w:hint="eastAsia"/>
          <w:szCs w:val="24"/>
          <w:lang w:val="en-GB"/>
        </w:rPr>
        <w:t>F</w:t>
      </w:r>
      <w:r>
        <w:rPr>
          <w:rFonts w:eastAsia="新細明體" w:cstheme="minorHAnsi"/>
          <w:szCs w:val="24"/>
          <w:lang w:val="en-GB"/>
        </w:rPr>
        <w:t xml:space="preserve">or the BWP, </w:t>
      </w:r>
      <w:r w:rsidR="00EC2141">
        <w:rPr>
          <w:rFonts w:eastAsia="新細明體" w:cstheme="minorHAnsi"/>
          <w:szCs w:val="24"/>
          <w:lang w:val="en-GB"/>
        </w:rPr>
        <w:t xml:space="preserve">basically, we do not think the BWP will be changed while a TCI state is </w:t>
      </w:r>
      <w:r w:rsidR="004139D3">
        <w:rPr>
          <w:rFonts w:eastAsia="新細明體" w:cstheme="minorHAnsi"/>
          <w:szCs w:val="24"/>
          <w:lang w:val="en-GB"/>
        </w:rPr>
        <w:t>switched</w:t>
      </w:r>
      <w:r w:rsidR="00EC2141">
        <w:rPr>
          <w:rFonts w:eastAsia="新細明體" w:cstheme="minorHAnsi"/>
          <w:szCs w:val="24"/>
          <w:lang w:val="en-GB"/>
        </w:rPr>
        <w:t xml:space="preserve"> from serving cell to non-serving cell, vice versa. Because, in WI</w:t>
      </w:r>
      <w:r w:rsidR="00647117">
        <w:rPr>
          <w:rFonts w:eastAsia="新細明體" w:cstheme="minorHAnsi"/>
          <w:szCs w:val="24"/>
          <w:lang w:val="en-GB"/>
        </w:rPr>
        <w:t>D</w:t>
      </w:r>
      <w:r w:rsidR="00EC2141">
        <w:rPr>
          <w:rFonts w:eastAsia="新細明體" w:cstheme="minorHAnsi"/>
          <w:szCs w:val="24"/>
          <w:lang w:val="en-GB"/>
        </w:rPr>
        <w:t xml:space="preserve">, </w:t>
      </w:r>
      <w:r w:rsidR="00647117">
        <w:rPr>
          <w:rFonts w:eastAsia="新細明體" w:cstheme="minorHAnsi"/>
          <w:szCs w:val="24"/>
          <w:lang w:val="en-GB"/>
        </w:rPr>
        <w:t>it has been</w:t>
      </w:r>
      <w:r w:rsidR="00EC2141">
        <w:rPr>
          <w:rFonts w:eastAsia="新細明體" w:cstheme="minorHAnsi"/>
          <w:szCs w:val="24"/>
          <w:lang w:val="en-GB"/>
        </w:rPr>
        <w:t xml:space="preserve"> agreed the serving cell will not be changed. However, in the last meeting, RAN4 agreed the active BWP of non-serving cell shall be within active BWP of serving cell. To us,</w:t>
      </w:r>
      <w:r w:rsidR="000E45E7">
        <w:rPr>
          <w:rFonts w:eastAsia="新細明體" w:cstheme="minorHAnsi"/>
          <w:szCs w:val="24"/>
          <w:lang w:val="en-GB"/>
        </w:rPr>
        <w:t xml:space="preserve"> </w:t>
      </w:r>
      <w:r w:rsidR="00EC2141">
        <w:rPr>
          <w:rFonts w:eastAsia="新細明體" w:cstheme="minorHAnsi"/>
          <w:szCs w:val="24"/>
          <w:lang w:val="en-GB"/>
        </w:rPr>
        <w:t>it is unclear whether the BWP between serving cell and non-serving cell are the same or not</w:t>
      </w:r>
      <w:r w:rsidR="000E45E7">
        <w:rPr>
          <w:rFonts w:eastAsia="新細明體" w:cstheme="minorHAnsi"/>
          <w:szCs w:val="24"/>
          <w:lang w:val="en-GB"/>
        </w:rPr>
        <w:t>. Because,</w:t>
      </w:r>
      <w:r w:rsidR="00B938FA">
        <w:rPr>
          <w:rFonts w:eastAsia="新細明體" w:cstheme="minorHAnsi"/>
          <w:szCs w:val="24"/>
          <w:lang w:val="en-GB"/>
        </w:rPr>
        <w:t xml:space="preserve"> the wording “</w:t>
      </w:r>
      <w:r w:rsidR="00B938FA" w:rsidRPr="00B938FA">
        <w:rPr>
          <w:rFonts w:eastAsia="新細明體" w:cstheme="minorHAnsi"/>
          <w:szCs w:val="24"/>
          <w:highlight w:val="yellow"/>
          <w:lang w:val="en-GB"/>
        </w:rPr>
        <w:t>within active BWP of serving cell</w:t>
      </w:r>
      <w:r w:rsidR="00B938FA">
        <w:rPr>
          <w:rFonts w:eastAsia="新細明體" w:cstheme="minorHAnsi"/>
          <w:szCs w:val="24"/>
          <w:lang w:val="en-GB"/>
        </w:rPr>
        <w:t>”</w:t>
      </w:r>
      <w:r w:rsidR="000E45E7">
        <w:rPr>
          <w:rFonts w:eastAsia="新細明體" w:cstheme="minorHAnsi"/>
          <w:szCs w:val="24"/>
          <w:lang w:val="en-GB"/>
        </w:rPr>
        <w:t xml:space="preserve"> in agreement</w:t>
      </w:r>
      <w:r w:rsidR="004139D3">
        <w:rPr>
          <w:rFonts w:eastAsia="新細明體" w:cstheme="minorHAnsi"/>
          <w:szCs w:val="24"/>
          <w:lang w:val="en-GB"/>
        </w:rPr>
        <w:t xml:space="preserve"> may imply that</w:t>
      </w:r>
      <w:r w:rsidR="000E45E7">
        <w:rPr>
          <w:rFonts w:eastAsia="新細明體" w:cstheme="minorHAnsi"/>
          <w:szCs w:val="24"/>
          <w:lang w:val="en-GB"/>
        </w:rPr>
        <w:t xml:space="preserve"> serving cell’s BWP is larger than non-serving cell</w:t>
      </w:r>
      <w:r w:rsidR="00EC2141">
        <w:rPr>
          <w:rFonts w:eastAsia="新細明體" w:cstheme="minorHAnsi"/>
          <w:szCs w:val="24"/>
          <w:lang w:val="en-GB"/>
        </w:rPr>
        <w:t xml:space="preserve">. </w:t>
      </w:r>
      <w:r w:rsidR="000E45E7">
        <w:rPr>
          <w:rFonts w:eastAsia="新細明體" w:cstheme="minorHAnsi"/>
          <w:szCs w:val="24"/>
          <w:lang w:val="en-GB"/>
        </w:rPr>
        <w:t>Based on this observation, t</w:t>
      </w:r>
      <w:r w:rsidR="00EC2141">
        <w:rPr>
          <w:rFonts w:eastAsia="新細明體" w:cstheme="minorHAnsi"/>
          <w:szCs w:val="24"/>
          <w:lang w:val="en-GB"/>
        </w:rPr>
        <w:t xml:space="preserve">he BWP switch delay </w:t>
      </w:r>
      <w:r w:rsidR="0011774F">
        <w:rPr>
          <w:rFonts w:eastAsia="新細明體" w:cstheme="minorHAnsi"/>
          <w:szCs w:val="24"/>
          <w:lang w:val="en-GB"/>
        </w:rPr>
        <w:t>should</w:t>
      </w:r>
      <w:r w:rsidR="00EC2141">
        <w:rPr>
          <w:rFonts w:eastAsia="新細明體" w:cstheme="minorHAnsi"/>
          <w:szCs w:val="24"/>
          <w:lang w:val="en-GB"/>
        </w:rPr>
        <w:t xml:space="preserve"> be considered if the two BWPs are different. Thus, to make it clear,</w:t>
      </w:r>
      <w:r w:rsidR="00B0067F">
        <w:rPr>
          <w:rFonts w:eastAsia="新細明體" w:cstheme="minorHAnsi"/>
          <w:szCs w:val="24"/>
          <w:lang w:val="en-GB"/>
        </w:rPr>
        <w:t xml:space="preserve"> we have the</w:t>
      </w:r>
      <w:r w:rsidR="00EC2141">
        <w:rPr>
          <w:rFonts w:eastAsia="新細明體" w:cstheme="minorHAnsi"/>
          <w:szCs w:val="24"/>
          <w:lang w:val="en-GB"/>
        </w:rPr>
        <w:t xml:space="preserve"> </w:t>
      </w:r>
      <w:r w:rsidR="00EC2141">
        <w:rPr>
          <w:rFonts w:eastAsia="新細明體" w:cstheme="minorHAnsi"/>
          <w:szCs w:val="24"/>
          <w:lang w:val="en-GB"/>
        </w:rPr>
        <w:fldChar w:fldCharType="begin"/>
      </w:r>
      <w:r w:rsidR="00EC2141">
        <w:rPr>
          <w:rFonts w:eastAsia="新細明體" w:cstheme="minorHAnsi"/>
          <w:szCs w:val="24"/>
          <w:lang w:val="en-GB"/>
        </w:rPr>
        <w:instrText xml:space="preserve"> REF _Ref94869139 \h </w:instrText>
      </w:r>
      <w:r w:rsidR="00EC2141">
        <w:rPr>
          <w:rFonts w:eastAsia="新細明體" w:cstheme="minorHAnsi"/>
          <w:szCs w:val="24"/>
          <w:lang w:val="en-GB"/>
        </w:rPr>
      </w:r>
      <w:r w:rsidR="00EC2141">
        <w:rPr>
          <w:rFonts w:eastAsia="新細明體" w:cstheme="minorHAnsi"/>
          <w:szCs w:val="24"/>
          <w:lang w:val="en-GB"/>
        </w:rPr>
        <w:fldChar w:fldCharType="separate"/>
      </w:r>
      <w:r w:rsidR="00B635F7" w:rsidRPr="0035409E">
        <w:rPr>
          <w:szCs w:val="24"/>
        </w:rPr>
        <w:t xml:space="preserve">Proposal </w:t>
      </w:r>
      <w:r w:rsidR="00B635F7">
        <w:rPr>
          <w:noProof/>
          <w:szCs w:val="24"/>
        </w:rPr>
        <w:t>3</w:t>
      </w:r>
      <w:r w:rsidR="00EC2141">
        <w:rPr>
          <w:rFonts w:eastAsia="新細明體" w:cstheme="minorHAnsi"/>
          <w:szCs w:val="24"/>
          <w:lang w:val="en-GB"/>
        </w:rPr>
        <w:fldChar w:fldCharType="end"/>
      </w:r>
      <w:r w:rsidR="00EC2141">
        <w:rPr>
          <w:rFonts w:eastAsia="新細明體" w:cstheme="minorHAnsi"/>
          <w:szCs w:val="24"/>
          <w:lang w:val="en-GB"/>
        </w:rPr>
        <w:t>.</w:t>
      </w:r>
    </w:p>
    <w:p w14:paraId="1669636D" w14:textId="6C07EADC" w:rsidR="002B5C17" w:rsidRPr="00EC2141" w:rsidRDefault="002B5C17" w:rsidP="000D71D7">
      <w:pPr>
        <w:jc w:val="both"/>
        <w:rPr>
          <w:rFonts w:eastAsia="新細明體" w:cstheme="minorHAnsi"/>
          <w:szCs w:val="24"/>
          <w:lang w:val="en-GB"/>
        </w:rPr>
      </w:pPr>
    </w:p>
    <w:p w14:paraId="4B1F52AD" w14:textId="5706EA70" w:rsidR="00EC2141" w:rsidRDefault="00EC2141" w:rsidP="00EC2141">
      <w:pPr>
        <w:pStyle w:val="af1"/>
        <w:jc w:val="both"/>
        <w:rPr>
          <w:rFonts w:cstheme="minorHAnsi"/>
          <w:sz w:val="24"/>
          <w:szCs w:val="24"/>
          <w:lang w:eastAsia="x-none"/>
        </w:rPr>
      </w:pPr>
      <w:bookmarkStart w:id="4" w:name="_Ref95410650"/>
      <w:r w:rsidRPr="00960F2B">
        <w:rPr>
          <w:rFonts w:cstheme="minorHAnsi"/>
          <w:sz w:val="24"/>
          <w:szCs w:val="24"/>
        </w:rPr>
        <w:t xml:space="preserve">Observation </w:t>
      </w:r>
      <w:r w:rsidRPr="00960F2B">
        <w:rPr>
          <w:rFonts w:cstheme="minorHAnsi"/>
          <w:sz w:val="24"/>
          <w:szCs w:val="24"/>
        </w:rPr>
        <w:fldChar w:fldCharType="begin"/>
      </w:r>
      <w:r w:rsidRPr="00960F2B">
        <w:rPr>
          <w:rFonts w:cstheme="minorHAnsi"/>
          <w:sz w:val="24"/>
          <w:szCs w:val="24"/>
        </w:rPr>
        <w:instrText xml:space="preserve"> SEQ Observation \* ARABIC </w:instrText>
      </w:r>
      <w:r w:rsidRPr="00960F2B">
        <w:rPr>
          <w:rFonts w:cstheme="minorHAnsi"/>
          <w:sz w:val="24"/>
          <w:szCs w:val="24"/>
        </w:rPr>
        <w:fldChar w:fldCharType="separate"/>
      </w:r>
      <w:r w:rsidR="00B635F7">
        <w:rPr>
          <w:rFonts w:cstheme="minorHAnsi"/>
          <w:noProof/>
          <w:sz w:val="24"/>
          <w:szCs w:val="24"/>
        </w:rPr>
        <w:t>1</w:t>
      </w:r>
      <w:r w:rsidRPr="00960F2B">
        <w:rPr>
          <w:rFonts w:cstheme="minorHAnsi"/>
          <w:sz w:val="24"/>
          <w:szCs w:val="24"/>
        </w:rPr>
        <w:fldChar w:fldCharType="end"/>
      </w:r>
      <w:r w:rsidRPr="00960F2B">
        <w:rPr>
          <w:rFonts w:cstheme="minorHAnsi"/>
          <w:sz w:val="24"/>
          <w:szCs w:val="24"/>
        </w:rPr>
        <w:t xml:space="preserve">: </w:t>
      </w:r>
      <w:r w:rsidRPr="00EC2141">
        <w:rPr>
          <w:rFonts w:cstheme="minorHAnsi"/>
          <w:sz w:val="24"/>
          <w:szCs w:val="24"/>
          <w:lang w:eastAsia="x-none"/>
        </w:rPr>
        <w:t xml:space="preserve">In </w:t>
      </w:r>
      <w:r>
        <w:rPr>
          <w:rFonts w:cstheme="minorHAnsi"/>
          <w:sz w:val="24"/>
          <w:szCs w:val="24"/>
          <w:lang w:eastAsia="x-none"/>
        </w:rPr>
        <w:t xml:space="preserve">the </w:t>
      </w:r>
      <w:r w:rsidRPr="00EC2141">
        <w:rPr>
          <w:rFonts w:cstheme="minorHAnsi"/>
          <w:sz w:val="24"/>
          <w:szCs w:val="24"/>
          <w:lang w:eastAsia="x-none"/>
        </w:rPr>
        <w:t xml:space="preserve">last meeting, RAN4 agreed "Active BWP of cell with different PCI shall be within active BWP of serving cell". It is unclear </w:t>
      </w:r>
      <w:r w:rsidR="000E45E7">
        <w:rPr>
          <w:rFonts w:cstheme="minorHAnsi"/>
          <w:sz w:val="24"/>
          <w:szCs w:val="24"/>
          <w:lang w:eastAsia="x-none"/>
        </w:rPr>
        <w:t xml:space="preserve">whether </w:t>
      </w:r>
      <w:r w:rsidRPr="00EC2141">
        <w:rPr>
          <w:rFonts w:cstheme="minorHAnsi"/>
          <w:sz w:val="24"/>
          <w:szCs w:val="24"/>
          <w:lang w:eastAsia="x-none"/>
        </w:rPr>
        <w:t>the BWP</w:t>
      </w:r>
      <w:r w:rsidR="000E45E7">
        <w:rPr>
          <w:rFonts w:cstheme="minorHAnsi"/>
          <w:sz w:val="24"/>
          <w:szCs w:val="24"/>
          <w:lang w:eastAsia="x-none"/>
        </w:rPr>
        <w:t xml:space="preserve">s of </w:t>
      </w:r>
      <w:r w:rsidRPr="00EC2141">
        <w:rPr>
          <w:rFonts w:cstheme="minorHAnsi"/>
          <w:sz w:val="24"/>
          <w:szCs w:val="24"/>
          <w:lang w:eastAsia="x-none"/>
        </w:rPr>
        <w:t xml:space="preserve">serving cell and </w:t>
      </w:r>
      <w:r w:rsidR="00B0067F">
        <w:rPr>
          <w:rFonts w:cstheme="minorHAnsi"/>
          <w:sz w:val="24"/>
          <w:szCs w:val="24"/>
          <w:lang w:eastAsia="x-none"/>
        </w:rPr>
        <w:t>non-serving cell</w:t>
      </w:r>
      <w:r w:rsidR="000E45E7">
        <w:rPr>
          <w:rFonts w:cstheme="minorHAnsi"/>
          <w:sz w:val="24"/>
          <w:szCs w:val="24"/>
          <w:lang w:eastAsia="x-none"/>
        </w:rPr>
        <w:t xml:space="preserve"> are the same or not</w:t>
      </w:r>
      <w:r w:rsidRPr="00EC2141">
        <w:rPr>
          <w:rFonts w:cstheme="minorHAnsi"/>
          <w:sz w:val="24"/>
          <w:szCs w:val="24"/>
          <w:lang w:eastAsia="x-none"/>
        </w:rPr>
        <w:t>.</w:t>
      </w:r>
      <w:bookmarkEnd w:id="4"/>
    </w:p>
    <w:p w14:paraId="009E1CE2" w14:textId="77777777" w:rsidR="00EC2141" w:rsidRDefault="00EC2141" w:rsidP="000D71D7">
      <w:pPr>
        <w:jc w:val="both"/>
        <w:rPr>
          <w:rFonts w:eastAsia="新細明體" w:cstheme="minorHAnsi"/>
          <w:szCs w:val="24"/>
          <w:lang w:val="en-GB"/>
        </w:rPr>
      </w:pPr>
    </w:p>
    <w:p w14:paraId="1117EB00" w14:textId="6100820F" w:rsidR="00EC2141" w:rsidRPr="0035409E" w:rsidRDefault="00EC2141" w:rsidP="00EC2141">
      <w:pPr>
        <w:pStyle w:val="af1"/>
        <w:jc w:val="both"/>
        <w:rPr>
          <w:rFonts w:eastAsia="新細明體" w:cstheme="minorHAnsi"/>
          <w:sz w:val="24"/>
          <w:szCs w:val="24"/>
          <w:lang w:val="en-GB"/>
        </w:rPr>
      </w:pPr>
      <w:bookmarkStart w:id="5" w:name="_Ref94869139"/>
      <w:bookmarkStart w:id="6" w:name="_Ref95410640"/>
      <w:r w:rsidRPr="0035409E">
        <w:rPr>
          <w:sz w:val="24"/>
          <w:szCs w:val="24"/>
        </w:rPr>
        <w:t xml:space="preserve">Proposal </w:t>
      </w:r>
      <w:r w:rsidRPr="0035409E">
        <w:rPr>
          <w:sz w:val="24"/>
          <w:szCs w:val="24"/>
        </w:rPr>
        <w:fldChar w:fldCharType="begin"/>
      </w:r>
      <w:r w:rsidRPr="0035409E">
        <w:rPr>
          <w:sz w:val="24"/>
          <w:szCs w:val="24"/>
        </w:rPr>
        <w:instrText xml:space="preserve"> SEQ Proposal \* ARABIC </w:instrText>
      </w:r>
      <w:r w:rsidRPr="0035409E">
        <w:rPr>
          <w:sz w:val="24"/>
          <w:szCs w:val="24"/>
        </w:rPr>
        <w:fldChar w:fldCharType="separate"/>
      </w:r>
      <w:r w:rsidR="00B635F7">
        <w:rPr>
          <w:noProof/>
          <w:sz w:val="24"/>
          <w:szCs w:val="24"/>
        </w:rPr>
        <w:t>3</w:t>
      </w:r>
      <w:r w:rsidRPr="0035409E">
        <w:rPr>
          <w:noProof/>
          <w:sz w:val="24"/>
          <w:szCs w:val="24"/>
        </w:rPr>
        <w:fldChar w:fldCharType="end"/>
      </w:r>
      <w:bookmarkEnd w:id="5"/>
      <w:r w:rsidRPr="0035409E">
        <w:rPr>
          <w:sz w:val="24"/>
          <w:szCs w:val="24"/>
        </w:rPr>
        <w:t xml:space="preserve">: </w:t>
      </w:r>
      <w:r>
        <w:rPr>
          <w:sz w:val="24"/>
          <w:szCs w:val="24"/>
        </w:rPr>
        <w:t xml:space="preserve">To clarify in RAN4 that the BWPs of serving cell and </w:t>
      </w:r>
      <w:r w:rsidR="00B0067F">
        <w:rPr>
          <w:sz w:val="24"/>
          <w:szCs w:val="24"/>
        </w:rPr>
        <w:t>non-serving cell</w:t>
      </w:r>
      <w:r>
        <w:rPr>
          <w:sz w:val="24"/>
          <w:szCs w:val="24"/>
        </w:rPr>
        <w:t xml:space="preserve"> are the same</w:t>
      </w:r>
      <w:r w:rsidRPr="00CD3CBF">
        <w:rPr>
          <w:sz w:val="24"/>
          <w:szCs w:val="24"/>
        </w:rPr>
        <w:t>.</w:t>
      </w:r>
      <w:bookmarkEnd w:id="6"/>
    </w:p>
    <w:p w14:paraId="5B03F0A1" w14:textId="77777777" w:rsidR="00EC2141" w:rsidRPr="00EC2141" w:rsidRDefault="00EC2141" w:rsidP="000D71D7">
      <w:pPr>
        <w:jc w:val="both"/>
        <w:rPr>
          <w:rFonts w:eastAsia="新細明體" w:cstheme="minorHAnsi"/>
          <w:szCs w:val="24"/>
          <w:lang w:val="en-GB"/>
        </w:rPr>
      </w:pPr>
    </w:p>
    <w:p w14:paraId="0BAD1DB4" w14:textId="621A5AE9" w:rsidR="002B5C17" w:rsidRPr="0036502D" w:rsidRDefault="0036502D" w:rsidP="000D71D7">
      <w:pPr>
        <w:jc w:val="both"/>
        <w:rPr>
          <w:rFonts w:eastAsia="新細明體" w:cstheme="minorHAnsi"/>
          <w:b/>
          <w:bCs/>
          <w:szCs w:val="24"/>
          <w:u w:val="single"/>
          <w:lang w:val="en-GB"/>
        </w:rPr>
      </w:pPr>
      <w:r w:rsidRPr="00437A12">
        <w:rPr>
          <w:rFonts w:eastAsia="新細明體" w:cstheme="minorHAnsi"/>
          <w:b/>
          <w:bCs/>
          <w:szCs w:val="24"/>
          <w:u w:val="single"/>
          <w:lang w:val="en-GB"/>
        </w:rPr>
        <w:t>Delay requirement of TCI state switch for unknown non-serving cell</w:t>
      </w:r>
    </w:p>
    <w:p w14:paraId="678BC987" w14:textId="78BF23FF" w:rsidR="0036502D" w:rsidRDefault="0036502D" w:rsidP="000D71D7">
      <w:pPr>
        <w:jc w:val="both"/>
        <w:rPr>
          <w:rFonts w:eastAsia="新細明體" w:cstheme="minorHAnsi"/>
          <w:szCs w:val="24"/>
          <w:lang w:val="en-GB"/>
        </w:rPr>
      </w:pPr>
    </w:p>
    <w:p w14:paraId="6DF89E61" w14:textId="087510E6" w:rsidR="00A92400" w:rsidRDefault="00490E0B" w:rsidP="00A92400">
      <w:pPr>
        <w:jc w:val="both"/>
        <w:rPr>
          <w:rFonts w:eastAsia="新細明體"/>
          <w:bCs/>
          <w:lang w:val="sv-SE"/>
        </w:rPr>
      </w:pPr>
      <w:r>
        <w:rPr>
          <w:rFonts w:eastAsia="新細明體" w:cstheme="minorHAnsi" w:hint="eastAsia"/>
          <w:szCs w:val="24"/>
          <w:lang w:val="en-GB"/>
        </w:rPr>
        <w:t>I</w:t>
      </w:r>
      <w:r>
        <w:rPr>
          <w:rFonts w:eastAsia="新細明體" w:cstheme="minorHAnsi"/>
          <w:szCs w:val="24"/>
          <w:lang w:val="en-GB"/>
        </w:rPr>
        <w:t>n this sub-section, we would like to discuss</w:t>
      </w:r>
      <w:r w:rsidR="004139D3">
        <w:rPr>
          <w:rFonts w:eastAsia="新細明體" w:cstheme="minorHAnsi"/>
          <w:szCs w:val="24"/>
          <w:lang w:val="en-GB"/>
        </w:rPr>
        <w:t xml:space="preserve"> </w:t>
      </w:r>
      <w:r>
        <w:rPr>
          <w:rFonts w:eastAsia="新細明體" w:cstheme="minorHAnsi"/>
          <w:szCs w:val="24"/>
          <w:lang w:val="en-GB"/>
        </w:rPr>
        <w:t xml:space="preserve">whether </w:t>
      </w:r>
      <w:r w:rsidR="00A92400">
        <w:rPr>
          <w:rFonts w:eastAsia="新細明體" w:cstheme="minorHAnsi"/>
          <w:szCs w:val="24"/>
          <w:lang w:val="en-GB"/>
        </w:rPr>
        <w:t xml:space="preserve">the </w:t>
      </w:r>
      <w:r>
        <w:rPr>
          <w:rFonts w:eastAsia="新細明體" w:cstheme="minorHAnsi"/>
          <w:szCs w:val="24"/>
          <w:lang w:val="en-GB"/>
        </w:rPr>
        <w:t xml:space="preserve">extra time period of </w:t>
      </w:r>
      <w:r>
        <w:rPr>
          <w:rFonts w:eastAsia="新細明體"/>
          <w:bCs/>
          <w:lang w:val="sv-SE"/>
        </w:rPr>
        <w:t>T</w:t>
      </w:r>
      <w:r w:rsidRPr="00F84912">
        <w:rPr>
          <w:rFonts w:eastAsia="新細明體"/>
          <w:bCs/>
          <w:vertAlign w:val="subscript"/>
          <w:lang w:val="sv-SE"/>
        </w:rPr>
        <w:t>PSS/SSS_sync_intra</w:t>
      </w:r>
      <w:r>
        <w:rPr>
          <w:rFonts w:eastAsia="新細明體"/>
          <w:bCs/>
          <w:lang w:val="sv-SE"/>
        </w:rPr>
        <w:t xml:space="preserve"> or T</w:t>
      </w:r>
      <w:r w:rsidRPr="00F84912">
        <w:rPr>
          <w:rFonts w:eastAsia="新細明體"/>
          <w:bCs/>
          <w:vertAlign w:val="subscript"/>
          <w:lang w:val="sv-SE"/>
        </w:rPr>
        <w:t>SSB_time_index_intra</w:t>
      </w:r>
      <w:r>
        <w:rPr>
          <w:rFonts w:eastAsia="新細明體"/>
          <w:bCs/>
          <w:vertAlign w:val="subscript"/>
          <w:lang w:val="sv-SE"/>
        </w:rPr>
        <w:t xml:space="preserve"> </w:t>
      </w:r>
      <w:r w:rsidR="00A92400">
        <w:rPr>
          <w:rFonts w:eastAsia="新細明體"/>
          <w:bCs/>
          <w:lang w:val="sv-SE"/>
        </w:rPr>
        <w:t>are</w:t>
      </w:r>
      <w:r>
        <w:rPr>
          <w:rFonts w:eastAsia="新細明體"/>
          <w:bCs/>
          <w:lang w:val="sv-SE"/>
        </w:rPr>
        <w:t xml:space="preserve"> needed or not</w:t>
      </w:r>
      <w:r w:rsidR="004139D3">
        <w:rPr>
          <w:rFonts w:eastAsia="新細明體"/>
          <w:bCs/>
          <w:lang w:val="sv-SE"/>
        </w:rPr>
        <w:t xml:space="preserve"> for the unknown non-serving cell</w:t>
      </w:r>
      <w:r>
        <w:rPr>
          <w:rFonts w:eastAsia="新細明體"/>
          <w:bCs/>
          <w:lang w:val="sv-SE"/>
        </w:rPr>
        <w:t xml:space="preserve">. </w:t>
      </w:r>
    </w:p>
    <w:p w14:paraId="4CDC4703" w14:textId="77777777" w:rsidR="00A92400" w:rsidRDefault="00A92400" w:rsidP="00A92400">
      <w:pPr>
        <w:jc w:val="both"/>
        <w:rPr>
          <w:rFonts w:eastAsia="新細明體"/>
          <w:bCs/>
          <w:lang w:val="sv-SE"/>
        </w:rPr>
      </w:pPr>
    </w:p>
    <w:p w14:paraId="1E8A9B57" w14:textId="6C5316E5" w:rsidR="00437A12" w:rsidRDefault="00437A12" w:rsidP="000D71D7">
      <w:pPr>
        <w:jc w:val="both"/>
        <w:rPr>
          <w:rFonts w:eastAsia="新細明體" w:cstheme="minorHAnsi"/>
          <w:szCs w:val="24"/>
          <w:lang w:val="en-GB"/>
        </w:rPr>
      </w:pPr>
      <w:r>
        <w:rPr>
          <w:rFonts w:eastAsia="新細明體" w:cstheme="minorHAnsi"/>
          <w:szCs w:val="24"/>
          <w:lang w:val="en-GB"/>
        </w:rPr>
        <w:lastRenderedPageBreak/>
        <w:t xml:space="preserve">First of all, the known condition of the non-serving cell is based on the discussion in our paper </w:t>
      </w:r>
      <w:r w:rsidR="004139D3">
        <w:rPr>
          <w:rFonts w:eastAsia="新細明體" w:cstheme="minorHAnsi"/>
          <w:szCs w:val="24"/>
          <w:lang w:val="en-GB"/>
        </w:rPr>
        <w:t>of the</w:t>
      </w:r>
      <w:r>
        <w:rPr>
          <w:rFonts w:eastAsia="新細明體" w:cstheme="minorHAnsi"/>
          <w:szCs w:val="24"/>
          <w:lang w:val="en-GB"/>
        </w:rPr>
        <w:t xml:space="preserve"> inter-cell beam management (Please find the details </w:t>
      </w:r>
      <w:r w:rsidR="00353BA6">
        <w:rPr>
          <w:rFonts w:eastAsia="新細明體" w:cstheme="minorHAnsi"/>
          <w:szCs w:val="24"/>
          <w:lang w:val="en-GB"/>
        </w:rPr>
        <w:t>in R4-2204366</w:t>
      </w:r>
      <w:r w:rsidR="00A4771C">
        <w:rPr>
          <w:rFonts w:eastAsia="新細明體" w:cstheme="minorHAnsi"/>
          <w:szCs w:val="24"/>
          <w:lang w:val="en-GB"/>
        </w:rPr>
        <w:t xml:space="preserve"> </w:t>
      </w:r>
      <w:r w:rsidR="00A4771C">
        <w:rPr>
          <w:rFonts w:eastAsia="新細明體" w:cstheme="minorHAnsi"/>
          <w:szCs w:val="24"/>
          <w:lang w:val="en-GB"/>
        </w:rPr>
        <w:fldChar w:fldCharType="begin"/>
      </w:r>
      <w:r w:rsidR="00A4771C">
        <w:rPr>
          <w:rFonts w:eastAsia="新細明體" w:cstheme="minorHAnsi"/>
          <w:szCs w:val="24"/>
          <w:lang w:val="en-GB"/>
        </w:rPr>
        <w:instrText xml:space="preserve"> REF _Ref95771199 \r \h </w:instrText>
      </w:r>
      <w:r w:rsidR="00A4771C">
        <w:rPr>
          <w:rFonts w:eastAsia="新細明體" w:cstheme="minorHAnsi"/>
          <w:szCs w:val="24"/>
          <w:lang w:val="en-GB"/>
        </w:rPr>
      </w:r>
      <w:r w:rsidR="00A4771C">
        <w:rPr>
          <w:rFonts w:eastAsia="新細明體" w:cstheme="minorHAnsi"/>
          <w:szCs w:val="24"/>
          <w:lang w:val="en-GB"/>
        </w:rPr>
        <w:fldChar w:fldCharType="separate"/>
      </w:r>
      <w:r w:rsidR="00B635F7">
        <w:rPr>
          <w:rFonts w:eastAsia="新細明體" w:cstheme="minorHAnsi"/>
          <w:szCs w:val="24"/>
          <w:lang w:val="en-GB"/>
        </w:rPr>
        <w:t>[2]</w:t>
      </w:r>
      <w:r w:rsidR="00A4771C">
        <w:rPr>
          <w:rFonts w:eastAsia="新細明體" w:cstheme="minorHAnsi"/>
          <w:szCs w:val="24"/>
          <w:lang w:val="en-GB"/>
        </w:rPr>
        <w:fldChar w:fldCharType="end"/>
      </w:r>
      <w:r>
        <w:rPr>
          <w:rFonts w:eastAsia="新細明體" w:cstheme="minorHAnsi"/>
          <w:szCs w:val="24"/>
          <w:lang w:val="en-GB"/>
        </w:rPr>
        <w:t>).</w:t>
      </w:r>
      <w:r w:rsidR="00A55993">
        <w:rPr>
          <w:rFonts w:eastAsia="新細明體" w:cstheme="minorHAnsi"/>
          <w:szCs w:val="24"/>
          <w:lang w:val="en-GB"/>
        </w:rPr>
        <w:t xml:space="preserve"> </w:t>
      </w:r>
      <w:r>
        <w:rPr>
          <w:rFonts w:eastAsia="新細明體" w:cstheme="minorHAnsi" w:hint="eastAsia"/>
          <w:szCs w:val="24"/>
          <w:lang w:val="en-GB"/>
        </w:rPr>
        <w:t>I</w:t>
      </w:r>
      <w:r>
        <w:rPr>
          <w:rFonts w:eastAsia="新細明體" w:cstheme="minorHAnsi"/>
          <w:szCs w:val="24"/>
          <w:lang w:val="en-GB"/>
        </w:rPr>
        <w:t xml:space="preserve">n </w:t>
      </w:r>
      <w:r w:rsidR="00A55993">
        <w:rPr>
          <w:rFonts w:eastAsia="新細明體" w:cstheme="minorHAnsi"/>
          <w:szCs w:val="24"/>
          <w:lang w:val="en-GB"/>
        </w:rPr>
        <w:t>the</w:t>
      </w:r>
      <w:r w:rsidR="00A4771C">
        <w:rPr>
          <w:rFonts w:eastAsia="新細明體" w:cstheme="minorHAnsi"/>
          <w:szCs w:val="24"/>
          <w:lang w:val="en-GB"/>
        </w:rPr>
        <w:t xml:space="preserve"> </w:t>
      </w:r>
      <w:r w:rsidR="00353BA6">
        <w:rPr>
          <w:rFonts w:eastAsia="新細明體" w:cstheme="minorHAnsi"/>
          <w:szCs w:val="24"/>
          <w:lang w:val="en-GB"/>
        </w:rPr>
        <w:t>R4-2204366</w:t>
      </w:r>
      <w:r w:rsidR="00A4771C">
        <w:rPr>
          <w:rFonts w:eastAsia="新細明體" w:cstheme="minorHAnsi"/>
          <w:szCs w:val="24"/>
          <w:lang w:val="en-GB"/>
        </w:rPr>
        <w:t xml:space="preserve"> </w:t>
      </w:r>
      <w:r w:rsidR="00A4771C">
        <w:rPr>
          <w:rFonts w:eastAsia="新細明體" w:cstheme="minorHAnsi"/>
          <w:szCs w:val="24"/>
          <w:lang w:val="en-GB"/>
        </w:rPr>
        <w:fldChar w:fldCharType="begin"/>
      </w:r>
      <w:r w:rsidR="00A4771C">
        <w:rPr>
          <w:rFonts w:eastAsia="新細明體" w:cstheme="minorHAnsi"/>
          <w:szCs w:val="24"/>
          <w:lang w:val="en-GB"/>
        </w:rPr>
        <w:instrText xml:space="preserve"> REF _Ref95771199 \r \h </w:instrText>
      </w:r>
      <w:r w:rsidR="00A4771C">
        <w:rPr>
          <w:rFonts w:eastAsia="新細明體" w:cstheme="minorHAnsi"/>
          <w:szCs w:val="24"/>
          <w:lang w:val="en-GB"/>
        </w:rPr>
      </w:r>
      <w:r w:rsidR="00A4771C">
        <w:rPr>
          <w:rFonts w:eastAsia="新細明體" w:cstheme="minorHAnsi"/>
          <w:szCs w:val="24"/>
          <w:lang w:val="en-GB"/>
        </w:rPr>
        <w:fldChar w:fldCharType="separate"/>
      </w:r>
      <w:r w:rsidR="00B635F7">
        <w:rPr>
          <w:rFonts w:eastAsia="新細明體" w:cstheme="minorHAnsi"/>
          <w:szCs w:val="24"/>
          <w:lang w:val="en-GB"/>
        </w:rPr>
        <w:t>[2]</w:t>
      </w:r>
      <w:r w:rsidR="00A4771C">
        <w:rPr>
          <w:rFonts w:eastAsia="新細明體" w:cstheme="minorHAnsi"/>
          <w:szCs w:val="24"/>
          <w:lang w:val="en-GB"/>
        </w:rPr>
        <w:fldChar w:fldCharType="end"/>
      </w:r>
      <w:r w:rsidR="00A55993">
        <w:rPr>
          <w:rFonts w:eastAsia="新細明體" w:cstheme="minorHAnsi"/>
          <w:szCs w:val="24"/>
          <w:lang w:val="en-GB"/>
        </w:rPr>
        <w:t xml:space="preserve">, the known condition of the non-serving cell is based on the L1-RSRP measurement report, i.e., the non-serving cell is known if any L1-RSRP measurement report is transmitted within [X] ms before the UE performs L1-RSRP measurement for the SSB to be measured. To our understanding, the similar condition can be reused for the unified TCI state. </w:t>
      </w:r>
    </w:p>
    <w:p w14:paraId="768FDED9" w14:textId="086516F5" w:rsidR="00A55993" w:rsidRDefault="00A55993" w:rsidP="000D71D7">
      <w:pPr>
        <w:jc w:val="both"/>
        <w:rPr>
          <w:rFonts w:eastAsia="新細明體" w:cstheme="minorHAnsi"/>
          <w:szCs w:val="24"/>
          <w:lang w:val="en-GB"/>
        </w:rPr>
      </w:pPr>
    </w:p>
    <w:p w14:paraId="7FC7E96E" w14:textId="09D4E31F" w:rsidR="00A55993" w:rsidRPr="004E530C" w:rsidRDefault="00A55993" w:rsidP="00A55993">
      <w:pPr>
        <w:pStyle w:val="af1"/>
        <w:jc w:val="both"/>
        <w:rPr>
          <w:sz w:val="24"/>
          <w:szCs w:val="24"/>
        </w:rPr>
      </w:pPr>
      <w:bookmarkStart w:id="7" w:name="_Ref95314138"/>
      <w:bookmarkStart w:id="8" w:name="_Ref95410662"/>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B635F7">
        <w:rPr>
          <w:noProof/>
          <w:sz w:val="24"/>
          <w:szCs w:val="24"/>
        </w:rPr>
        <w:t>4</w:t>
      </w:r>
      <w:r w:rsidRPr="004E530C">
        <w:rPr>
          <w:noProof/>
          <w:sz w:val="24"/>
          <w:szCs w:val="24"/>
        </w:rPr>
        <w:fldChar w:fldCharType="end"/>
      </w:r>
      <w:bookmarkEnd w:id="7"/>
      <w:r w:rsidRPr="004E530C">
        <w:rPr>
          <w:sz w:val="24"/>
          <w:szCs w:val="24"/>
        </w:rPr>
        <w:t xml:space="preserve">: </w:t>
      </w:r>
      <w:r>
        <w:rPr>
          <w:sz w:val="24"/>
          <w:szCs w:val="24"/>
        </w:rPr>
        <w:t>Non-serving cell is known if UE transmit</w:t>
      </w:r>
      <w:r w:rsidR="00B61158">
        <w:rPr>
          <w:sz w:val="24"/>
          <w:szCs w:val="24"/>
        </w:rPr>
        <w:t>s</w:t>
      </w:r>
      <w:r>
        <w:rPr>
          <w:sz w:val="24"/>
          <w:szCs w:val="24"/>
        </w:rPr>
        <w:t xml:space="preserve"> any L1-RSRP measurement report for the non-serving cell within [X] ms before the </w:t>
      </w:r>
      <w:r>
        <w:rPr>
          <w:rFonts w:eastAsia="新細明體"/>
          <w:sz w:val="24"/>
          <w:szCs w:val="24"/>
        </w:rPr>
        <w:t xml:space="preserve">TCI state </w:t>
      </w:r>
      <w:r w:rsidR="00B61158">
        <w:rPr>
          <w:rFonts w:eastAsia="新細明體"/>
          <w:sz w:val="24"/>
          <w:szCs w:val="24"/>
        </w:rPr>
        <w:t xml:space="preserve">is </w:t>
      </w:r>
      <w:r>
        <w:rPr>
          <w:rFonts w:eastAsia="新細明體"/>
          <w:sz w:val="24"/>
          <w:szCs w:val="24"/>
        </w:rPr>
        <w:t>switch</w:t>
      </w:r>
      <w:r w:rsidR="00B61158">
        <w:rPr>
          <w:rFonts w:eastAsia="新細明體"/>
          <w:sz w:val="24"/>
          <w:szCs w:val="24"/>
        </w:rPr>
        <w:t>ed</w:t>
      </w:r>
      <w:r>
        <w:rPr>
          <w:sz w:val="24"/>
          <w:szCs w:val="24"/>
        </w:rPr>
        <w:t xml:space="preserve">. FFS: [X] for the valid L1-RSRP report and </w:t>
      </w:r>
      <w:r w:rsidR="00D3730C">
        <w:rPr>
          <w:sz w:val="24"/>
          <w:szCs w:val="24"/>
        </w:rPr>
        <w:t>the value</w:t>
      </w:r>
      <w:r>
        <w:rPr>
          <w:sz w:val="24"/>
          <w:szCs w:val="24"/>
        </w:rPr>
        <w:t xml:space="preserve"> can follow the conclusion in inter-cell beam management.</w:t>
      </w:r>
      <w:bookmarkEnd w:id="8"/>
    </w:p>
    <w:p w14:paraId="1983BDD6" w14:textId="571B165D" w:rsidR="00BA3CB1" w:rsidRDefault="00BA3CB1" w:rsidP="00A92400">
      <w:pPr>
        <w:jc w:val="both"/>
        <w:rPr>
          <w:rFonts w:eastAsia="新細明體" w:cstheme="minorHAnsi"/>
          <w:szCs w:val="24"/>
          <w:lang w:val="en-GB"/>
        </w:rPr>
      </w:pPr>
    </w:p>
    <w:p w14:paraId="2F5A8656" w14:textId="77D2BAAC" w:rsidR="00BA3CB1" w:rsidRDefault="00BA3CB1" w:rsidP="00BA3CB1">
      <w:pPr>
        <w:jc w:val="both"/>
        <w:rPr>
          <w:rFonts w:eastAsia="新細明體" w:cstheme="minorHAnsi"/>
          <w:szCs w:val="24"/>
          <w:lang w:val="en-GB"/>
        </w:rPr>
      </w:pPr>
      <w:r>
        <w:rPr>
          <w:rFonts w:eastAsia="新細明體" w:cstheme="minorHAnsi"/>
          <w:szCs w:val="24"/>
          <w:lang w:val="en-GB"/>
        </w:rPr>
        <w:t xml:space="preserve">According to the </w:t>
      </w:r>
      <w:r>
        <w:rPr>
          <w:rFonts w:eastAsia="新細明體" w:cstheme="minorHAnsi"/>
          <w:szCs w:val="24"/>
          <w:lang w:val="en-GB"/>
        </w:rPr>
        <w:fldChar w:fldCharType="begin"/>
      </w:r>
      <w:r>
        <w:rPr>
          <w:rFonts w:eastAsia="新細明體" w:cstheme="minorHAnsi"/>
          <w:szCs w:val="24"/>
          <w:lang w:val="en-GB"/>
        </w:rPr>
        <w:instrText xml:space="preserve"> REF _Ref95314138 \h </w:instrText>
      </w:r>
      <w:r>
        <w:rPr>
          <w:rFonts w:eastAsia="新細明體" w:cstheme="minorHAnsi"/>
          <w:szCs w:val="24"/>
          <w:lang w:val="en-GB"/>
        </w:rPr>
      </w:r>
      <w:r>
        <w:rPr>
          <w:rFonts w:eastAsia="新細明體" w:cstheme="minorHAnsi"/>
          <w:szCs w:val="24"/>
          <w:lang w:val="en-GB"/>
        </w:rPr>
        <w:fldChar w:fldCharType="separate"/>
      </w:r>
      <w:r w:rsidR="00B635F7" w:rsidRPr="004E530C">
        <w:rPr>
          <w:szCs w:val="24"/>
        </w:rPr>
        <w:t xml:space="preserve">Proposal </w:t>
      </w:r>
      <w:r w:rsidR="00B635F7">
        <w:rPr>
          <w:noProof/>
          <w:szCs w:val="24"/>
        </w:rPr>
        <w:t>4</w:t>
      </w:r>
      <w:r>
        <w:rPr>
          <w:rFonts w:eastAsia="新細明體" w:cstheme="minorHAnsi"/>
          <w:szCs w:val="24"/>
          <w:lang w:val="en-GB"/>
        </w:rPr>
        <w:fldChar w:fldCharType="end"/>
      </w:r>
      <w:r>
        <w:rPr>
          <w:rFonts w:eastAsia="新細明體" w:cstheme="minorHAnsi"/>
          <w:szCs w:val="24"/>
          <w:lang w:val="en-GB"/>
        </w:rPr>
        <w:t xml:space="preserve">, </w:t>
      </w:r>
      <w:r w:rsidR="004139D3">
        <w:rPr>
          <w:rFonts w:eastAsia="新細明體" w:cstheme="minorHAnsi"/>
          <w:szCs w:val="24"/>
          <w:lang w:val="en-GB"/>
        </w:rPr>
        <w:t xml:space="preserve">as </w:t>
      </w:r>
      <w:r w:rsidR="004139D3">
        <w:rPr>
          <w:rFonts w:eastAsia="新細明體" w:cstheme="minorHAnsi"/>
          <w:szCs w:val="24"/>
          <w:lang w:val="en-GB"/>
        </w:rPr>
        <w:fldChar w:fldCharType="begin"/>
      </w:r>
      <w:r w:rsidR="004139D3">
        <w:rPr>
          <w:rFonts w:eastAsia="新細明體" w:cstheme="minorHAnsi"/>
          <w:szCs w:val="24"/>
          <w:lang w:val="en-GB"/>
        </w:rPr>
        <w:instrText xml:space="preserve"> REF _Ref91756416 \h </w:instrText>
      </w:r>
      <w:r w:rsidR="004139D3">
        <w:rPr>
          <w:rFonts w:eastAsia="新細明體" w:cstheme="minorHAnsi"/>
          <w:szCs w:val="24"/>
          <w:lang w:val="en-GB"/>
        </w:rPr>
      </w:r>
      <w:r w:rsidR="004139D3">
        <w:rPr>
          <w:rFonts w:eastAsia="新細明體" w:cstheme="minorHAnsi"/>
          <w:szCs w:val="24"/>
          <w:lang w:val="en-GB"/>
        </w:rPr>
        <w:fldChar w:fldCharType="separate"/>
      </w:r>
      <w:r w:rsidR="00B635F7" w:rsidRPr="00EE003B">
        <w:rPr>
          <w:rFonts w:cstheme="minorHAnsi"/>
          <w:szCs w:val="24"/>
        </w:rPr>
        <w:t xml:space="preserve">Table </w:t>
      </w:r>
      <w:r w:rsidR="00B635F7">
        <w:rPr>
          <w:rFonts w:cstheme="minorHAnsi"/>
          <w:noProof/>
          <w:szCs w:val="24"/>
        </w:rPr>
        <w:t>1</w:t>
      </w:r>
      <w:r w:rsidR="004139D3">
        <w:rPr>
          <w:rFonts w:eastAsia="新細明體" w:cstheme="minorHAnsi"/>
          <w:szCs w:val="24"/>
          <w:lang w:val="en-GB"/>
        </w:rPr>
        <w:fldChar w:fldCharType="end"/>
      </w:r>
      <w:r w:rsidR="004139D3">
        <w:rPr>
          <w:rFonts w:eastAsia="新細明體" w:cstheme="minorHAnsi"/>
          <w:szCs w:val="24"/>
          <w:lang w:val="en-GB"/>
        </w:rPr>
        <w:t xml:space="preserve">, </w:t>
      </w:r>
      <w:r>
        <w:rPr>
          <w:rFonts w:eastAsia="新細明體" w:cstheme="minorHAnsi"/>
          <w:szCs w:val="24"/>
          <w:lang w:val="en-GB"/>
        </w:rPr>
        <w:t xml:space="preserve">the case </w:t>
      </w:r>
      <w:r w:rsidR="00B61158">
        <w:rPr>
          <w:rFonts w:eastAsia="新細明體" w:cstheme="minorHAnsi"/>
          <w:szCs w:val="24"/>
          <w:lang w:val="en-GB"/>
        </w:rPr>
        <w:t>is</w:t>
      </w:r>
      <w:r>
        <w:rPr>
          <w:rFonts w:eastAsia="新細明體" w:cstheme="minorHAnsi"/>
          <w:szCs w:val="24"/>
          <w:lang w:val="en-GB"/>
        </w:rPr>
        <w:t xml:space="preserve"> separated into whether the non-serving cell is known or unknown and whether the target TCI state is known or not. Thus, </w:t>
      </w:r>
      <w:r w:rsidR="004139D3">
        <w:rPr>
          <w:rFonts w:eastAsia="新細明體" w:cstheme="minorHAnsi"/>
          <w:szCs w:val="24"/>
          <w:lang w:val="en-GB"/>
        </w:rPr>
        <w:t xml:space="preserve">whether </w:t>
      </w:r>
      <w:r>
        <w:rPr>
          <w:rFonts w:eastAsia="新細明體" w:cstheme="minorHAnsi"/>
          <w:szCs w:val="24"/>
          <w:lang w:val="en-GB"/>
        </w:rPr>
        <w:t>the extra</w:t>
      </w:r>
      <w:r w:rsidR="00B61158">
        <w:rPr>
          <w:rFonts w:eastAsia="新細明體" w:cstheme="minorHAnsi"/>
          <w:szCs w:val="24"/>
          <w:lang w:val="en-GB"/>
        </w:rPr>
        <w:t xml:space="preserve"> time</w:t>
      </w:r>
      <w:r>
        <w:rPr>
          <w:rFonts w:eastAsia="新細明體" w:cstheme="minorHAnsi"/>
          <w:szCs w:val="24"/>
          <w:lang w:val="en-GB"/>
        </w:rPr>
        <w:t xml:space="preserve"> period of </w:t>
      </w:r>
      <w:r>
        <w:rPr>
          <w:rFonts w:eastAsia="新細明體"/>
          <w:bCs/>
          <w:lang w:val="sv-SE"/>
        </w:rPr>
        <w:t>T</w:t>
      </w:r>
      <w:r w:rsidRPr="00F84912">
        <w:rPr>
          <w:rFonts w:eastAsia="新細明體"/>
          <w:bCs/>
          <w:vertAlign w:val="subscript"/>
          <w:lang w:val="sv-SE"/>
        </w:rPr>
        <w:t>PSS/SSS_sync_intra</w:t>
      </w:r>
      <w:r>
        <w:rPr>
          <w:rFonts w:eastAsia="新細明體"/>
          <w:bCs/>
          <w:lang w:val="sv-SE"/>
        </w:rPr>
        <w:t xml:space="preserve"> </w:t>
      </w:r>
      <w:r w:rsidR="00B61158">
        <w:rPr>
          <w:rFonts w:eastAsia="新細明體"/>
          <w:bCs/>
          <w:lang w:val="sv-SE"/>
        </w:rPr>
        <w:t>and</w:t>
      </w:r>
      <w:r>
        <w:rPr>
          <w:rFonts w:eastAsia="新細明體"/>
          <w:bCs/>
          <w:lang w:val="sv-SE"/>
        </w:rPr>
        <w:t xml:space="preserve"> T</w:t>
      </w:r>
      <w:r w:rsidRPr="00F84912">
        <w:rPr>
          <w:rFonts w:eastAsia="新細明體"/>
          <w:bCs/>
          <w:vertAlign w:val="subscript"/>
          <w:lang w:val="sv-SE"/>
        </w:rPr>
        <w:t>SSB_time_index_intra</w:t>
      </w:r>
      <w:r>
        <w:rPr>
          <w:rFonts w:eastAsia="新細明體"/>
          <w:bCs/>
          <w:vertAlign w:val="subscript"/>
          <w:lang w:val="sv-SE"/>
        </w:rPr>
        <w:t xml:space="preserve"> </w:t>
      </w:r>
      <w:r w:rsidR="00B61158">
        <w:rPr>
          <w:rFonts w:eastAsia="新細明體"/>
          <w:bCs/>
          <w:lang w:val="sv-SE"/>
        </w:rPr>
        <w:t xml:space="preserve">is </w:t>
      </w:r>
      <w:r w:rsidR="004139D3">
        <w:rPr>
          <w:rFonts w:eastAsia="新細明體"/>
          <w:bCs/>
          <w:lang w:val="sv-SE"/>
        </w:rPr>
        <w:t>needed or not is discussed</w:t>
      </w:r>
      <w:r>
        <w:rPr>
          <w:rFonts w:eastAsia="新細明體"/>
          <w:bCs/>
          <w:lang w:val="sv-SE"/>
        </w:rPr>
        <w:t xml:space="preserve"> for </w:t>
      </w:r>
      <w:r w:rsidR="004139D3">
        <w:rPr>
          <w:rFonts w:eastAsia="新細明體"/>
          <w:bCs/>
          <w:lang w:val="sv-SE"/>
        </w:rPr>
        <w:t>the four</w:t>
      </w:r>
      <w:r>
        <w:rPr>
          <w:rFonts w:eastAsia="新細明體"/>
          <w:bCs/>
          <w:lang w:val="sv-SE"/>
        </w:rPr>
        <w:t xml:space="preserve"> case</w:t>
      </w:r>
      <w:r w:rsidR="004139D3">
        <w:rPr>
          <w:rFonts w:eastAsia="新細明體"/>
          <w:bCs/>
          <w:lang w:val="sv-SE"/>
        </w:rPr>
        <w:t>s</w:t>
      </w:r>
      <w:r>
        <w:rPr>
          <w:rFonts w:eastAsia="新細明體"/>
          <w:bCs/>
          <w:lang w:val="sv-SE"/>
        </w:rPr>
        <w:t>.</w:t>
      </w:r>
      <w:r>
        <w:rPr>
          <w:rFonts w:eastAsia="新細明體" w:cstheme="minorHAnsi"/>
          <w:szCs w:val="24"/>
          <w:lang w:val="en-GB"/>
        </w:rPr>
        <w:t xml:space="preserve"> </w:t>
      </w:r>
    </w:p>
    <w:p w14:paraId="3EE06FCD" w14:textId="77777777" w:rsidR="00BA3CB1" w:rsidRDefault="00BA3CB1" w:rsidP="00BA3CB1">
      <w:pPr>
        <w:jc w:val="both"/>
        <w:rPr>
          <w:rFonts w:eastAsia="新細明體" w:cstheme="minorHAnsi"/>
          <w:szCs w:val="24"/>
          <w:lang w:val="en-GB"/>
        </w:rPr>
      </w:pPr>
    </w:p>
    <w:p w14:paraId="432DEE27" w14:textId="326BA943" w:rsidR="00BA3CB1" w:rsidRPr="00BA3CB1" w:rsidRDefault="00BA3CB1" w:rsidP="00BA3CB1">
      <w:pPr>
        <w:jc w:val="center"/>
        <w:rPr>
          <w:rFonts w:cstheme="minorHAnsi"/>
          <w:szCs w:val="24"/>
        </w:rPr>
      </w:pPr>
      <w:bookmarkStart w:id="9" w:name="_Ref91756416"/>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B635F7">
        <w:rPr>
          <w:rFonts w:cstheme="minorHAnsi"/>
          <w:noProof/>
          <w:szCs w:val="24"/>
        </w:rPr>
        <w:t>1</w:t>
      </w:r>
      <w:r w:rsidRPr="00EE003B">
        <w:rPr>
          <w:rFonts w:cstheme="minorHAnsi"/>
          <w:noProof/>
          <w:szCs w:val="24"/>
        </w:rPr>
        <w:fldChar w:fldCharType="end"/>
      </w:r>
      <w:bookmarkEnd w:id="9"/>
      <w:r w:rsidRPr="00EE003B">
        <w:rPr>
          <w:rFonts w:cstheme="minorHAnsi"/>
          <w:szCs w:val="24"/>
        </w:rPr>
        <w:t>.</w:t>
      </w:r>
      <w:bookmarkStart w:id="10" w:name="_Hlk95385986"/>
      <w:r w:rsidRPr="00EE003B">
        <w:rPr>
          <w:rFonts w:cstheme="minorHAnsi"/>
          <w:szCs w:val="24"/>
        </w:rPr>
        <w:t xml:space="preserve"> </w:t>
      </w:r>
      <w:r>
        <w:rPr>
          <w:rFonts w:cstheme="minorHAnsi"/>
          <w:szCs w:val="24"/>
        </w:rPr>
        <w:t xml:space="preserve">The </w:t>
      </w:r>
      <w:r w:rsidR="00CB2AC7">
        <w:rPr>
          <w:rFonts w:cstheme="minorHAnsi"/>
          <w:szCs w:val="24"/>
        </w:rPr>
        <w:t>summary</w:t>
      </w:r>
      <w:r w:rsidR="00A57210">
        <w:rPr>
          <w:rFonts w:cstheme="minorHAnsi"/>
          <w:szCs w:val="24"/>
        </w:rPr>
        <w:t xml:space="preserve"> for the extra time period </w:t>
      </w:r>
      <w:r>
        <w:rPr>
          <w:rFonts w:eastAsia="新細明體"/>
          <w:bCs/>
          <w:lang w:val="sv-SE"/>
        </w:rPr>
        <w:t>T</w:t>
      </w:r>
      <w:r w:rsidRPr="00F84912">
        <w:rPr>
          <w:rFonts w:eastAsia="新細明體"/>
          <w:bCs/>
          <w:vertAlign w:val="subscript"/>
          <w:lang w:val="sv-SE"/>
        </w:rPr>
        <w:t>PSS/SSS_sync_intra</w:t>
      </w:r>
      <w:r>
        <w:rPr>
          <w:rFonts w:eastAsia="新細明體"/>
          <w:bCs/>
          <w:lang w:val="sv-SE"/>
        </w:rPr>
        <w:t xml:space="preserve"> and T</w:t>
      </w:r>
      <w:r w:rsidRPr="00F84912">
        <w:rPr>
          <w:rFonts w:eastAsia="新細明體"/>
          <w:bCs/>
          <w:vertAlign w:val="subscript"/>
          <w:lang w:val="sv-SE"/>
        </w:rPr>
        <w:t>SSB_time_index_intra</w:t>
      </w:r>
      <w:bookmarkEnd w:id="10"/>
    </w:p>
    <w:p w14:paraId="54163079" w14:textId="77777777" w:rsidR="00BA3CB1" w:rsidRDefault="00BA3CB1" w:rsidP="00BA3CB1">
      <w:pPr>
        <w:jc w:val="center"/>
        <w:rPr>
          <w:rFonts w:eastAsia="新細明體"/>
          <w:szCs w:val="24"/>
          <w:lang w:val="en-GB"/>
        </w:rPr>
      </w:pPr>
      <w:r>
        <w:rPr>
          <w:rFonts w:eastAsia="新細明體"/>
          <w:szCs w:val="24"/>
          <w:lang w:val="en-GB"/>
        </w:rPr>
        <w:t xml:space="preserve"> </w:t>
      </w:r>
    </w:p>
    <w:tbl>
      <w:tblPr>
        <w:tblStyle w:val="af7"/>
        <w:tblW w:w="0" w:type="auto"/>
        <w:tblLook w:val="04A0" w:firstRow="1" w:lastRow="0" w:firstColumn="1" w:lastColumn="0" w:noHBand="0" w:noVBand="1"/>
      </w:tblPr>
      <w:tblGrid>
        <w:gridCol w:w="2405"/>
        <w:gridCol w:w="3544"/>
        <w:gridCol w:w="3680"/>
      </w:tblGrid>
      <w:tr w:rsidR="00BA3CB1" w14:paraId="1E4A024D" w14:textId="77777777" w:rsidTr="00053C45">
        <w:tc>
          <w:tcPr>
            <w:tcW w:w="2405" w:type="dxa"/>
            <w:tcBorders>
              <w:tl2br w:val="single" w:sz="4" w:space="0" w:color="auto"/>
            </w:tcBorders>
            <w:shd w:val="clear" w:color="auto" w:fill="E7E6E6" w:themeFill="background2"/>
          </w:tcPr>
          <w:p w14:paraId="724E77C8" w14:textId="77777777" w:rsidR="00BA3CB1" w:rsidRDefault="00BA3CB1" w:rsidP="00AB5CF5">
            <w:pPr>
              <w:spacing w:afterLines="50" w:after="120"/>
              <w:jc w:val="right"/>
              <w:rPr>
                <w:rFonts w:eastAsia="新細明體"/>
                <w:szCs w:val="24"/>
                <w:lang w:val="en-GB"/>
              </w:rPr>
            </w:pPr>
            <w:r w:rsidRPr="00943EB2">
              <w:rPr>
                <w:rFonts w:eastAsia="新細明體"/>
                <w:szCs w:val="24"/>
                <w:highlight w:val="yellow"/>
                <w:lang w:val="en-GB"/>
              </w:rPr>
              <w:t>Non-serving cell</w:t>
            </w:r>
          </w:p>
          <w:p w14:paraId="47562E17" w14:textId="77777777" w:rsidR="00BA3CB1" w:rsidRDefault="00BA3CB1" w:rsidP="00AB5CF5">
            <w:pPr>
              <w:spacing w:afterLines="50" w:after="120"/>
              <w:rPr>
                <w:rFonts w:eastAsia="新細明體"/>
                <w:szCs w:val="24"/>
                <w:highlight w:val="cyan"/>
                <w:lang w:val="en-GB"/>
              </w:rPr>
            </w:pPr>
          </w:p>
          <w:p w14:paraId="5032FAB3" w14:textId="77777777" w:rsidR="00BA3CB1" w:rsidRDefault="00BA3CB1" w:rsidP="00AB5CF5">
            <w:pPr>
              <w:spacing w:afterLines="50" w:after="120"/>
              <w:rPr>
                <w:rFonts w:eastAsia="新細明體"/>
                <w:szCs w:val="24"/>
                <w:lang w:val="en-GB"/>
              </w:rPr>
            </w:pPr>
            <w:r w:rsidRPr="00A57210">
              <w:rPr>
                <w:rFonts w:eastAsia="新細明體" w:hint="eastAsia"/>
                <w:szCs w:val="24"/>
                <w:highlight w:val="cyan"/>
                <w:lang w:val="en-GB"/>
              </w:rPr>
              <w:t>T</w:t>
            </w:r>
            <w:r w:rsidRPr="00A57210">
              <w:rPr>
                <w:rFonts w:eastAsia="新細明體"/>
                <w:szCs w:val="24"/>
                <w:highlight w:val="cyan"/>
                <w:lang w:val="en-GB"/>
              </w:rPr>
              <w:t>arget TCI state</w:t>
            </w:r>
          </w:p>
        </w:tc>
        <w:tc>
          <w:tcPr>
            <w:tcW w:w="3544" w:type="dxa"/>
            <w:shd w:val="clear" w:color="auto" w:fill="E7E6E6" w:themeFill="background2"/>
            <w:vAlign w:val="center"/>
          </w:tcPr>
          <w:p w14:paraId="4EC896C5" w14:textId="77777777" w:rsidR="00BA3CB1" w:rsidRPr="007025C1" w:rsidRDefault="00BA3CB1" w:rsidP="00AB5CF5">
            <w:pPr>
              <w:spacing w:afterLines="50" w:after="120"/>
              <w:jc w:val="center"/>
              <w:rPr>
                <w:rFonts w:eastAsia="新細明體"/>
                <w:szCs w:val="24"/>
                <w:lang w:val="en-GB"/>
              </w:rPr>
            </w:pPr>
            <w:r w:rsidRPr="007025C1">
              <w:rPr>
                <w:rFonts w:eastAsia="新細明體"/>
                <w:szCs w:val="24"/>
                <w:lang w:val="en-GB"/>
              </w:rPr>
              <w:t>Known</w:t>
            </w:r>
            <w:r w:rsidRPr="007025C1">
              <w:rPr>
                <w:rFonts w:eastAsia="新細明體"/>
                <w:szCs w:val="24"/>
                <w:vertAlign w:val="superscript"/>
                <w:lang w:val="en-GB"/>
              </w:rPr>
              <w:t>Note1</w:t>
            </w:r>
          </w:p>
        </w:tc>
        <w:tc>
          <w:tcPr>
            <w:tcW w:w="3680" w:type="dxa"/>
            <w:shd w:val="clear" w:color="auto" w:fill="E7E6E6" w:themeFill="background2"/>
            <w:vAlign w:val="center"/>
          </w:tcPr>
          <w:p w14:paraId="004CD312" w14:textId="77777777" w:rsidR="00BA3CB1" w:rsidRPr="007025C1" w:rsidRDefault="00BA3CB1" w:rsidP="00AB5CF5">
            <w:pPr>
              <w:spacing w:afterLines="50" w:after="120"/>
              <w:jc w:val="center"/>
              <w:rPr>
                <w:rFonts w:eastAsia="新細明體"/>
                <w:szCs w:val="24"/>
                <w:lang w:val="en-GB"/>
              </w:rPr>
            </w:pPr>
            <w:r w:rsidRPr="007025C1">
              <w:rPr>
                <w:rFonts w:eastAsia="新細明體"/>
                <w:szCs w:val="24"/>
                <w:lang w:val="en-GB"/>
              </w:rPr>
              <w:t>Unknown</w:t>
            </w:r>
          </w:p>
        </w:tc>
      </w:tr>
      <w:tr w:rsidR="00BA3CB1" w14:paraId="297CA848" w14:textId="77777777" w:rsidTr="00053C45">
        <w:tc>
          <w:tcPr>
            <w:tcW w:w="2405" w:type="dxa"/>
            <w:shd w:val="clear" w:color="auto" w:fill="E7E6E6" w:themeFill="background2"/>
            <w:vAlign w:val="center"/>
          </w:tcPr>
          <w:p w14:paraId="1847169F" w14:textId="77777777" w:rsidR="00BA3CB1" w:rsidRPr="007025C1" w:rsidRDefault="00BA3CB1" w:rsidP="00AB5CF5">
            <w:pPr>
              <w:spacing w:afterLines="50" w:after="120"/>
              <w:jc w:val="center"/>
              <w:rPr>
                <w:rFonts w:eastAsia="新細明體"/>
                <w:szCs w:val="24"/>
                <w:lang w:val="en-GB"/>
              </w:rPr>
            </w:pPr>
            <w:r>
              <w:rPr>
                <w:rFonts w:eastAsia="新細明體"/>
                <w:szCs w:val="24"/>
                <w:lang w:val="en-GB"/>
              </w:rPr>
              <w:t>known</w:t>
            </w:r>
          </w:p>
        </w:tc>
        <w:tc>
          <w:tcPr>
            <w:tcW w:w="3544" w:type="dxa"/>
            <w:vMerge w:val="restart"/>
            <w:vAlign w:val="center"/>
          </w:tcPr>
          <w:p w14:paraId="7A3BA108" w14:textId="77777777" w:rsidR="00BA3CB1" w:rsidRPr="00512E51" w:rsidRDefault="00BA3CB1" w:rsidP="00AB5CF5">
            <w:pPr>
              <w:spacing w:afterLines="50" w:after="120"/>
              <w:jc w:val="center"/>
              <w:rPr>
                <w:rFonts w:eastAsia="新細明體"/>
                <w:szCs w:val="24"/>
                <w:lang w:val="sv-SE"/>
              </w:rPr>
            </w:pPr>
            <w:r>
              <w:rPr>
                <w:rFonts w:eastAsia="新細明體"/>
                <w:bCs/>
                <w:lang w:val="sv-SE"/>
              </w:rPr>
              <w:t>T</w:t>
            </w:r>
            <w:r w:rsidRPr="00F84912">
              <w:rPr>
                <w:rFonts w:eastAsia="新細明體"/>
                <w:bCs/>
                <w:vertAlign w:val="subscript"/>
                <w:lang w:val="sv-SE"/>
              </w:rPr>
              <w:t>PSS/SSS_sync_intra</w:t>
            </w:r>
            <w:r>
              <w:rPr>
                <w:rFonts w:eastAsia="新細明體"/>
                <w:bCs/>
                <w:lang w:val="sv-SE"/>
              </w:rPr>
              <w:t xml:space="preserve"> &amp; T</w:t>
            </w:r>
            <w:r w:rsidRPr="00F84912">
              <w:rPr>
                <w:rFonts w:eastAsia="新細明體"/>
                <w:bCs/>
                <w:vertAlign w:val="subscript"/>
                <w:lang w:val="sv-SE"/>
              </w:rPr>
              <w:t>SSB_time_index_intra</w:t>
            </w:r>
            <w:r>
              <w:rPr>
                <w:rFonts w:eastAsia="新細明體"/>
                <w:bCs/>
                <w:vertAlign w:val="subscript"/>
                <w:lang w:val="sv-SE"/>
              </w:rPr>
              <w:t xml:space="preserve"> </w:t>
            </w:r>
            <w:r>
              <w:rPr>
                <w:rFonts w:eastAsia="新細明體"/>
                <w:bCs/>
                <w:lang w:val="sv-SE"/>
              </w:rPr>
              <w:t>are</w:t>
            </w:r>
            <w:r>
              <w:rPr>
                <w:rFonts w:eastAsia="新細明體"/>
                <w:szCs w:val="24"/>
                <w:lang w:val="sv-SE"/>
              </w:rPr>
              <w:t xml:space="preserve"> not needed, i.e.,</w:t>
            </w:r>
            <w:r>
              <w:rPr>
                <w:rFonts w:eastAsia="新細明體"/>
                <w:bCs/>
                <w:lang w:val="sv-SE"/>
              </w:rPr>
              <w:t xml:space="preserve"> the switch delay requirement can be the same as serving cell</w:t>
            </w:r>
          </w:p>
        </w:tc>
        <w:tc>
          <w:tcPr>
            <w:tcW w:w="3680" w:type="dxa"/>
            <w:vAlign w:val="center"/>
          </w:tcPr>
          <w:p w14:paraId="5C9DB6DA" w14:textId="77777777" w:rsidR="00BA3CB1" w:rsidRPr="00512E51" w:rsidRDefault="00BA3CB1" w:rsidP="00AB5CF5">
            <w:pPr>
              <w:spacing w:afterLines="50" w:after="120"/>
              <w:jc w:val="center"/>
              <w:rPr>
                <w:rFonts w:eastAsia="新細明體"/>
                <w:szCs w:val="24"/>
                <w:lang w:val="sv-SE"/>
              </w:rPr>
            </w:pPr>
            <w:r>
              <w:rPr>
                <w:rFonts w:eastAsia="新細明體"/>
                <w:szCs w:val="24"/>
                <w:lang w:val="sv-SE"/>
              </w:rPr>
              <w:t>No use case</w:t>
            </w:r>
          </w:p>
        </w:tc>
      </w:tr>
      <w:tr w:rsidR="00BA3CB1" w14:paraId="3248EBE0" w14:textId="77777777" w:rsidTr="00053C45">
        <w:tc>
          <w:tcPr>
            <w:tcW w:w="2405" w:type="dxa"/>
            <w:shd w:val="clear" w:color="auto" w:fill="E7E6E6" w:themeFill="background2"/>
            <w:vAlign w:val="center"/>
          </w:tcPr>
          <w:p w14:paraId="2E5098E4" w14:textId="77777777" w:rsidR="00BA3CB1" w:rsidRPr="007025C1" w:rsidRDefault="00BA3CB1" w:rsidP="00AB5CF5">
            <w:pPr>
              <w:spacing w:afterLines="50" w:after="120"/>
              <w:jc w:val="center"/>
              <w:rPr>
                <w:rFonts w:eastAsia="新細明體"/>
                <w:szCs w:val="24"/>
                <w:lang w:val="en-GB"/>
              </w:rPr>
            </w:pPr>
            <w:r>
              <w:rPr>
                <w:rFonts w:eastAsia="新細明體"/>
                <w:szCs w:val="24"/>
                <w:lang w:val="en-GB"/>
              </w:rPr>
              <w:t>unknown</w:t>
            </w:r>
          </w:p>
        </w:tc>
        <w:tc>
          <w:tcPr>
            <w:tcW w:w="3544" w:type="dxa"/>
            <w:vMerge/>
            <w:vAlign w:val="center"/>
          </w:tcPr>
          <w:p w14:paraId="65062849" w14:textId="77777777" w:rsidR="00BA3CB1" w:rsidRPr="00512E51" w:rsidRDefault="00BA3CB1" w:rsidP="00AB5CF5">
            <w:pPr>
              <w:spacing w:afterLines="50" w:after="120"/>
              <w:jc w:val="center"/>
              <w:rPr>
                <w:rFonts w:eastAsia="新細明體"/>
                <w:szCs w:val="24"/>
                <w:lang w:val="en-GB"/>
              </w:rPr>
            </w:pPr>
          </w:p>
        </w:tc>
        <w:tc>
          <w:tcPr>
            <w:tcW w:w="3680" w:type="dxa"/>
            <w:vAlign w:val="center"/>
          </w:tcPr>
          <w:p w14:paraId="384460F8" w14:textId="77777777" w:rsidR="00BA3CB1" w:rsidRDefault="00BA3CB1" w:rsidP="00AB5CF5">
            <w:pPr>
              <w:spacing w:afterLines="50" w:after="120"/>
              <w:jc w:val="center"/>
              <w:rPr>
                <w:rFonts w:eastAsia="新細明體"/>
                <w:szCs w:val="24"/>
                <w:lang w:val="en-GB"/>
              </w:rPr>
            </w:pPr>
            <w:r>
              <w:rPr>
                <w:rFonts w:eastAsia="新細明體"/>
                <w:bCs/>
                <w:lang w:val="sv-SE"/>
              </w:rPr>
              <w:t>T</w:t>
            </w:r>
            <w:r w:rsidRPr="00F84912">
              <w:rPr>
                <w:rFonts w:eastAsia="新細明體"/>
                <w:bCs/>
                <w:vertAlign w:val="subscript"/>
                <w:lang w:val="sv-SE"/>
              </w:rPr>
              <w:t>PSS/SSS_sync_intra</w:t>
            </w:r>
            <w:r>
              <w:rPr>
                <w:rFonts w:eastAsia="新細明體"/>
                <w:bCs/>
                <w:lang w:val="sv-SE"/>
              </w:rPr>
              <w:t xml:space="preserve"> &amp; T</w:t>
            </w:r>
            <w:r w:rsidRPr="00F84912">
              <w:rPr>
                <w:rFonts w:eastAsia="新細明體"/>
                <w:bCs/>
                <w:vertAlign w:val="subscript"/>
                <w:lang w:val="sv-SE"/>
              </w:rPr>
              <w:t>SSB_time_index_intra</w:t>
            </w:r>
            <w:r>
              <w:rPr>
                <w:rFonts w:eastAsia="新細明體"/>
                <w:bCs/>
                <w:vertAlign w:val="subscript"/>
                <w:lang w:val="sv-SE"/>
              </w:rPr>
              <w:t xml:space="preserve"> </w:t>
            </w:r>
            <w:r>
              <w:rPr>
                <w:rFonts w:eastAsia="新細明體"/>
                <w:bCs/>
                <w:lang w:val="sv-SE"/>
              </w:rPr>
              <w:t>are</w:t>
            </w:r>
            <w:r>
              <w:rPr>
                <w:rFonts w:eastAsia="新細明體"/>
                <w:szCs w:val="24"/>
                <w:lang w:val="sv-SE"/>
              </w:rPr>
              <w:t xml:space="preserve"> needed</w:t>
            </w:r>
          </w:p>
        </w:tc>
      </w:tr>
      <w:tr w:rsidR="00BA3CB1" w14:paraId="33429CC3" w14:textId="77777777" w:rsidTr="00AB5CF5">
        <w:tc>
          <w:tcPr>
            <w:tcW w:w="9629" w:type="dxa"/>
            <w:gridSpan w:val="3"/>
          </w:tcPr>
          <w:p w14:paraId="04CFCEF1" w14:textId="5D688D58" w:rsidR="00BA3CB1" w:rsidRPr="0054494A" w:rsidRDefault="00BA3CB1" w:rsidP="00A57210">
            <w:pPr>
              <w:pStyle w:val="af5"/>
              <w:numPr>
                <w:ilvl w:val="0"/>
                <w:numId w:val="8"/>
              </w:numPr>
              <w:spacing w:afterLines="50" w:after="120"/>
              <w:rPr>
                <w:rFonts w:eastAsia="新細明體"/>
                <w:bCs/>
                <w:lang w:val="sv-SE"/>
              </w:rPr>
            </w:pPr>
            <w:r w:rsidRPr="0054494A">
              <w:rPr>
                <w:rFonts w:eastAsia="新細明體" w:hint="eastAsia"/>
                <w:bCs/>
                <w:lang w:val="sv-SE"/>
              </w:rPr>
              <w:t>N</w:t>
            </w:r>
            <w:r w:rsidRPr="0054494A">
              <w:rPr>
                <w:rFonts w:eastAsia="新細明體"/>
                <w:bCs/>
                <w:lang w:val="sv-SE"/>
              </w:rPr>
              <w:t xml:space="preserve">ote 1: Non-serving cell becomes known if the L1 measurement report for </w:t>
            </w:r>
            <w:r w:rsidRPr="0054494A">
              <w:rPr>
                <w:rFonts w:eastAsia="新細明體"/>
                <w:b/>
                <w:color w:val="0000FF"/>
                <w:lang w:val="sv-SE"/>
              </w:rPr>
              <w:t>non-serving cell</w:t>
            </w:r>
            <w:r w:rsidRPr="0054494A">
              <w:rPr>
                <w:rFonts w:eastAsia="新細明體"/>
                <w:bCs/>
                <w:lang w:val="sv-SE"/>
              </w:rPr>
              <w:t xml:space="preserve"> is transmitted within [X] ms before</w:t>
            </w:r>
            <w:r w:rsidR="00A57210">
              <w:rPr>
                <w:rFonts w:eastAsia="新細明體"/>
                <w:bCs/>
                <w:lang w:val="sv-SE"/>
              </w:rPr>
              <w:t xml:space="preserve"> the TCI state is switched</w:t>
            </w:r>
          </w:p>
        </w:tc>
      </w:tr>
    </w:tbl>
    <w:p w14:paraId="1D84BAEF" w14:textId="04BB0200" w:rsidR="00BA3CB1" w:rsidRDefault="00BA3CB1" w:rsidP="00BA3CB1">
      <w:pPr>
        <w:jc w:val="both"/>
        <w:rPr>
          <w:rFonts w:eastAsia="新細明體" w:cstheme="minorHAnsi"/>
          <w:szCs w:val="24"/>
        </w:rPr>
      </w:pPr>
    </w:p>
    <w:p w14:paraId="4857BFA9" w14:textId="77777777" w:rsidR="00BA3CB1" w:rsidRPr="00F20315" w:rsidRDefault="00BA3CB1" w:rsidP="00BA3CB1">
      <w:pPr>
        <w:pStyle w:val="af5"/>
        <w:numPr>
          <w:ilvl w:val="0"/>
          <w:numId w:val="10"/>
        </w:numPr>
        <w:ind w:left="0" w:firstLine="0"/>
        <w:jc w:val="both"/>
        <w:rPr>
          <w:rFonts w:eastAsia="新細明體" w:cstheme="minorHAnsi"/>
          <w:szCs w:val="24"/>
          <w:lang w:val="en-GB"/>
        </w:rPr>
      </w:pPr>
      <w:r w:rsidRPr="00F20315">
        <w:rPr>
          <w:rFonts w:eastAsia="新細明體" w:cstheme="minorHAnsi" w:hint="eastAsia"/>
          <w:szCs w:val="24"/>
          <w:lang w:val="en-GB"/>
        </w:rPr>
        <w:t>C</w:t>
      </w:r>
      <w:r w:rsidRPr="00F20315">
        <w:rPr>
          <w:rFonts w:eastAsia="新細明體" w:cstheme="minorHAnsi"/>
          <w:szCs w:val="24"/>
          <w:lang w:val="en-GB"/>
        </w:rPr>
        <w:t xml:space="preserve">ase 1: The </w:t>
      </w:r>
      <w:r w:rsidRPr="00A57210">
        <w:rPr>
          <w:rFonts w:eastAsia="新細明體" w:cstheme="minorHAnsi"/>
          <w:szCs w:val="24"/>
          <w:highlight w:val="yellow"/>
          <w:lang w:val="en-GB"/>
        </w:rPr>
        <w:t>non-serving cell</w:t>
      </w:r>
      <w:r w:rsidRPr="00F20315">
        <w:rPr>
          <w:rFonts w:eastAsia="新細明體" w:cstheme="minorHAnsi"/>
          <w:szCs w:val="24"/>
          <w:lang w:val="en-GB"/>
        </w:rPr>
        <w:t xml:space="preserve"> is </w:t>
      </w:r>
      <w:r w:rsidRPr="00F20315">
        <w:rPr>
          <w:rFonts w:eastAsia="新細明體" w:cstheme="minorHAnsi"/>
          <w:color w:val="0000FF"/>
          <w:szCs w:val="24"/>
          <w:lang w:val="en-GB"/>
        </w:rPr>
        <w:t xml:space="preserve">known </w:t>
      </w:r>
      <w:r w:rsidRPr="00F20315">
        <w:rPr>
          <w:rFonts w:eastAsia="新細明體" w:cstheme="minorHAnsi"/>
          <w:szCs w:val="24"/>
          <w:lang w:val="en-GB"/>
        </w:rPr>
        <w:t xml:space="preserve">and </w:t>
      </w:r>
      <w:r>
        <w:rPr>
          <w:rFonts w:eastAsia="新細明體" w:cstheme="minorHAnsi"/>
          <w:szCs w:val="24"/>
          <w:lang w:val="en-GB"/>
        </w:rPr>
        <w:t xml:space="preserve">the </w:t>
      </w:r>
      <w:r w:rsidRPr="00A57210">
        <w:rPr>
          <w:rFonts w:eastAsia="新細明體" w:cstheme="minorHAnsi"/>
          <w:szCs w:val="24"/>
          <w:highlight w:val="cyan"/>
          <w:lang w:val="en-GB"/>
        </w:rPr>
        <w:t>target TCI state</w:t>
      </w:r>
      <w:r w:rsidRPr="00F20315">
        <w:rPr>
          <w:rFonts w:eastAsia="新細明體" w:cstheme="minorHAnsi"/>
          <w:szCs w:val="24"/>
          <w:lang w:val="en-GB"/>
        </w:rPr>
        <w:t xml:space="preserve"> is </w:t>
      </w:r>
      <w:r w:rsidRPr="00F20315">
        <w:rPr>
          <w:rFonts w:eastAsia="新細明體" w:cstheme="minorHAnsi"/>
          <w:color w:val="0000FF"/>
          <w:szCs w:val="24"/>
          <w:lang w:val="en-GB"/>
        </w:rPr>
        <w:t>known</w:t>
      </w:r>
    </w:p>
    <w:p w14:paraId="69608BF6" w14:textId="1E13DAE8" w:rsidR="00BA3CB1" w:rsidRDefault="00BA3CB1" w:rsidP="00BA3CB1">
      <w:pPr>
        <w:pStyle w:val="af5"/>
        <w:numPr>
          <w:ilvl w:val="1"/>
          <w:numId w:val="10"/>
        </w:numPr>
        <w:jc w:val="both"/>
        <w:rPr>
          <w:rFonts w:eastAsia="新細明體" w:cstheme="minorHAnsi"/>
          <w:szCs w:val="24"/>
          <w:lang w:val="en-GB"/>
        </w:rPr>
      </w:pPr>
      <w:r>
        <w:rPr>
          <w:rFonts w:eastAsia="新細明體" w:cstheme="minorHAnsi" w:hint="eastAsia"/>
          <w:szCs w:val="24"/>
          <w:lang w:val="en-GB" w:eastAsia="zh-TW"/>
        </w:rPr>
        <w:t>I</w:t>
      </w:r>
      <w:r>
        <w:rPr>
          <w:rFonts w:eastAsia="新細明體" w:cstheme="minorHAnsi"/>
          <w:szCs w:val="24"/>
          <w:lang w:val="en-GB" w:eastAsia="zh-TW"/>
        </w:rPr>
        <w:t xml:space="preserve">n this case, the same switch delay requirement as serving cell can be reused because UE has transmitted the L1-RSRP measurement </w:t>
      </w:r>
      <w:r w:rsidR="00994AA5">
        <w:rPr>
          <w:rFonts w:eastAsia="新細明體" w:cstheme="minorHAnsi"/>
          <w:szCs w:val="24"/>
          <w:lang w:val="en-GB" w:eastAsia="zh-TW"/>
        </w:rPr>
        <w:t xml:space="preserve">report </w:t>
      </w:r>
      <w:r>
        <w:rPr>
          <w:rFonts w:eastAsia="新細明體" w:cstheme="minorHAnsi"/>
          <w:szCs w:val="24"/>
          <w:lang w:val="en-GB" w:eastAsia="zh-TW"/>
        </w:rPr>
        <w:t>for the target TCI state before TCI state switch. Thus, no extra delay is needed.</w:t>
      </w:r>
    </w:p>
    <w:p w14:paraId="4B351137" w14:textId="431653A4" w:rsidR="00BA3CB1" w:rsidRDefault="00BA3CB1" w:rsidP="00BA3CB1">
      <w:pPr>
        <w:jc w:val="both"/>
        <w:rPr>
          <w:rFonts w:eastAsia="新細明體" w:cstheme="minorHAnsi"/>
          <w:szCs w:val="24"/>
          <w:lang w:val="en-GB"/>
        </w:rPr>
      </w:pPr>
    </w:p>
    <w:p w14:paraId="1B2A591D" w14:textId="64073A7B" w:rsidR="00AC3F6C" w:rsidRDefault="00AC3F6C" w:rsidP="00AC3F6C">
      <w:pPr>
        <w:pStyle w:val="af1"/>
        <w:jc w:val="both"/>
        <w:rPr>
          <w:sz w:val="24"/>
          <w:szCs w:val="24"/>
        </w:rPr>
      </w:pPr>
      <w:bookmarkStart w:id="11" w:name="_Ref95410679"/>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B635F7">
        <w:rPr>
          <w:noProof/>
          <w:sz w:val="24"/>
          <w:szCs w:val="24"/>
        </w:rPr>
        <w:t>5</w:t>
      </w:r>
      <w:r w:rsidRPr="004E530C">
        <w:rPr>
          <w:noProof/>
          <w:sz w:val="24"/>
          <w:szCs w:val="24"/>
        </w:rPr>
        <w:fldChar w:fldCharType="end"/>
      </w:r>
      <w:r w:rsidRPr="004E530C">
        <w:rPr>
          <w:sz w:val="24"/>
          <w:szCs w:val="24"/>
        </w:rPr>
        <w:t xml:space="preserve">: </w:t>
      </w:r>
      <w:r>
        <w:rPr>
          <w:sz w:val="24"/>
          <w:szCs w:val="24"/>
        </w:rPr>
        <w:t xml:space="preserve">For the case when </w:t>
      </w:r>
      <w:r w:rsidRPr="008C4C3F">
        <w:rPr>
          <w:sz w:val="24"/>
          <w:szCs w:val="24"/>
        </w:rPr>
        <w:t>the non-serving cell is known and the target TCI state is known</w:t>
      </w:r>
      <w:r>
        <w:rPr>
          <w:sz w:val="24"/>
          <w:szCs w:val="24"/>
        </w:rPr>
        <w:t xml:space="preserve">, </w:t>
      </w:r>
      <w:r w:rsidRPr="008C4C3F">
        <w:rPr>
          <w:sz w:val="24"/>
          <w:szCs w:val="24"/>
        </w:rPr>
        <w:t xml:space="preserve">the same </w:t>
      </w:r>
      <w:r w:rsidR="00B627C6">
        <w:rPr>
          <w:sz w:val="24"/>
          <w:szCs w:val="24"/>
        </w:rPr>
        <w:t xml:space="preserve">TCI state </w:t>
      </w:r>
      <w:r w:rsidRPr="008C4C3F">
        <w:rPr>
          <w:sz w:val="24"/>
          <w:szCs w:val="24"/>
        </w:rPr>
        <w:t>switch delay requirement as serving cell can be reused</w:t>
      </w:r>
      <w:r>
        <w:rPr>
          <w:sz w:val="24"/>
          <w:szCs w:val="24"/>
        </w:rPr>
        <w:t>.</w:t>
      </w:r>
      <w:bookmarkEnd w:id="11"/>
    </w:p>
    <w:p w14:paraId="4121A727" w14:textId="77777777" w:rsidR="00AC3F6C" w:rsidRPr="00F20315" w:rsidRDefault="00AC3F6C" w:rsidP="00BA3CB1">
      <w:pPr>
        <w:jc w:val="both"/>
        <w:rPr>
          <w:rFonts w:eastAsia="新細明體" w:cstheme="minorHAnsi"/>
          <w:szCs w:val="24"/>
          <w:lang w:val="en-GB"/>
        </w:rPr>
      </w:pPr>
    </w:p>
    <w:p w14:paraId="4DE23FA6" w14:textId="77777777" w:rsidR="00BA3CB1" w:rsidRPr="008C4C3F" w:rsidRDefault="00BA3CB1" w:rsidP="00BA3CB1">
      <w:pPr>
        <w:pStyle w:val="af5"/>
        <w:numPr>
          <w:ilvl w:val="0"/>
          <w:numId w:val="10"/>
        </w:numPr>
        <w:ind w:left="0" w:firstLine="0"/>
        <w:jc w:val="both"/>
        <w:rPr>
          <w:rFonts w:eastAsia="新細明體" w:cstheme="minorHAnsi"/>
          <w:szCs w:val="24"/>
          <w:lang w:val="en-GB"/>
        </w:rPr>
      </w:pPr>
      <w:r w:rsidRPr="00F20315">
        <w:rPr>
          <w:rFonts w:eastAsia="新細明體" w:cstheme="minorHAnsi" w:hint="eastAsia"/>
          <w:szCs w:val="24"/>
          <w:lang w:val="en-GB"/>
        </w:rPr>
        <w:t>C</w:t>
      </w:r>
      <w:r w:rsidRPr="00F20315">
        <w:rPr>
          <w:rFonts w:eastAsia="新細明體" w:cstheme="minorHAnsi"/>
          <w:szCs w:val="24"/>
          <w:lang w:val="en-GB"/>
        </w:rPr>
        <w:t xml:space="preserve">ase 2: The </w:t>
      </w:r>
      <w:r w:rsidRPr="00A57210">
        <w:rPr>
          <w:rFonts w:eastAsia="新細明體" w:cstheme="minorHAnsi"/>
          <w:szCs w:val="24"/>
          <w:highlight w:val="yellow"/>
          <w:lang w:val="en-GB"/>
        </w:rPr>
        <w:t>non-serving cell</w:t>
      </w:r>
      <w:r w:rsidRPr="00F20315">
        <w:rPr>
          <w:rFonts w:eastAsia="新細明體" w:cstheme="minorHAnsi"/>
          <w:szCs w:val="24"/>
          <w:lang w:val="en-GB"/>
        </w:rPr>
        <w:t xml:space="preserve"> is </w:t>
      </w:r>
      <w:r w:rsidRPr="00F20315">
        <w:rPr>
          <w:rFonts w:eastAsia="新細明體" w:cstheme="minorHAnsi"/>
          <w:color w:val="0000FF"/>
          <w:szCs w:val="24"/>
          <w:lang w:val="en-GB"/>
        </w:rPr>
        <w:t xml:space="preserve">known </w:t>
      </w:r>
      <w:r w:rsidRPr="00F20315">
        <w:rPr>
          <w:rFonts w:eastAsia="新細明體" w:cstheme="minorHAnsi"/>
          <w:szCs w:val="24"/>
          <w:lang w:val="en-GB"/>
        </w:rPr>
        <w:t xml:space="preserve">and </w:t>
      </w:r>
      <w:r>
        <w:rPr>
          <w:rFonts w:eastAsia="新細明體" w:cstheme="minorHAnsi"/>
          <w:szCs w:val="24"/>
          <w:lang w:val="en-GB"/>
        </w:rPr>
        <w:t xml:space="preserve">the </w:t>
      </w:r>
      <w:r w:rsidRPr="00A57210">
        <w:rPr>
          <w:rFonts w:eastAsia="新細明體" w:cstheme="minorHAnsi"/>
          <w:szCs w:val="24"/>
          <w:highlight w:val="cyan"/>
          <w:lang w:val="en-GB"/>
        </w:rPr>
        <w:t>target TCI state</w:t>
      </w:r>
      <w:r w:rsidRPr="00F20315">
        <w:rPr>
          <w:rFonts w:eastAsia="新細明體" w:cstheme="minorHAnsi"/>
          <w:szCs w:val="24"/>
          <w:lang w:val="en-GB"/>
        </w:rPr>
        <w:t xml:space="preserve"> is </w:t>
      </w:r>
      <w:r w:rsidRPr="00F20315">
        <w:rPr>
          <w:rFonts w:eastAsia="新細明體" w:cstheme="minorHAnsi"/>
          <w:color w:val="FF0000"/>
          <w:szCs w:val="24"/>
          <w:lang w:val="en-GB"/>
        </w:rPr>
        <w:t>unknown</w:t>
      </w:r>
    </w:p>
    <w:p w14:paraId="4535DB7B" w14:textId="4409FFE2" w:rsidR="00BA3CB1" w:rsidRPr="00AC3F6C" w:rsidRDefault="00BA3CB1" w:rsidP="00A92400">
      <w:pPr>
        <w:pStyle w:val="af5"/>
        <w:numPr>
          <w:ilvl w:val="1"/>
          <w:numId w:val="10"/>
        </w:numPr>
        <w:jc w:val="both"/>
        <w:rPr>
          <w:rFonts w:eastAsia="新細明體" w:cstheme="minorHAnsi"/>
          <w:szCs w:val="24"/>
          <w:lang w:val="en-GB"/>
        </w:rPr>
      </w:pPr>
      <w:r>
        <w:rPr>
          <w:rFonts w:eastAsia="新細明體" w:cstheme="minorHAnsi" w:hint="eastAsia"/>
          <w:szCs w:val="24"/>
          <w:lang w:val="en-GB" w:eastAsia="zh-TW"/>
        </w:rPr>
        <w:t>I</w:t>
      </w:r>
      <w:r>
        <w:rPr>
          <w:rFonts w:eastAsia="新細明體" w:cstheme="minorHAnsi"/>
          <w:szCs w:val="24"/>
          <w:lang w:val="en-GB" w:eastAsia="zh-TW"/>
        </w:rPr>
        <w:t xml:space="preserve">n this case, the same switch delay requirement as serving cell can be reused. Because the L1-RSRP measurement report has been transmitted based on other SSB for the non-serving cell, i.e., the information of the non-serving cell’s timing, frequency, SFN and SSB index is known for UE. Thus, </w:t>
      </w:r>
      <w:r w:rsidR="00053C45">
        <w:rPr>
          <w:rFonts w:eastAsia="新細明體" w:cstheme="minorHAnsi"/>
          <w:szCs w:val="24"/>
          <w:lang w:val="en-GB" w:eastAsia="zh-TW"/>
        </w:rPr>
        <w:t>the</w:t>
      </w:r>
      <w:r>
        <w:rPr>
          <w:rFonts w:eastAsia="新細明體" w:cstheme="minorHAnsi"/>
          <w:szCs w:val="24"/>
          <w:lang w:val="en-GB" w:eastAsia="zh-TW"/>
        </w:rPr>
        <w:t xml:space="preserve"> information could be reused and no extra delay is needed</w:t>
      </w:r>
      <w:r>
        <w:rPr>
          <w:rFonts w:eastAsia="新細明體" w:cstheme="minorHAnsi"/>
          <w:szCs w:val="24"/>
          <w:lang w:val="en-GB"/>
        </w:rPr>
        <w:t>.</w:t>
      </w:r>
      <w:r>
        <w:rPr>
          <w:rFonts w:eastAsia="新細明體"/>
          <w:bCs/>
          <w:lang w:val="sv-SE"/>
        </w:rPr>
        <w:t xml:space="preserve"> </w:t>
      </w:r>
    </w:p>
    <w:p w14:paraId="150F472F" w14:textId="77777777" w:rsidR="00AC3F6C" w:rsidRPr="00AC3F6C" w:rsidRDefault="00AC3F6C" w:rsidP="00AC3F6C">
      <w:pPr>
        <w:pStyle w:val="af5"/>
        <w:ind w:left="960"/>
        <w:jc w:val="both"/>
        <w:rPr>
          <w:rFonts w:eastAsia="新細明體" w:cstheme="minorHAnsi"/>
          <w:szCs w:val="24"/>
          <w:lang w:val="en-GB"/>
        </w:rPr>
      </w:pPr>
    </w:p>
    <w:p w14:paraId="4AAE02EE" w14:textId="61AD2F38" w:rsidR="00AC3F6C" w:rsidRPr="004E530C" w:rsidRDefault="00AC3F6C" w:rsidP="00AC3F6C">
      <w:pPr>
        <w:pStyle w:val="af1"/>
        <w:jc w:val="both"/>
        <w:rPr>
          <w:sz w:val="24"/>
          <w:szCs w:val="24"/>
        </w:rPr>
      </w:pPr>
      <w:bookmarkStart w:id="12" w:name="_Ref95410685"/>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B635F7">
        <w:rPr>
          <w:noProof/>
          <w:sz w:val="24"/>
          <w:szCs w:val="24"/>
        </w:rPr>
        <w:t>6</w:t>
      </w:r>
      <w:r w:rsidRPr="004E530C">
        <w:rPr>
          <w:noProof/>
          <w:sz w:val="24"/>
          <w:szCs w:val="24"/>
        </w:rPr>
        <w:fldChar w:fldCharType="end"/>
      </w:r>
      <w:r w:rsidRPr="004E530C">
        <w:rPr>
          <w:sz w:val="24"/>
          <w:szCs w:val="24"/>
        </w:rPr>
        <w:t xml:space="preserve">: </w:t>
      </w:r>
      <w:r>
        <w:rPr>
          <w:sz w:val="24"/>
          <w:szCs w:val="24"/>
        </w:rPr>
        <w:t xml:space="preserve">For the case when </w:t>
      </w:r>
      <w:r w:rsidRPr="008C4C3F">
        <w:rPr>
          <w:sz w:val="24"/>
          <w:szCs w:val="24"/>
        </w:rPr>
        <w:t xml:space="preserve">the non-serving cell is known and the target TCI state is </w:t>
      </w:r>
      <w:r>
        <w:rPr>
          <w:sz w:val="24"/>
          <w:szCs w:val="24"/>
        </w:rPr>
        <w:t>un</w:t>
      </w:r>
      <w:r w:rsidRPr="008C4C3F">
        <w:rPr>
          <w:sz w:val="24"/>
          <w:szCs w:val="24"/>
        </w:rPr>
        <w:t>known</w:t>
      </w:r>
      <w:r>
        <w:rPr>
          <w:sz w:val="24"/>
          <w:szCs w:val="24"/>
        </w:rPr>
        <w:t xml:space="preserve">, </w:t>
      </w:r>
      <w:r w:rsidRPr="008C4C3F">
        <w:rPr>
          <w:sz w:val="24"/>
          <w:szCs w:val="24"/>
        </w:rPr>
        <w:t xml:space="preserve">the same </w:t>
      </w:r>
      <w:r w:rsidR="00B627C6">
        <w:rPr>
          <w:sz w:val="24"/>
          <w:szCs w:val="24"/>
        </w:rPr>
        <w:t xml:space="preserve">TCI state </w:t>
      </w:r>
      <w:r w:rsidRPr="008C4C3F">
        <w:rPr>
          <w:sz w:val="24"/>
          <w:szCs w:val="24"/>
        </w:rPr>
        <w:t>switch delay requirement as serving cell can be reused</w:t>
      </w:r>
      <w:r>
        <w:rPr>
          <w:sz w:val="24"/>
          <w:szCs w:val="24"/>
        </w:rPr>
        <w:t>.</w:t>
      </w:r>
      <w:bookmarkEnd w:id="12"/>
    </w:p>
    <w:p w14:paraId="1A3127D9" w14:textId="77777777" w:rsidR="00AC3F6C" w:rsidRDefault="00AC3F6C" w:rsidP="00A92400">
      <w:pPr>
        <w:jc w:val="both"/>
        <w:rPr>
          <w:rFonts w:eastAsia="新細明體" w:cstheme="minorHAnsi"/>
          <w:szCs w:val="24"/>
        </w:rPr>
      </w:pPr>
    </w:p>
    <w:p w14:paraId="4CD4F3B0" w14:textId="45A3DAB2" w:rsidR="009C5A0E" w:rsidRPr="009C5A0E" w:rsidRDefault="009C5A0E" w:rsidP="009C5A0E">
      <w:pPr>
        <w:pStyle w:val="af5"/>
        <w:numPr>
          <w:ilvl w:val="0"/>
          <w:numId w:val="10"/>
        </w:numPr>
        <w:ind w:left="0" w:firstLine="0"/>
        <w:jc w:val="both"/>
        <w:rPr>
          <w:rFonts w:eastAsia="新細明體" w:cstheme="minorHAnsi"/>
          <w:szCs w:val="24"/>
          <w:lang w:val="en-GB"/>
        </w:rPr>
      </w:pPr>
      <w:r w:rsidRPr="00F20315">
        <w:rPr>
          <w:rFonts w:eastAsia="新細明體" w:cstheme="minorHAnsi" w:hint="eastAsia"/>
          <w:szCs w:val="24"/>
          <w:lang w:val="en-GB"/>
        </w:rPr>
        <w:lastRenderedPageBreak/>
        <w:t>C</w:t>
      </w:r>
      <w:r w:rsidRPr="00F20315">
        <w:rPr>
          <w:rFonts w:eastAsia="新細明體" w:cstheme="minorHAnsi"/>
          <w:szCs w:val="24"/>
          <w:lang w:val="en-GB"/>
        </w:rPr>
        <w:t xml:space="preserve">ase 3: The </w:t>
      </w:r>
      <w:r w:rsidRPr="00A57210">
        <w:rPr>
          <w:rFonts w:eastAsia="新細明體" w:cstheme="minorHAnsi"/>
          <w:szCs w:val="24"/>
          <w:highlight w:val="yellow"/>
          <w:lang w:val="en-GB"/>
        </w:rPr>
        <w:t>non-serving cell</w:t>
      </w:r>
      <w:r w:rsidRPr="00F20315">
        <w:rPr>
          <w:rFonts w:eastAsia="新細明體" w:cstheme="minorHAnsi"/>
          <w:szCs w:val="24"/>
          <w:lang w:val="en-GB"/>
        </w:rPr>
        <w:t xml:space="preserve"> is </w:t>
      </w:r>
      <w:r w:rsidRPr="00F20315">
        <w:rPr>
          <w:rFonts w:eastAsia="新細明體" w:cstheme="minorHAnsi"/>
          <w:color w:val="FF0000"/>
          <w:szCs w:val="24"/>
          <w:lang w:val="en-GB"/>
        </w:rPr>
        <w:t xml:space="preserve">unknown </w:t>
      </w:r>
      <w:r w:rsidRPr="00F20315">
        <w:rPr>
          <w:rFonts w:eastAsia="新細明體" w:cstheme="minorHAnsi"/>
          <w:szCs w:val="24"/>
          <w:lang w:val="en-GB"/>
        </w:rPr>
        <w:t xml:space="preserve">and </w:t>
      </w:r>
      <w:r>
        <w:rPr>
          <w:rFonts w:eastAsia="新細明體" w:cstheme="minorHAnsi"/>
          <w:szCs w:val="24"/>
          <w:lang w:val="en-GB"/>
        </w:rPr>
        <w:t xml:space="preserve">the </w:t>
      </w:r>
      <w:r w:rsidRPr="00A57210">
        <w:rPr>
          <w:rFonts w:eastAsia="新細明體" w:cstheme="minorHAnsi"/>
          <w:szCs w:val="24"/>
          <w:highlight w:val="cyan"/>
          <w:lang w:val="en-GB"/>
        </w:rPr>
        <w:t>target TCI state</w:t>
      </w:r>
      <w:r w:rsidRPr="00F20315">
        <w:rPr>
          <w:rFonts w:eastAsia="新細明體" w:cstheme="minorHAnsi"/>
          <w:szCs w:val="24"/>
          <w:lang w:val="en-GB"/>
        </w:rPr>
        <w:t xml:space="preserve"> is </w:t>
      </w:r>
      <w:r w:rsidRPr="00F20315">
        <w:rPr>
          <w:rFonts w:eastAsia="新細明體" w:cstheme="minorHAnsi"/>
          <w:color w:val="0000FF"/>
          <w:szCs w:val="24"/>
          <w:lang w:val="en-GB"/>
        </w:rPr>
        <w:t>known</w:t>
      </w:r>
    </w:p>
    <w:p w14:paraId="3A09B3B5" w14:textId="0A4D12D4" w:rsidR="009C5A0E" w:rsidRPr="00F20315" w:rsidRDefault="009C5A0E" w:rsidP="009C5A0E">
      <w:pPr>
        <w:pStyle w:val="af5"/>
        <w:numPr>
          <w:ilvl w:val="1"/>
          <w:numId w:val="10"/>
        </w:numPr>
        <w:jc w:val="both"/>
        <w:rPr>
          <w:rFonts w:eastAsia="新細明體" w:cstheme="minorHAnsi"/>
          <w:szCs w:val="24"/>
          <w:lang w:val="en-GB" w:eastAsia="zh-TW"/>
        </w:rPr>
      </w:pPr>
      <w:r w:rsidRPr="00F005C2">
        <w:rPr>
          <w:rFonts w:eastAsia="新細明體" w:cstheme="minorHAnsi" w:hint="eastAsia"/>
          <w:szCs w:val="24"/>
          <w:lang w:val="en-GB" w:eastAsia="zh-TW"/>
        </w:rPr>
        <w:t>B</w:t>
      </w:r>
      <w:r w:rsidRPr="00F005C2">
        <w:rPr>
          <w:rFonts w:eastAsia="新細明體" w:cstheme="minorHAnsi"/>
          <w:szCs w:val="24"/>
          <w:lang w:val="en-GB" w:eastAsia="zh-TW"/>
        </w:rPr>
        <w:t xml:space="preserve">ased on </w:t>
      </w:r>
      <w:r w:rsidRPr="00F005C2">
        <w:rPr>
          <w:rFonts w:eastAsia="新細明體" w:cstheme="minorHAnsi"/>
          <w:szCs w:val="24"/>
          <w:lang w:val="en-GB" w:eastAsia="zh-TW"/>
        </w:rPr>
        <w:fldChar w:fldCharType="begin"/>
      </w:r>
      <w:r w:rsidRPr="00F005C2">
        <w:rPr>
          <w:rFonts w:eastAsia="新細明體" w:cstheme="minorHAnsi"/>
          <w:szCs w:val="24"/>
          <w:lang w:val="en-GB" w:eastAsia="zh-TW"/>
        </w:rPr>
        <w:instrText xml:space="preserve"> REF _Ref95314138 \h </w:instrText>
      </w:r>
      <w:r w:rsidR="00F005C2">
        <w:rPr>
          <w:rFonts w:eastAsia="新細明體" w:cstheme="minorHAnsi"/>
          <w:szCs w:val="24"/>
          <w:lang w:val="en-GB" w:eastAsia="zh-TW"/>
        </w:rPr>
        <w:instrText xml:space="preserve"> \* MERGEFORMAT </w:instrText>
      </w:r>
      <w:r w:rsidRPr="00F005C2">
        <w:rPr>
          <w:rFonts w:eastAsia="新細明體" w:cstheme="minorHAnsi"/>
          <w:szCs w:val="24"/>
          <w:lang w:val="en-GB" w:eastAsia="zh-TW"/>
        </w:rPr>
      </w:r>
      <w:r w:rsidRPr="00F005C2">
        <w:rPr>
          <w:rFonts w:eastAsia="新細明體" w:cstheme="minorHAnsi"/>
          <w:szCs w:val="24"/>
          <w:lang w:val="en-GB" w:eastAsia="zh-TW"/>
        </w:rPr>
        <w:fldChar w:fldCharType="separate"/>
      </w:r>
      <w:r w:rsidR="00B635F7" w:rsidRPr="00B635F7">
        <w:rPr>
          <w:rFonts w:eastAsia="新細明體" w:cstheme="minorHAnsi"/>
          <w:szCs w:val="24"/>
          <w:lang w:val="en-GB" w:eastAsia="zh-TW"/>
        </w:rPr>
        <w:t>Proposal 4</w:t>
      </w:r>
      <w:r w:rsidRPr="00F005C2">
        <w:rPr>
          <w:rFonts w:eastAsia="新細明體" w:cstheme="minorHAnsi"/>
          <w:szCs w:val="24"/>
          <w:lang w:val="en-GB" w:eastAsia="zh-TW"/>
        </w:rPr>
        <w:fldChar w:fldCharType="end"/>
      </w:r>
      <w:r w:rsidRPr="00F005C2">
        <w:rPr>
          <w:rFonts w:eastAsia="新細明體" w:cstheme="minorHAnsi"/>
          <w:szCs w:val="24"/>
          <w:lang w:val="en-GB" w:eastAsia="zh-TW"/>
        </w:rPr>
        <w:t>, the known condition of the non-serving cell is depen</w:t>
      </w:r>
      <w:r w:rsidR="00F005C2" w:rsidRPr="00F005C2">
        <w:rPr>
          <w:rFonts w:eastAsia="新細明體" w:cstheme="minorHAnsi"/>
          <w:szCs w:val="24"/>
          <w:lang w:val="en-GB" w:eastAsia="zh-TW"/>
        </w:rPr>
        <w:t xml:space="preserve">ding on whether </w:t>
      </w:r>
      <w:r w:rsidR="00994AA5">
        <w:rPr>
          <w:rFonts w:eastAsia="新細明體" w:cstheme="minorHAnsi"/>
          <w:szCs w:val="24"/>
          <w:lang w:val="en-GB" w:eastAsia="zh-TW"/>
        </w:rPr>
        <w:t>any</w:t>
      </w:r>
      <w:r w:rsidR="00F005C2" w:rsidRPr="00F005C2">
        <w:rPr>
          <w:rFonts w:eastAsia="新細明體" w:cstheme="minorHAnsi"/>
          <w:szCs w:val="24"/>
          <w:lang w:val="en-GB" w:eastAsia="zh-TW"/>
        </w:rPr>
        <w:t xml:space="preserve"> L1-RSRP measurement</w:t>
      </w:r>
      <w:r w:rsidR="00994AA5">
        <w:rPr>
          <w:rFonts w:eastAsia="新細明體" w:cstheme="minorHAnsi"/>
          <w:szCs w:val="24"/>
          <w:lang w:val="en-GB" w:eastAsia="zh-TW"/>
        </w:rPr>
        <w:t xml:space="preserve"> report for non-serving cell</w:t>
      </w:r>
      <w:r w:rsidR="00F005C2" w:rsidRPr="00F005C2">
        <w:rPr>
          <w:rFonts w:eastAsia="新細明體" w:cstheme="minorHAnsi"/>
          <w:szCs w:val="24"/>
          <w:lang w:val="en-GB" w:eastAsia="zh-TW"/>
        </w:rPr>
        <w:t xml:space="preserve"> is transmitted or not. Thus, this case is impossible.</w:t>
      </w:r>
    </w:p>
    <w:p w14:paraId="6B1A29C1" w14:textId="23C6BE14" w:rsidR="009C5A0E" w:rsidRDefault="009C5A0E" w:rsidP="009C5A0E">
      <w:pPr>
        <w:jc w:val="both"/>
        <w:rPr>
          <w:rFonts w:eastAsia="新細明體" w:cstheme="minorHAnsi"/>
          <w:szCs w:val="24"/>
          <w:lang w:val="en-GB"/>
        </w:rPr>
      </w:pPr>
    </w:p>
    <w:p w14:paraId="7FF39A00" w14:textId="61AE1F0C" w:rsidR="00F65680" w:rsidRPr="004E530C" w:rsidRDefault="00F65680" w:rsidP="00F65680">
      <w:pPr>
        <w:pStyle w:val="af1"/>
        <w:jc w:val="both"/>
        <w:rPr>
          <w:sz w:val="24"/>
          <w:szCs w:val="24"/>
        </w:rPr>
      </w:pPr>
      <w:bookmarkStart w:id="13" w:name="_Ref95410690"/>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B635F7">
        <w:rPr>
          <w:noProof/>
          <w:sz w:val="24"/>
          <w:szCs w:val="24"/>
        </w:rPr>
        <w:t>7</w:t>
      </w:r>
      <w:r w:rsidRPr="004E530C">
        <w:rPr>
          <w:noProof/>
          <w:sz w:val="24"/>
          <w:szCs w:val="24"/>
        </w:rPr>
        <w:fldChar w:fldCharType="end"/>
      </w:r>
      <w:r w:rsidRPr="004E530C">
        <w:rPr>
          <w:sz w:val="24"/>
          <w:szCs w:val="24"/>
        </w:rPr>
        <w:t xml:space="preserve">: </w:t>
      </w:r>
      <w:r w:rsidR="00795442">
        <w:rPr>
          <w:sz w:val="24"/>
          <w:szCs w:val="24"/>
        </w:rPr>
        <w:t>No UE requirement applies f</w:t>
      </w:r>
      <w:r>
        <w:rPr>
          <w:sz w:val="24"/>
          <w:szCs w:val="24"/>
        </w:rPr>
        <w:t xml:space="preserve">or the case when </w:t>
      </w:r>
      <w:r w:rsidRPr="008C4C3F">
        <w:rPr>
          <w:sz w:val="24"/>
          <w:szCs w:val="24"/>
        </w:rPr>
        <w:t xml:space="preserve">the non-serving cell is </w:t>
      </w:r>
      <w:r>
        <w:rPr>
          <w:sz w:val="24"/>
          <w:szCs w:val="24"/>
        </w:rPr>
        <w:t>un</w:t>
      </w:r>
      <w:r w:rsidRPr="008C4C3F">
        <w:rPr>
          <w:sz w:val="24"/>
          <w:szCs w:val="24"/>
        </w:rPr>
        <w:t>known and the target TCI state is known</w:t>
      </w:r>
      <w:r>
        <w:rPr>
          <w:sz w:val="24"/>
          <w:szCs w:val="24"/>
        </w:rPr>
        <w:t>.</w:t>
      </w:r>
      <w:bookmarkEnd w:id="13"/>
    </w:p>
    <w:p w14:paraId="7FF548B7" w14:textId="77777777" w:rsidR="00F65680" w:rsidRPr="009C5A0E" w:rsidRDefault="00F65680" w:rsidP="009C5A0E">
      <w:pPr>
        <w:jc w:val="both"/>
        <w:rPr>
          <w:rFonts w:eastAsia="新細明體" w:cstheme="minorHAnsi"/>
          <w:szCs w:val="24"/>
          <w:lang w:val="en-GB"/>
        </w:rPr>
      </w:pPr>
    </w:p>
    <w:p w14:paraId="245FEE1C" w14:textId="30139BD5" w:rsidR="009C5A0E" w:rsidRPr="00F005C2" w:rsidRDefault="009C5A0E" w:rsidP="009C5A0E">
      <w:pPr>
        <w:pStyle w:val="af5"/>
        <w:numPr>
          <w:ilvl w:val="0"/>
          <w:numId w:val="10"/>
        </w:numPr>
        <w:ind w:left="0" w:firstLine="0"/>
        <w:jc w:val="both"/>
        <w:rPr>
          <w:rFonts w:eastAsia="新細明體" w:cstheme="minorHAnsi"/>
          <w:szCs w:val="24"/>
          <w:lang w:val="en-GB"/>
        </w:rPr>
      </w:pPr>
      <w:r w:rsidRPr="00F20315">
        <w:rPr>
          <w:rFonts w:eastAsia="新細明體" w:cstheme="minorHAnsi" w:hint="eastAsia"/>
          <w:szCs w:val="24"/>
          <w:lang w:val="en-GB"/>
        </w:rPr>
        <w:t>C</w:t>
      </w:r>
      <w:r w:rsidRPr="00F20315">
        <w:rPr>
          <w:rFonts w:eastAsia="新細明體" w:cstheme="minorHAnsi"/>
          <w:szCs w:val="24"/>
          <w:lang w:val="en-GB"/>
        </w:rPr>
        <w:t xml:space="preserve">ase 4: The </w:t>
      </w:r>
      <w:r w:rsidRPr="00A57210">
        <w:rPr>
          <w:rFonts w:eastAsia="新細明體" w:cstheme="minorHAnsi"/>
          <w:szCs w:val="24"/>
          <w:highlight w:val="yellow"/>
          <w:lang w:val="en-GB"/>
        </w:rPr>
        <w:t>non-serving cell</w:t>
      </w:r>
      <w:r w:rsidRPr="00F20315">
        <w:rPr>
          <w:rFonts w:eastAsia="新細明體" w:cstheme="minorHAnsi"/>
          <w:szCs w:val="24"/>
          <w:lang w:val="en-GB"/>
        </w:rPr>
        <w:t xml:space="preserve"> is </w:t>
      </w:r>
      <w:r w:rsidRPr="00F20315">
        <w:rPr>
          <w:rFonts w:eastAsia="新細明體" w:cstheme="minorHAnsi"/>
          <w:color w:val="FF0000"/>
          <w:szCs w:val="24"/>
          <w:lang w:val="en-GB"/>
        </w:rPr>
        <w:t xml:space="preserve">unknown </w:t>
      </w:r>
      <w:r w:rsidRPr="00F20315">
        <w:rPr>
          <w:rFonts w:eastAsia="新細明體" w:cstheme="minorHAnsi"/>
          <w:szCs w:val="24"/>
          <w:lang w:val="en-GB"/>
        </w:rPr>
        <w:t xml:space="preserve">and </w:t>
      </w:r>
      <w:r>
        <w:rPr>
          <w:rFonts w:eastAsia="新細明體" w:cstheme="minorHAnsi"/>
          <w:szCs w:val="24"/>
          <w:lang w:val="en-GB"/>
        </w:rPr>
        <w:t xml:space="preserve">the </w:t>
      </w:r>
      <w:r w:rsidRPr="00A57210">
        <w:rPr>
          <w:rFonts w:eastAsia="新細明體" w:cstheme="minorHAnsi"/>
          <w:szCs w:val="24"/>
          <w:highlight w:val="cyan"/>
          <w:lang w:val="en-GB"/>
        </w:rPr>
        <w:t>target TCI state</w:t>
      </w:r>
      <w:r w:rsidRPr="00F20315">
        <w:rPr>
          <w:rFonts w:eastAsia="新細明體" w:cstheme="minorHAnsi"/>
          <w:szCs w:val="24"/>
          <w:lang w:val="en-GB"/>
        </w:rPr>
        <w:t xml:space="preserve"> is </w:t>
      </w:r>
      <w:r w:rsidRPr="00F20315">
        <w:rPr>
          <w:rFonts w:eastAsia="新細明體" w:cstheme="minorHAnsi"/>
          <w:color w:val="FF0000"/>
          <w:szCs w:val="24"/>
          <w:lang w:val="en-GB"/>
        </w:rPr>
        <w:t>unknown</w:t>
      </w:r>
    </w:p>
    <w:p w14:paraId="73345CCB" w14:textId="5F233161" w:rsidR="005D72F5" w:rsidRDefault="00F005C2" w:rsidP="00FA084C">
      <w:pPr>
        <w:pStyle w:val="af5"/>
        <w:numPr>
          <w:ilvl w:val="1"/>
          <w:numId w:val="10"/>
        </w:numPr>
        <w:jc w:val="both"/>
        <w:rPr>
          <w:rFonts w:eastAsia="新細明體" w:cstheme="minorHAnsi"/>
          <w:szCs w:val="24"/>
          <w:lang w:val="en-GB"/>
        </w:rPr>
      </w:pPr>
      <w:r w:rsidRPr="005D72F5">
        <w:rPr>
          <w:rFonts w:eastAsia="新細明體" w:cstheme="minorHAnsi" w:hint="eastAsia"/>
          <w:szCs w:val="24"/>
          <w:lang w:val="en-GB"/>
        </w:rPr>
        <w:t>I</w:t>
      </w:r>
      <w:r w:rsidRPr="005D72F5">
        <w:rPr>
          <w:rFonts w:eastAsia="新細明體" w:cstheme="minorHAnsi"/>
          <w:szCs w:val="24"/>
          <w:lang w:val="en-GB"/>
        </w:rPr>
        <w:t xml:space="preserve">n this case, </w:t>
      </w:r>
      <w:r w:rsidRPr="00F005C2">
        <w:rPr>
          <w:rFonts w:eastAsia="新細明體" w:cstheme="minorHAnsi"/>
          <w:szCs w:val="24"/>
          <w:lang w:val="en-GB"/>
        </w:rPr>
        <w:t xml:space="preserve">the </w:t>
      </w:r>
      <w:r>
        <w:rPr>
          <w:rFonts w:eastAsia="新細明體" w:cstheme="minorHAnsi"/>
          <w:szCs w:val="24"/>
          <w:lang w:val="en-GB"/>
        </w:rPr>
        <w:t xml:space="preserve">extra </w:t>
      </w:r>
      <w:r w:rsidRPr="00F005C2">
        <w:rPr>
          <w:rFonts w:eastAsia="新細明體" w:cstheme="minorHAnsi"/>
          <w:szCs w:val="24"/>
          <w:lang w:val="en-GB"/>
        </w:rPr>
        <w:t xml:space="preserve">time period of </w:t>
      </w:r>
      <w:r w:rsidRPr="00F005C2">
        <w:rPr>
          <w:rFonts w:eastAsia="新細明體"/>
          <w:bCs/>
          <w:lang w:val="sv-SE"/>
        </w:rPr>
        <w:t>T</w:t>
      </w:r>
      <w:r w:rsidRPr="00F005C2">
        <w:rPr>
          <w:rFonts w:eastAsia="新細明體"/>
          <w:bCs/>
          <w:vertAlign w:val="subscript"/>
          <w:lang w:val="sv-SE"/>
        </w:rPr>
        <w:t>PSS/SSS_sync_intra</w:t>
      </w:r>
      <w:r w:rsidRPr="00F005C2">
        <w:rPr>
          <w:rFonts w:eastAsia="新細明體"/>
          <w:bCs/>
          <w:lang w:val="sv-SE"/>
        </w:rPr>
        <w:t xml:space="preserve"> and T</w:t>
      </w:r>
      <w:r w:rsidRPr="00F005C2">
        <w:rPr>
          <w:rFonts w:eastAsia="新細明體"/>
          <w:bCs/>
          <w:vertAlign w:val="subscript"/>
          <w:lang w:val="sv-SE"/>
        </w:rPr>
        <w:t>SSB_time_index_intra</w:t>
      </w:r>
      <w:r w:rsidRPr="00F005C2">
        <w:rPr>
          <w:rFonts w:eastAsia="新細明體" w:cstheme="minorHAnsi"/>
          <w:szCs w:val="24"/>
          <w:lang w:val="en-GB"/>
        </w:rPr>
        <w:t xml:space="preserve"> are needed. Because </w:t>
      </w:r>
      <w:r w:rsidR="00BA3CB1" w:rsidRPr="00F005C2">
        <w:rPr>
          <w:rFonts w:eastAsia="新細明體" w:cstheme="minorHAnsi"/>
          <w:szCs w:val="24"/>
          <w:lang w:val="en-GB"/>
        </w:rPr>
        <w:t>UE does not transmit any L1-RSRP</w:t>
      </w:r>
      <w:r w:rsidR="00994AA5">
        <w:rPr>
          <w:rFonts w:eastAsia="新細明體" w:cstheme="minorHAnsi"/>
          <w:szCs w:val="24"/>
          <w:lang w:val="en-GB"/>
        </w:rPr>
        <w:t xml:space="preserve"> measurement</w:t>
      </w:r>
      <w:r w:rsidR="00BA3CB1" w:rsidRPr="00F005C2">
        <w:rPr>
          <w:rFonts w:eastAsia="新細明體" w:cstheme="minorHAnsi"/>
          <w:szCs w:val="24"/>
          <w:lang w:val="en-GB"/>
        </w:rPr>
        <w:t xml:space="preserve"> report before the TCI state switch. </w:t>
      </w:r>
      <w:r w:rsidR="00EC0322">
        <w:rPr>
          <w:rFonts w:eastAsia="新細明體" w:cstheme="minorHAnsi"/>
          <w:szCs w:val="24"/>
          <w:lang w:val="en-GB"/>
        </w:rPr>
        <w:t>T</w:t>
      </w:r>
      <w:r w:rsidR="00A92400" w:rsidRPr="00F005C2">
        <w:rPr>
          <w:rFonts w:eastAsia="新細明體" w:cstheme="minorHAnsi"/>
          <w:szCs w:val="24"/>
          <w:lang w:val="en-GB"/>
        </w:rPr>
        <w:t xml:space="preserve">he </w:t>
      </w:r>
      <w:r>
        <w:rPr>
          <w:rFonts w:eastAsia="新細明體" w:cstheme="minorHAnsi"/>
          <w:szCs w:val="24"/>
          <w:lang w:val="en-GB"/>
        </w:rPr>
        <w:t xml:space="preserve">extra </w:t>
      </w:r>
      <w:r w:rsidR="00A92400" w:rsidRPr="00F005C2">
        <w:rPr>
          <w:rFonts w:eastAsia="新細明體" w:cstheme="minorHAnsi"/>
          <w:szCs w:val="24"/>
          <w:lang w:val="en-GB"/>
        </w:rPr>
        <w:t>time</w:t>
      </w:r>
      <w:r w:rsidR="00BA3CB1" w:rsidRPr="00F005C2">
        <w:rPr>
          <w:rFonts w:eastAsia="新細明體" w:cstheme="minorHAnsi"/>
          <w:szCs w:val="24"/>
          <w:lang w:val="en-GB"/>
        </w:rPr>
        <w:t xml:space="preserve"> period</w:t>
      </w:r>
      <w:r w:rsidR="00A92400" w:rsidRPr="00F005C2">
        <w:rPr>
          <w:rFonts w:eastAsia="新細明體" w:cstheme="minorHAnsi"/>
          <w:szCs w:val="24"/>
          <w:lang w:val="en-GB"/>
        </w:rPr>
        <w:t xml:space="preserve"> of </w:t>
      </w:r>
      <w:r w:rsidR="00A92400" w:rsidRPr="00F005C2">
        <w:rPr>
          <w:rFonts w:eastAsia="新細明體"/>
          <w:bCs/>
          <w:lang w:val="sv-SE"/>
        </w:rPr>
        <w:t>T</w:t>
      </w:r>
      <w:r w:rsidR="00A92400" w:rsidRPr="00F005C2">
        <w:rPr>
          <w:rFonts w:eastAsia="新細明體"/>
          <w:bCs/>
          <w:vertAlign w:val="subscript"/>
          <w:lang w:val="sv-SE"/>
        </w:rPr>
        <w:t>PSS/SSS_sync_intra</w:t>
      </w:r>
      <w:r w:rsidR="00A92400" w:rsidRPr="00F005C2">
        <w:rPr>
          <w:rFonts w:eastAsia="新細明體"/>
          <w:bCs/>
          <w:lang w:val="sv-SE"/>
        </w:rPr>
        <w:t xml:space="preserve"> and T</w:t>
      </w:r>
      <w:r w:rsidR="00A92400" w:rsidRPr="00F005C2">
        <w:rPr>
          <w:rFonts w:eastAsia="新細明體"/>
          <w:bCs/>
          <w:vertAlign w:val="subscript"/>
          <w:lang w:val="sv-SE"/>
        </w:rPr>
        <w:t>SSB_time_index_intra</w:t>
      </w:r>
      <w:r w:rsidR="00A92400" w:rsidRPr="00F005C2">
        <w:rPr>
          <w:rFonts w:eastAsia="新細明體" w:cstheme="minorHAnsi"/>
          <w:szCs w:val="24"/>
          <w:lang w:val="en-GB"/>
        </w:rPr>
        <w:t xml:space="preserve"> are </w:t>
      </w:r>
      <w:r>
        <w:rPr>
          <w:rFonts w:eastAsia="新細明體" w:cstheme="minorHAnsi"/>
          <w:szCs w:val="24"/>
          <w:lang w:val="en-GB"/>
        </w:rPr>
        <w:t>used</w:t>
      </w:r>
      <w:r w:rsidR="00A92400" w:rsidRPr="00F005C2">
        <w:rPr>
          <w:rFonts w:eastAsia="新細明體" w:cstheme="minorHAnsi"/>
          <w:szCs w:val="24"/>
          <w:lang w:val="en-GB"/>
        </w:rPr>
        <w:t xml:space="preserve"> to get the exact timing of the target SSB associated with target TCI state</w:t>
      </w:r>
      <w:r w:rsidR="00BA3CB1" w:rsidRPr="00F005C2">
        <w:rPr>
          <w:rFonts w:eastAsia="新細明體" w:cstheme="minorHAnsi"/>
          <w:szCs w:val="24"/>
          <w:lang w:val="en-GB"/>
        </w:rPr>
        <w:t xml:space="preserve"> on the non-serving cell</w:t>
      </w:r>
      <w:r w:rsidR="00A92400" w:rsidRPr="00F005C2">
        <w:rPr>
          <w:rFonts w:eastAsia="新細明體" w:cstheme="minorHAnsi"/>
          <w:szCs w:val="24"/>
          <w:lang w:val="en-GB"/>
        </w:rPr>
        <w:t>.</w:t>
      </w:r>
      <w:r w:rsidR="005D72F5">
        <w:rPr>
          <w:rFonts w:eastAsia="新細明體" w:cstheme="minorHAnsi"/>
          <w:szCs w:val="24"/>
          <w:lang w:val="en-GB"/>
        </w:rPr>
        <w:t xml:space="preserve"> </w:t>
      </w:r>
    </w:p>
    <w:p w14:paraId="2BE1854E" w14:textId="77777777" w:rsidR="00994AA5" w:rsidRDefault="00994AA5" w:rsidP="00994AA5">
      <w:pPr>
        <w:pStyle w:val="af5"/>
        <w:ind w:left="960"/>
        <w:jc w:val="both"/>
        <w:rPr>
          <w:rFonts w:eastAsia="新細明體" w:cstheme="minorHAnsi"/>
          <w:szCs w:val="24"/>
          <w:lang w:val="en-GB"/>
        </w:rPr>
      </w:pPr>
    </w:p>
    <w:p w14:paraId="5F526D41" w14:textId="366A5EC9" w:rsidR="00F65680" w:rsidRDefault="005D72F5" w:rsidP="00F65680">
      <w:pPr>
        <w:pStyle w:val="af5"/>
        <w:numPr>
          <w:ilvl w:val="1"/>
          <w:numId w:val="10"/>
        </w:numPr>
        <w:jc w:val="both"/>
        <w:rPr>
          <w:rFonts w:eastAsia="新細明體" w:cstheme="minorHAnsi"/>
          <w:szCs w:val="24"/>
          <w:lang w:val="en-GB"/>
        </w:rPr>
      </w:pPr>
      <w:r>
        <w:rPr>
          <w:rFonts w:eastAsia="新細明體" w:cstheme="minorHAnsi"/>
          <w:szCs w:val="24"/>
          <w:lang w:val="en-GB"/>
        </w:rPr>
        <w:t>However, according to the Table 9.2.5.1-1 and Table 9.2.5.1-3 in TS 38.133 as follows, at least the</w:t>
      </w:r>
      <w:r w:rsidR="00994AA5">
        <w:rPr>
          <w:rFonts w:eastAsia="新細明體" w:cstheme="minorHAnsi"/>
          <w:szCs w:val="24"/>
          <w:lang w:val="en-GB"/>
        </w:rPr>
        <w:t xml:space="preserve"> extra</w:t>
      </w:r>
      <w:r>
        <w:rPr>
          <w:rFonts w:eastAsia="新細明體" w:cstheme="minorHAnsi"/>
          <w:szCs w:val="24"/>
          <w:lang w:val="en-GB"/>
        </w:rPr>
        <w:t xml:space="preserve"> total time </w:t>
      </w:r>
      <w:r w:rsidRPr="000221E6">
        <w:rPr>
          <w:rFonts w:eastAsia="新細明體" w:cstheme="minorHAnsi"/>
          <w:szCs w:val="24"/>
          <w:highlight w:val="cyan"/>
          <w:lang w:val="en-GB"/>
        </w:rPr>
        <w:t>600</w:t>
      </w:r>
      <w:r>
        <w:rPr>
          <w:rFonts w:eastAsia="新細明體" w:cstheme="minorHAnsi"/>
          <w:szCs w:val="24"/>
          <w:lang w:val="en-GB"/>
        </w:rPr>
        <w:t xml:space="preserve"> + </w:t>
      </w:r>
      <w:r w:rsidRPr="000221E6">
        <w:rPr>
          <w:rFonts w:eastAsia="新細明體" w:cstheme="minorHAnsi"/>
          <w:szCs w:val="24"/>
          <w:highlight w:val="yellow"/>
          <w:lang w:val="en-GB"/>
        </w:rPr>
        <w:t>120</w:t>
      </w:r>
      <w:r>
        <w:rPr>
          <w:rFonts w:eastAsia="新細明體" w:cstheme="minorHAnsi"/>
          <w:szCs w:val="24"/>
          <w:lang w:val="en-GB"/>
        </w:rPr>
        <w:t xml:space="preserve"> = 720 ms</w:t>
      </w:r>
      <w:r w:rsidR="00EC0322">
        <w:rPr>
          <w:rFonts w:eastAsia="新細明體" w:cstheme="minorHAnsi"/>
          <w:szCs w:val="24"/>
          <w:lang w:val="en-GB"/>
        </w:rPr>
        <w:t xml:space="preserve"> will be added</w:t>
      </w:r>
      <w:r>
        <w:rPr>
          <w:rFonts w:eastAsia="新細明體" w:cstheme="minorHAnsi"/>
          <w:szCs w:val="24"/>
          <w:lang w:val="en-GB"/>
        </w:rPr>
        <w:t>. We are</w:t>
      </w:r>
      <w:r w:rsidR="00AC3F6C">
        <w:rPr>
          <w:rFonts w:eastAsia="新細明體" w:cstheme="minorHAnsi"/>
          <w:szCs w:val="24"/>
          <w:lang w:val="en-GB"/>
        </w:rPr>
        <w:t xml:space="preserve"> wondering </w:t>
      </w:r>
      <w:r w:rsidR="00AC3F6C">
        <w:rPr>
          <w:rFonts w:eastAsia="新細明體" w:cstheme="minorHAnsi" w:hint="eastAsia"/>
          <w:szCs w:val="24"/>
          <w:lang w:val="en-GB" w:eastAsia="zh-TW"/>
        </w:rPr>
        <w:t>w</w:t>
      </w:r>
      <w:r w:rsidR="00AC3F6C">
        <w:rPr>
          <w:rFonts w:eastAsia="新細明體" w:cstheme="minorHAnsi"/>
          <w:szCs w:val="24"/>
          <w:lang w:val="en-GB" w:eastAsia="zh-TW"/>
        </w:rPr>
        <w:t xml:space="preserve">hether </w:t>
      </w:r>
      <w:r w:rsidR="00AC3F6C">
        <w:rPr>
          <w:rFonts w:eastAsia="新細明體" w:cstheme="minorHAnsi"/>
          <w:szCs w:val="24"/>
          <w:lang w:val="en-GB"/>
        </w:rPr>
        <w:t xml:space="preserve">to extend 720 ms </w:t>
      </w:r>
      <w:r w:rsidR="00994AA5">
        <w:rPr>
          <w:rFonts w:eastAsia="新細明體" w:cstheme="minorHAnsi"/>
          <w:szCs w:val="24"/>
          <w:lang w:val="en-GB"/>
        </w:rPr>
        <w:t>in TCI state switch</w:t>
      </w:r>
      <w:r w:rsidR="00AC3F6C">
        <w:rPr>
          <w:rFonts w:eastAsia="新細明體" w:cstheme="minorHAnsi"/>
          <w:szCs w:val="24"/>
          <w:lang w:val="en-GB"/>
        </w:rPr>
        <w:t xml:space="preserve"> </w:t>
      </w:r>
      <w:r>
        <w:rPr>
          <w:rFonts w:eastAsia="新細明體" w:cstheme="minorHAnsi"/>
          <w:szCs w:val="24"/>
          <w:lang w:val="en-GB"/>
        </w:rPr>
        <w:t xml:space="preserve">is </w:t>
      </w:r>
      <w:r w:rsidR="00AC3F6C">
        <w:rPr>
          <w:rFonts w:eastAsia="新細明體" w:cstheme="minorHAnsi"/>
          <w:szCs w:val="24"/>
          <w:lang w:val="en-GB"/>
        </w:rPr>
        <w:t>proper or not</w:t>
      </w:r>
      <w:r>
        <w:rPr>
          <w:rFonts w:eastAsia="新細明體" w:cstheme="minorHAnsi"/>
          <w:szCs w:val="24"/>
          <w:lang w:val="en-GB"/>
        </w:rPr>
        <w:t>.</w:t>
      </w:r>
      <w:r w:rsidR="00994AA5">
        <w:rPr>
          <w:rFonts w:eastAsia="新細明體" w:cstheme="minorHAnsi"/>
          <w:szCs w:val="24"/>
          <w:lang w:val="en-GB"/>
        </w:rPr>
        <w:t xml:space="preserve"> Thus, we have the following proposal.</w:t>
      </w:r>
    </w:p>
    <w:p w14:paraId="6015EB58" w14:textId="77777777" w:rsidR="00AB2A51" w:rsidRPr="00AB2A51" w:rsidRDefault="00AB2A51" w:rsidP="00994AA5">
      <w:pPr>
        <w:pStyle w:val="af5"/>
        <w:ind w:left="960"/>
        <w:jc w:val="both"/>
        <w:rPr>
          <w:rFonts w:eastAsia="新細明體" w:cstheme="minorHAnsi"/>
          <w:szCs w:val="24"/>
          <w:lang w:val="en-GB"/>
        </w:rPr>
      </w:pPr>
    </w:p>
    <w:p w14:paraId="0CA7366E" w14:textId="5B9EB305" w:rsidR="00F65680" w:rsidRDefault="00F65680" w:rsidP="00F65680">
      <w:pPr>
        <w:pStyle w:val="af1"/>
        <w:jc w:val="both"/>
        <w:rPr>
          <w:sz w:val="24"/>
          <w:szCs w:val="24"/>
        </w:rPr>
      </w:pPr>
      <w:bookmarkStart w:id="14" w:name="_Ref95410692"/>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B635F7">
        <w:rPr>
          <w:noProof/>
          <w:sz w:val="24"/>
          <w:szCs w:val="24"/>
        </w:rPr>
        <w:t>8</w:t>
      </w:r>
      <w:r w:rsidRPr="004E530C">
        <w:rPr>
          <w:noProof/>
          <w:sz w:val="24"/>
          <w:szCs w:val="24"/>
        </w:rPr>
        <w:fldChar w:fldCharType="end"/>
      </w:r>
      <w:r w:rsidRPr="004E530C">
        <w:rPr>
          <w:sz w:val="24"/>
          <w:szCs w:val="24"/>
        </w:rPr>
        <w:t xml:space="preserve">: </w:t>
      </w:r>
      <w:r>
        <w:rPr>
          <w:sz w:val="24"/>
          <w:szCs w:val="24"/>
        </w:rPr>
        <w:t xml:space="preserve">For the case when </w:t>
      </w:r>
      <w:r w:rsidRPr="008C4C3F">
        <w:rPr>
          <w:sz w:val="24"/>
          <w:szCs w:val="24"/>
        </w:rPr>
        <w:t xml:space="preserve">the non-serving cell is </w:t>
      </w:r>
      <w:r>
        <w:rPr>
          <w:sz w:val="24"/>
          <w:szCs w:val="24"/>
        </w:rPr>
        <w:t>un</w:t>
      </w:r>
      <w:r w:rsidRPr="008C4C3F">
        <w:rPr>
          <w:sz w:val="24"/>
          <w:szCs w:val="24"/>
        </w:rPr>
        <w:t xml:space="preserve">known and the target TCI state is </w:t>
      </w:r>
      <w:r>
        <w:rPr>
          <w:sz w:val="24"/>
          <w:szCs w:val="24"/>
        </w:rPr>
        <w:t>un</w:t>
      </w:r>
      <w:r w:rsidRPr="008C4C3F">
        <w:rPr>
          <w:sz w:val="24"/>
          <w:szCs w:val="24"/>
        </w:rPr>
        <w:t>known</w:t>
      </w:r>
      <w:r>
        <w:rPr>
          <w:sz w:val="24"/>
          <w:szCs w:val="24"/>
        </w:rPr>
        <w:t>, two options are suggested:</w:t>
      </w:r>
      <w:bookmarkEnd w:id="14"/>
    </w:p>
    <w:p w14:paraId="4A4BE467" w14:textId="02699E4B" w:rsidR="00F65680" w:rsidRPr="000747E8" w:rsidRDefault="00F65680" w:rsidP="003A0908">
      <w:pPr>
        <w:pStyle w:val="af5"/>
        <w:numPr>
          <w:ilvl w:val="0"/>
          <w:numId w:val="10"/>
        </w:numPr>
        <w:rPr>
          <w:rFonts w:eastAsia="新細明體"/>
          <w:b/>
          <w:bCs/>
        </w:rPr>
      </w:pPr>
      <w:r w:rsidRPr="003A0908">
        <w:rPr>
          <w:rFonts w:eastAsia="新細明體" w:hint="eastAsia"/>
          <w:b/>
          <w:bCs/>
        </w:rPr>
        <w:t>O</w:t>
      </w:r>
      <w:r w:rsidRPr="003A0908">
        <w:rPr>
          <w:rFonts w:eastAsia="新細明體"/>
          <w:b/>
          <w:bCs/>
        </w:rPr>
        <w:t>ption 1: To extend the TCI state switch</w:t>
      </w:r>
      <w:r w:rsidR="000747E8">
        <w:rPr>
          <w:rFonts w:eastAsia="新細明體"/>
          <w:b/>
          <w:bCs/>
        </w:rPr>
        <w:t xml:space="preserve"> delay requirement</w:t>
      </w:r>
      <w:r w:rsidRPr="003A0908">
        <w:rPr>
          <w:rFonts w:eastAsia="新細明體"/>
          <w:b/>
          <w:bCs/>
        </w:rPr>
        <w:t xml:space="preserve">, i.e., add </w:t>
      </w:r>
      <w:r w:rsidRPr="003A0908">
        <w:rPr>
          <w:rFonts w:eastAsia="新細明體"/>
          <w:b/>
          <w:bCs/>
          <w:lang w:val="sv-SE"/>
        </w:rPr>
        <w:t>T</w:t>
      </w:r>
      <w:r w:rsidRPr="003A0908">
        <w:rPr>
          <w:rFonts w:eastAsia="新細明體"/>
          <w:b/>
          <w:bCs/>
          <w:vertAlign w:val="subscript"/>
          <w:lang w:val="sv-SE"/>
        </w:rPr>
        <w:t>PSS/SSS_sync_intra</w:t>
      </w:r>
      <w:r w:rsidRPr="003A0908">
        <w:rPr>
          <w:rFonts w:eastAsia="新細明體"/>
          <w:b/>
          <w:bCs/>
          <w:lang w:val="sv-SE"/>
        </w:rPr>
        <w:t xml:space="preserve"> (at least 600 ms) and T</w:t>
      </w:r>
      <w:r w:rsidRPr="003A0908">
        <w:rPr>
          <w:rFonts w:eastAsia="新細明體"/>
          <w:b/>
          <w:bCs/>
          <w:vertAlign w:val="subscript"/>
          <w:lang w:val="sv-SE"/>
        </w:rPr>
        <w:t xml:space="preserve">SSB_time_index_intra </w:t>
      </w:r>
      <w:r w:rsidRPr="003A0908">
        <w:rPr>
          <w:rFonts w:eastAsia="新細明體"/>
          <w:b/>
          <w:bCs/>
          <w:lang w:val="sv-SE"/>
        </w:rPr>
        <w:t>(at least 120 ms).</w:t>
      </w:r>
    </w:p>
    <w:p w14:paraId="28EA4650" w14:textId="77777777" w:rsidR="000747E8" w:rsidRPr="003A0908" w:rsidRDefault="000747E8" w:rsidP="000747E8">
      <w:pPr>
        <w:pStyle w:val="af5"/>
        <w:ind w:left="1080"/>
        <w:rPr>
          <w:rFonts w:eastAsia="新細明體"/>
          <w:b/>
          <w:bCs/>
        </w:rPr>
      </w:pPr>
    </w:p>
    <w:p w14:paraId="06165EA2" w14:textId="5ACB9E74" w:rsidR="00F65680" w:rsidRPr="003A0908" w:rsidRDefault="00F65680" w:rsidP="003A0908">
      <w:pPr>
        <w:pStyle w:val="af5"/>
        <w:numPr>
          <w:ilvl w:val="0"/>
          <w:numId w:val="10"/>
        </w:numPr>
        <w:rPr>
          <w:rFonts w:eastAsia="新細明體"/>
          <w:b/>
          <w:bCs/>
        </w:rPr>
      </w:pPr>
      <w:r w:rsidRPr="003A0908">
        <w:rPr>
          <w:rFonts w:eastAsia="新細明體" w:hint="eastAsia"/>
          <w:b/>
          <w:bCs/>
        </w:rPr>
        <w:t>O</w:t>
      </w:r>
      <w:r w:rsidRPr="003A0908">
        <w:rPr>
          <w:rFonts w:eastAsia="新細明體"/>
          <w:b/>
          <w:bCs/>
        </w:rPr>
        <w:t>ption 2:</w:t>
      </w:r>
      <w:r w:rsidR="000221E6" w:rsidRPr="003A0908">
        <w:rPr>
          <w:rFonts w:eastAsia="新細明體"/>
          <w:b/>
          <w:bCs/>
        </w:rPr>
        <w:t xml:space="preserve"> No UE requirement applies.</w:t>
      </w:r>
    </w:p>
    <w:p w14:paraId="10CE24B1" w14:textId="77777777" w:rsidR="00F65680" w:rsidRPr="00F65680" w:rsidRDefault="00F65680" w:rsidP="00F65680">
      <w:pPr>
        <w:jc w:val="both"/>
        <w:rPr>
          <w:rFonts w:eastAsia="新細明體" w:cstheme="minorHAnsi"/>
          <w:szCs w:val="24"/>
          <w:lang w:val="en-GB"/>
        </w:rPr>
      </w:pPr>
    </w:p>
    <w:p w14:paraId="5708245A" w14:textId="77777777" w:rsidR="005D72F5" w:rsidRPr="009C5807" w:rsidRDefault="005D72F5" w:rsidP="005D72F5">
      <w:pPr>
        <w:pStyle w:val="TH"/>
      </w:pPr>
      <w:r w:rsidRPr="009C5807">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F5" w:rsidRPr="009C5807" w14:paraId="3EF8FDE8" w14:textId="77777777" w:rsidTr="00271630">
        <w:trPr>
          <w:jc w:val="center"/>
        </w:trPr>
        <w:tc>
          <w:tcPr>
            <w:tcW w:w="4620" w:type="dxa"/>
            <w:tcBorders>
              <w:top w:val="single" w:sz="4" w:space="0" w:color="auto"/>
              <w:left w:val="single" w:sz="4" w:space="0" w:color="auto"/>
              <w:bottom w:val="single" w:sz="4" w:space="0" w:color="auto"/>
              <w:right w:val="single" w:sz="4" w:space="0" w:color="auto"/>
            </w:tcBorders>
            <w:hideMark/>
          </w:tcPr>
          <w:p w14:paraId="6E676D01" w14:textId="77777777" w:rsidR="005D72F5" w:rsidRPr="009C5807" w:rsidRDefault="005D72F5" w:rsidP="00AB5CF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0CDB72D" w14:textId="77777777" w:rsidR="005D72F5" w:rsidRPr="009C5807" w:rsidRDefault="005D72F5" w:rsidP="00AB5CF5">
            <w:pPr>
              <w:pStyle w:val="TAH"/>
            </w:pPr>
            <w:r w:rsidRPr="009C5807">
              <w:t>T</w:t>
            </w:r>
            <w:r w:rsidRPr="009C5807">
              <w:rPr>
                <w:vertAlign w:val="subscript"/>
              </w:rPr>
              <w:t>PSS/SSS_sync_intra</w:t>
            </w:r>
          </w:p>
        </w:tc>
      </w:tr>
      <w:tr w:rsidR="005D72F5" w:rsidRPr="009C5807" w14:paraId="0FEF2208" w14:textId="77777777" w:rsidTr="00271630">
        <w:trPr>
          <w:jc w:val="center"/>
        </w:trPr>
        <w:tc>
          <w:tcPr>
            <w:tcW w:w="4620" w:type="dxa"/>
            <w:tcBorders>
              <w:top w:val="single" w:sz="4" w:space="0" w:color="auto"/>
              <w:left w:val="single" w:sz="4" w:space="0" w:color="auto"/>
              <w:bottom w:val="single" w:sz="4" w:space="0" w:color="auto"/>
              <w:right w:val="single" w:sz="4" w:space="0" w:color="auto"/>
            </w:tcBorders>
            <w:hideMark/>
          </w:tcPr>
          <w:p w14:paraId="71318ED6" w14:textId="77777777" w:rsidR="005D72F5" w:rsidRPr="009C5807" w:rsidRDefault="005D72F5" w:rsidP="00AB5CF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41949E" w14:textId="77777777" w:rsidR="005D72F5" w:rsidRPr="009C5807" w:rsidRDefault="005D72F5" w:rsidP="00AB5CF5">
            <w:pPr>
              <w:pStyle w:val="TAC"/>
            </w:pPr>
            <w:r w:rsidRPr="009C5807">
              <w:t xml:space="preserve">max( </w:t>
            </w:r>
            <w:r w:rsidRPr="000221E6">
              <w:rPr>
                <w:highlight w:val="cyan"/>
              </w:rPr>
              <w:t>600ms</w:t>
            </w:r>
            <w:r w:rsidRPr="009C5807">
              <w:t>,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5D72F5" w:rsidRPr="009C5807" w14:paraId="61F40C45" w14:textId="77777777" w:rsidTr="00271630">
        <w:trPr>
          <w:jc w:val="center"/>
        </w:trPr>
        <w:tc>
          <w:tcPr>
            <w:tcW w:w="4620" w:type="dxa"/>
            <w:tcBorders>
              <w:top w:val="single" w:sz="4" w:space="0" w:color="auto"/>
              <w:left w:val="single" w:sz="4" w:space="0" w:color="auto"/>
              <w:bottom w:val="single" w:sz="4" w:space="0" w:color="auto"/>
              <w:right w:val="single" w:sz="4" w:space="0" w:color="auto"/>
            </w:tcBorders>
            <w:hideMark/>
          </w:tcPr>
          <w:p w14:paraId="63F93BF6" w14:textId="77777777" w:rsidR="005D72F5" w:rsidRPr="009C5807" w:rsidRDefault="005D72F5" w:rsidP="00AB5CF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7E28E7" w14:textId="77777777" w:rsidR="005D72F5" w:rsidRPr="009C5807" w:rsidRDefault="005D72F5" w:rsidP="00AB5CF5">
            <w:pPr>
              <w:pStyle w:val="TAC"/>
              <w:rPr>
                <w:b/>
              </w:rPr>
            </w:pPr>
            <w:r w:rsidRPr="009C5807">
              <w:t xml:space="preserve">max( </w:t>
            </w:r>
            <w:r w:rsidRPr="000221E6">
              <w:rPr>
                <w:highlight w:val="cyan"/>
              </w:rPr>
              <w:t>600ms</w:t>
            </w:r>
            <w:r w:rsidRPr="009C5807">
              <w:t>,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5D72F5" w:rsidRPr="009C5807" w14:paraId="47FBF008" w14:textId="77777777" w:rsidTr="00271630">
        <w:trPr>
          <w:jc w:val="center"/>
        </w:trPr>
        <w:tc>
          <w:tcPr>
            <w:tcW w:w="4620" w:type="dxa"/>
            <w:tcBorders>
              <w:top w:val="single" w:sz="4" w:space="0" w:color="auto"/>
              <w:left w:val="single" w:sz="4" w:space="0" w:color="auto"/>
              <w:bottom w:val="single" w:sz="4" w:space="0" w:color="auto"/>
              <w:right w:val="single" w:sz="4" w:space="0" w:color="auto"/>
            </w:tcBorders>
            <w:hideMark/>
          </w:tcPr>
          <w:p w14:paraId="6A8791B3" w14:textId="77777777" w:rsidR="005D72F5" w:rsidRPr="009C5807" w:rsidRDefault="005D72F5" w:rsidP="00AB5CF5">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ED69AC" w14:textId="77777777" w:rsidR="005D72F5" w:rsidRPr="009C5807" w:rsidRDefault="005D72F5" w:rsidP="00AB5CF5">
            <w:pPr>
              <w:pStyle w:val="TAC"/>
              <w:rPr>
                <w:b/>
              </w:rPr>
            </w:pPr>
            <w:r w:rsidRPr="009C5807">
              <w:t>ceil(5 x K</w:t>
            </w:r>
            <w:r w:rsidRPr="009C5807">
              <w:rPr>
                <w:vertAlign w:val="subscript"/>
              </w:rPr>
              <w:t>p</w:t>
            </w:r>
            <w:r w:rsidRPr="009C5807">
              <w:t>) x DRX cycle x CSSF</w:t>
            </w:r>
            <w:r w:rsidRPr="009C5807">
              <w:rPr>
                <w:vertAlign w:val="subscript"/>
              </w:rPr>
              <w:t>intra</w:t>
            </w:r>
          </w:p>
        </w:tc>
      </w:tr>
      <w:tr w:rsidR="005D72F5" w:rsidRPr="009C5807" w14:paraId="1290A4FE" w14:textId="77777777" w:rsidTr="0027163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734492F" w14:textId="77777777" w:rsidR="005D72F5" w:rsidRPr="009B531C" w:rsidRDefault="005D72F5" w:rsidP="00AB5CF5">
            <w:pPr>
              <w:pStyle w:val="TAN"/>
            </w:pPr>
            <w:r w:rsidRPr="009B531C">
              <w:t>NOTE 1:</w:t>
            </w:r>
            <w:r w:rsidRPr="009B531C">
              <w:tab/>
              <w:t>If different SMTC periodicities are configured for different cells, the SMTC period in the requirement is the one used by the cell being identified</w:t>
            </w:r>
          </w:p>
          <w:p w14:paraId="1BE86798" w14:textId="77777777" w:rsidR="005D72F5" w:rsidRPr="009B531C" w:rsidRDefault="005D72F5" w:rsidP="00AB5CF5">
            <w:pPr>
              <w:pStyle w:val="TAN"/>
            </w:pPr>
            <w:r w:rsidRPr="009B531C">
              <w:t xml:space="preserve">NOTE </w:t>
            </w:r>
            <w:r w:rsidRPr="009B531C">
              <w:rPr>
                <w:rFonts w:hint="eastAsia"/>
              </w:rPr>
              <w:t>2</w:t>
            </w:r>
            <w:r w:rsidRPr="009B531C">
              <w:t>:</w:t>
            </w:r>
            <w:r w:rsidRPr="009B531C">
              <w:tab/>
            </w:r>
            <w:r w:rsidRPr="009B531C">
              <w:rPr>
                <w:rFonts w:hint="eastAsia"/>
              </w:rPr>
              <w:t>When</w:t>
            </w:r>
            <w:r w:rsidRPr="009B531C">
              <w:t xml:space="preserve"> </w:t>
            </w:r>
            <w:r w:rsidRPr="009B531C">
              <w:rPr>
                <w:i/>
                <w:iCs/>
              </w:rPr>
              <w:t>highSpeedMeasFlag-r16</w:t>
            </w:r>
            <w:r w:rsidRPr="009B531C">
              <w:rPr>
                <w:rFonts w:hint="eastAsia"/>
                <w:lang w:eastAsia="zh-CN"/>
              </w:rPr>
              <w:t xml:space="preserve"> is</w:t>
            </w:r>
            <w:r w:rsidRPr="009B531C">
              <w:rPr>
                <w:rFonts w:hint="eastAsia"/>
              </w:rPr>
              <w:t xml:space="preserve"> not configured</w:t>
            </w:r>
            <w:r w:rsidRPr="009B531C">
              <w:t>,</w:t>
            </w:r>
            <w:r w:rsidRPr="009B531C">
              <w:rPr>
                <w:rFonts w:hint="eastAsia"/>
              </w:rPr>
              <w:t xml:space="preserve"> </w:t>
            </w:r>
            <w:r w:rsidRPr="009B531C">
              <w:t>M2 = 1.5</w:t>
            </w:r>
            <w:r w:rsidRPr="009B531C">
              <w:rPr>
                <w:rFonts w:hint="eastAsia"/>
              </w:rPr>
              <w:t>;</w:t>
            </w:r>
            <w:r w:rsidRPr="009B531C">
              <w:t xml:space="preserve"> </w:t>
            </w:r>
            <w:r w:rsidRPr="009B531C">
              <w:rPr>
                <w:rFonts w:hint="eastAsia"/>
              </w:rPr>
              <w:t>When</w:t>
            </w:r>
            <w:r w:rsidRPr="009B531C">
              <w:t xml:space="preserve"> </w:t>
            </w:r>
            <w:r w:rsidRPr="009B531C">
              <w:rPr>
                <w:i/>
                <w:iCs/>
              </w:rPr>
              <w:t>highSpeedMeasFlag-r16</w:t>
            </w:r>
            <w:r w:rsidRPr="009B531C">
              <w:rPr>
                <w:rFonts w:hint="eastAsia"/>
                <w:lang w:eastAsia="zh-CN"/>
              </w:rPr>
              <w:t xml:space="preserve"> is</w:t>
            </w:r>
            <w:r w:rsidRPr="009B531C">
              <w:rPr>
                <w:rFonts w:hint="eastAsia"/>
              </w:rPr>
              <w:t xml:space="preserve"> configured</w:t>
            </w:r>
            <w:r w:rsidRPr="009B531C">
              <w:t>,</w:t>
            </w:r>
            <w:r w:rsidRPr="009B531C">
              <w:rPr>
                <w:rFonts w:hint="eastAsia"/>
              </w:rPr>
              <w:t xml:space="preserve"> </w:t>
            </w:r>
            <w:r w:rsidRPr="009B531C">
              <w:t xml:space="preserve">M2 = 1.5 if SMTC periodicity &gt; </w:t>
            </w:r>
            <w:r w:rsidRPr="009B531C">
              <w:rPr>
                <w:rFonts w:hint="eastAsia"/>
              </w:rPr>
              <w:t>4</w:t>
            </w:r>
            <w:r w:rsidRPr="009B531C">
              <w:t>0 ms;,otherwise M2=1</w:t>
            </w:r>
            <w:r w:rsidRPr="009B531C">
              <w:rPr>
                <w:rFonts w:hint="eastAsia"/>
              </w:rPr>
              <w:t>.</w:t>
            </w:r>
          </w:p>
          <w:p w14:paraId="3DDAEBB0" w14:textId="77777777" w:rsidR="005D72F5" w:rsidRPr="009C5807" w:rsidRDefault="005D72F5" w:rsidP="00AB5CF5">
            <w:pPr>
              <w:pStyle w:val="TAN"/>
            </w:pPr>
            <w:r>
              <w:t xml:space="preserve">NOTE 3: </w:t>
            </w:r>
            <w:r>
              <w:tab/>
            </w:r>
            <w:r w:rsidRPr="00E57A91">
              <w:rPr>
                <w:lang w:eastAsia="zh-CN"/>
              </w:rPr>
              <w:t xml:space="preserve">When </w:t>
            </w:r>
            <w:r w:rsidRPr="00E57A91">
              <w:rPr>
                <w:i/>
                <w:iCs/>
                <w:lang w:eastAsia="zh-CN"/>
              </w:rPr>
              <w:t>highSpeedMeasFlag-r16</w:t>
            </w:r>
            <w:r w:rsidRPr="00E57A91">
              <w:rPr>
                <w:lang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[intraRAT-M</w:t>
            </w:r>
            <w:r w:rsidRPr="00BF1D60">
              <w:rPr>
                <w:i/>
                <w:iCs/>
              </w:rPr>
              <w:t>easurementEnhancement-r16]</w:t>
            </w:r>
            <w:r w:rsidRPr="00BF1D60">
              <w:t xml:space="preserve"> on </w:t>
            </w:r>
            <w:r w:rsidRPr="00E57A91">
              <w:rPr>
                <w:lang w:eastAsia="zh-CN"/>
              </w:rPr>
              <w:t>measurements of the primary component carrier and do not apply to measurements of a secondary component carrier with active SCell</w:t>
            </w:r>
            <w:r w:rsidRPr="00E57A91">
              <w:t>.</w:t>
            </w:r>
          </w:p>
        </w:tc>
      </w:tr>
    </w:tbl>
    <w:p w14:paraId="2C082409" w14:textId="03244EB5" w:rsidR="00A92400" w:rsidRPr="00F005C2" w:rsidRDefault="005D72F5" w:rsidP="005D72F5">
      <w:pPr>
        <w:pStyle w:val="af5"/>
        <w:ind w:left="960"/>
        <w:jc w:val="both"/>
        <w:rPr>
          <w:rFonts w:eastAsia="新細明體" w:cstheme="minorHAnsi"/>
          <w:szCs w:val="24"/>
          <w:lang w:val="en-GB"/>
        </w:rPr>
      </w:pPr>
      <w:r>
        <w:rPr>
          <w:rFonts w:eastAsia="新細明體" w:cstheme="minorHAnsi"/>
          <w:szCs w:val="24"/>
          <w:lang w:val="en-GB"/>
        </w:rPr>
        <w:t xml:space="preserve"> </w:t>
      </w:r>
    </w:p>
    <w:p w14:paraId="15C9DF50" w14:textId="77777777" w:rsidR="005D72F5" w:rsidRPr="009C5807" w:rsidRDefault="005D72F5" w:rsidP="005D72F5">
      <w:pPr>
        <w:keepNext/>
        <w:keepLines/>
        <w:spacing w:before="60"/>
        <w:jc w:val="center"/>
      </w:pPr>
      <w:r w:rsidRPr="009C5807">
        <w:rPr>
          <w:rFonts w:ascii="Arial" w:hAnsi="Arial"/>
          <w:b/>
        </w:rPr>
        <w:lastRenderedPageBreak/>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F5" w:rsidRPr="009C5807" w14:paraId="744E835A" w14:textId="77777777" w:rsidTr="00271630">
        <w:trPr>
          <w:jc w:val="center"/>
        </w:trPr>
        <w:tc>
          <w:tcPr>
            <w:tcW w:w="4620" w:type="dxa"/>
            <w:tcBorders>
              <w:top w:val="single" w:sz="4" w:space="0" w:color="auto"/>
              <w:left w:val="single" w:sz="4" w:space="0" w:color="auto"/>
              <w:bottom w:val="single" w:sz="4" w:space="0" w:color="auto"/>
              <w:right w:val="single" w:sz="4" w:space="0" w:color="auto"/>
            </w:tcBorders>
            <w:hideMark/>
          </w:tcPr>
          <w:p w14:paraId="7C88BF26" w14:textId="77777777" w:rsidR="005D72F5" w:rsidRPr="009C5807" w:rsidRDefault="005D72F5" w:rsidP="00AB5CF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51A12C3" w14:textId="77777777" w:rsidR="005D72F5" w:rsidRPr="009C5807" w:rsidRDefault="005D72F5" w:rsidP="00AB5CF5">
            <w:pPr>
              <w:pStyle w:val="TAH"/>
            </w:pPr>
            <w:r w:rsidRPr="009C5807">
              <w:t>T</w:t>
            </w:r>
            <w:r w:rsidRPr="009C5807">
              <w:rPr>
                <w:vertAlign w:val="subscript"/>
              </w:rPr>
              <w:t>SSB_time_index_intra</w:t>
            </w:r>
          </w:p>
        </w:tc>
      </w:tr>
      <w:tr w:rsidR="005D72F5" w:rsidRPr="009C5807" w14:paraId="76C65676" w14:textId="77777777" w:rsidTr="00271630">
        <w:trPr>
          <w:jc w:val="center"/>
        </w:trPr>
        <w:tc>
          <w:tcPr>
            <w:tcW w:w="4620" w:type="dxa"/>
            <w:tcBorders>
              <w:top w:val="single" w:sz="4" w:space="0" w:color="auto"/>
              <w:left w:val="single" w:sz="4" w:space="0" w:color="auto"/>
              <w:bottom w:val="single" w:sz="4" w:space="0" w:color="auto"/>
              <w:right w:val="single" w:sz="4" w:space="0" w:color="auto"/>
            </w:tcBorders>
            <w:hideMark/>
          </w:tcPr>
          <w:p w14:paraId="0311FC99" w14:textId="77777777" w:rsidR="005D72F5" w:rsidRPr="009C5807" w:rsidRDefault="005D72F5" w:rsidP="00AB5CF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143872" w14:textId="77777777" w:rsidR="005D72F5" w:rsidRPr="009C5807" w:rsidRDefault="005D72F5" w:rsidP="00AB5CF5">
            <w:pPr>
              <w:pStyle w:val="TAC"/>
            </w:pPr>
            <w:r w:rsidRPr="009C5807">
              <w:t>max(</w:t>
            </w:r>
            <w:r w:rsidRPr="000221E6">
              <w:rPr>
                <w:highlight w:val="yellow"/>
              </w:rPr>
              <w:t>120ms</w:t>
            </w:r>
            <w:r w:rsidRPr="009C5807">
              <w:t>,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5D72F5" w:rsidRPr="009C5807" w14:paraId="323EFD77" w14:textId="77777777" w:rsidTr="00271630">
        <w:trPr>
          <w:jc w:val="center"/>
        </w:trPr>
        <w:tc>
          <w:tcPr>
            <w:tcW w:w="4620" w:type="dxa"/>
            <w:tcBorders>
              <w:top w:val="single" w:sz="4" w:space="0" w:color="auto"/>
              <w:left w:val="single" w:sz="4" w:space="0" w:color="auto"/>
              <w:bottom w:val="single" w:sz="4" w:space="0" w:color="auto"/>
              <w:right w:val="single" w:sz="4" w:space="0" w:color="auto"/>
            </w:tcBorders>
            <w:hideMark/>
          </w:tcPr>
          <w:p w14:paraId="31EFF709" w14:textId="77777777" w:rsidR="005D72F5" w:rsidRPr="009C5807" w:rsidRDefault="005D72F5" w:rsidP="00AB5CF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E4EC02" w14:textId="77777777" w:rsidR="005D72F5" w:rsidRPr="009C5807" w:rsidRDefault="005D72F5" w:rsidP="00AB5CF5">
            <w:pPr>
              <w:pStyle w:val="TAC"/>
              <w:rPr>
                <w:b/>
              </w:rPr>
            </w:pPr>
            <w:r w:rsidRPr="009C5807">
              <w:t>max(</w:t>
            </w:r>
            <w:r w:rsidRPr="000221E6">
              <w:rPr>
                <w:highlight w:val="yellow"/>
              </w:rPr>
              <w:t>120ms</w:t>
            </w:r>
            <w:r w:rsidRPr="009C5807">
              <w:t>,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5D72F5" w:rsidRPr="009C5807" w14:paraId="1BF0693A" w14:textId="77777777" w:rsidTr="00271630">
        <w:trPr>
          <w:jc w:val="center"/>
        </w:trPr>
        <w:tc>
          <w:tcPr>
            <w:tcW w:w="4620" w:type="dxa"/>
            <w:tcBorders>
              <w:top w:val="single" w:sz="4" w:space="0" w:color="auto"/>
              <w:left w:val="single" w:sz="4" w:space="0" w:color="auto"/>
              <w:bottom w:val="single" w:sz="4" w:space="0" w:color="auto"/>
              <w:right w:val="single" w:sz="4" w:space="0" w:color="auto"/>
            </w:tcBorders>
            <w:hideMark/>
          </w:tcPr>
          <w:p w14:paraId="358E97EC" w14:textId="77777777" w:rsidR="005D72F5" w:rsidRPr="009C5807" w:rsidRDefault="005D72F5" w:rsidP="00AB5CF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66FC78" w14:textId="77777777" w:rsidR="005D72F5" w:rsidRPr="009C5807" w:rsidRDefault="005D72F5" w:rsidP="00AB5CF5">
            <w:pPr>
              <w:pStyle w:val="TAC"/>
              <w:rPr>
                <w:b/>
              </w:rPr>
            </w:pPr>
            <w:r w:rsidRPr="009C5807">
              <w:t>Ceil(3 x K</w:t>
            </w:r>
            <w:r w:rsidRPr="009C5807">
              <w:rPr>
                <w:vertAlign w:val="subscript"/>
              </w:rPr>
              <w:t>p</w:t>
            </w:r>
            <w:r w:rsidRPr="009C5807">
              <w:t>) x DRX cycle x CSSF</w:t>
            </w:r>
            <w:r w:rsidRPr="009C5807">
              <w:rPr>
                <w:vertAlign w:val="subscript"/>
              </w:rPr>
              <w:t>intra</w:t>
            </w:r>
          </w:p>
        </w:tc>
      </w:tr>
      <w:tr w:rsidR="005D72F5" w:rsidRPr="009C5807" w14:paraId="2581E191" w14:textId="77777777" w:rsidTr="0027163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101A38B" w14:textId="77777777" w:rsidR="005D72F5" w:rsidRDefault="005D72F5" w:rsidP="00AB5CF5">
            <w:pPr>
              <w:pStyle w:val="TAN"/>
            </w:pPr>
            <w:r>
              <w:rPr>
                <w:lang w:eastAsia="ko-KR"/>
              </w:rPr>
              <w:t>NOTE</w:t>
            </w:r>
            <w:r>
              <w:t xml:space="preserve"> 1:</w:t>
            </w:r>
            <w:r>
              <w:tab/>
              <w:t>If different SMTC periodicities are configured for different cells, the SMTC period in the requirement is the one used by the cell being identified</w:t>
            </w:r>
          </w:p>
          <w:p w14:paraId="66EC04A7" w14:textId="77777777" w:rsidR="005D72F5" w:rsidRDefault="005D72F5" w:rsidP="00AB5CF5">
            <w:pPr>
              <w:pStyle w:val="TAN"/>
            </w:pPr>
            <w:r>
              <w:t>NOTE 2:</w:t>
            </w:r>
            <w:r>
              <w:tab/>
              <w:t xml:space="preserve">When </w:t>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ms;,otherwise M2=1</w:t>
            </w:r>
          </w:p>
          <w:p w14:paraId="077B6FEF" w14:textId="77777777" w:rsidR="005D72F5" w:rsidRPr="009C5807" w:rsidRDefault="005D72F5" w:rsidP="00AB5CF5">
            <w:pPr>
              <w:pStyle w:val="TAN"/>
            </w:pPr>
            <w:r>
              <w:t>NOTE 3:</w:t>
            </w:r>
            <w:r>
              <w:tab/>
            </w:r>
            <w:r w:rsidRPr="00BF1D60">
              <w:rPr>
                <w:lang w:eastAsia="zh-CN"/>
              </w:rPr>
              <w:t xml:space="preserve">When </w:t>
            </w:r>
            <w:r w:rsidRPr="00BF1D60">
              <w:rPr>
                <w:i/>
                <w:iCs/>
                <w:lang w:eastAsia="zh-CN"/>
              </w:rPr>
              <w:t>highSpeedMeasFlag-r16</w:t>
            </w:r>
            <w:r w:rsidRPr="00BF1D60">
              <w:rPr>
                <w:lang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r w:rsidRPr="00BF1D60">
              <w:rPr>
                <w:i/>
                <w:iCs/>
              </w:rPr>
              <w:t>intraRAT-MeasurementEnhancement-r16</w:t>
            </w:r>
            <w:r>
              <w:rPr>
                <w:i/>
                <w:iCs/>
              </w:rPr>
              <w:t>]</w:t>
            </w:r>
            <w:r w:rsidRPr="00BF1D60">
              <w:t xml:space="preserve"> on </w:t>
            </w:r>
            <w:r w:rsidRPr="00BF1D60">
              <w:rPr>
                <w:lang w:eastAsia="zh-CN"/>
              </w:rPr>
              <w:t>measurements of the primary component carrier and do not apply to measurements of a secondary component carrier with active SCell</w:t>
            </w:r>
            <w:r w:rsidRPr="00BF1D60">
              <w:t>.</w:t>
            </w:r>
          </w:p>
        </w:tc>
      </w:tr>
    </w:tbl>
    <w:p w14:paraId="202FADA9" w14:textId="2C1A7C6D" w:rsidR="00A92400" w:rsidRPr="005D72F5" w:rsidRDefault="00A92400" w:rsidP="000D71D7">
      <w:pPr>
        <w:jc w:val="both"/>
        <w:rPr>
          <w:rFonts w:eastAsia="新細明體" w:cstheme="minorHAnsi"/>
          <w:szCs w:val="24"/>
        </w:rPr>
      </w:pPr>
    </w:p>
    <w:p w14:paraId="6114D09F" w14:textId="40065641" w:rsidR="00403E41" w:rsidRPr="004A1F3F" w:rsidRDefault="00403E41" w:rsidP="00403E41">
      <w:pPr>
        <w:pStyle w:val="2"/>
        <w:rPr>
          <w:rFonts w:asciiTheme="minorHAnsi" w:hAnsiTheme="minorHAnsi" w:cstheme="minorHAnsi"/>
          <w:szCs w:val="32"/>
        </w:rPr>
      </w:pPr>
      <w:r w:rsidRPr="0035409E">
        <w:rPr>
          <w:rFonts w:asciiTheme="minorHAnsi" w:hAnsiTheme="minorHAnsi" w:cstheme="minorHAnsi"/>
          <w:szCs w:val="32"/>
        </w:rPr>
        <w:t>2.</w:t>
      </w:r>
      <w:r>
        <w:rPr>
          <w:rFonts w:asciiTheme="minorHAnsi" w:hAnsiTheme="minorHAnsi" w:cstheme="minorHAnsi"/>
          <w:szCs w:val="32"/>
        </w:rPr>
        <w:t>3</w:t>
      </w:r>
      <w:r w:rsidRPr="0035409E">
        <w:rPr>
          <w:rFonts w:asciiTheme="minorHAnsi" w:hAnsiTheme="minorHAnsi" w:cstheme="minorHAnsi"/>
          <w:szCs w:val="32"/>
        </w:rPr>
        <w:t xml:space="preserve"> </w:t>
      </w:r>
      <w:r>
        <w:rPr>
          <w:rFonts w:asciiTheme="minorHAnsi" w:hAnsiTheme="minorHAnsi" w:cstheme="minorHAnsi"/>
          <w:szCs w:val="32"/>
        </w:rPr>
        <w:t>Common TCI switching delay for CA case</w:t>
      </w:r>
    </w:p>
    <w:p w14:paraId="7F61A019" w14:textId="04B037E7" w:rsidR="00403E41" w:rsidRDefault="00403E41" w:rsidP="000D71D7">
      <w:pPr>
        <w:jc w:val="both"/>
        <w:rPr>
          <w:rFonts w:eastAsia="新細明體" w:cstheme="minorHAnsi"/>
          <w:szCs w:val="24"/>
          <w:lang w:val="en-GB"/>
        </w:rPr>
      </w:pPr>
      <w:r>
        <w:rPr>
          <w:rFonts w:eastAsia="新細明體" w:cstheme="minorHAnsi" w:hint="eastAsia"/>
          <w:szCs w:val="24"/>
          <w:lang w:val="en-GB"/>
        </w:rPr>
        <w:t>T</w:t>
      </w:r>
      <w:r>
        <w:rPr>
          <w:rFonts w:eastAsia="新細明體" w:cstheme="minorHAnsi"/>
          <w:szCs w:val="24"/>
          <w:lang w:val="en-GB"/>
        </w:rPr>
        <w:t xml:space="preserve">o our understanding, the delay requirement for </w:t>
      </w:r>
      <w:r w:rsidR="00262FDE">
        <w:rPr>
          <w:rFonts w:eastAsia="新細明體" w:cstheme="minorHAnsi"/>
          <w:szCs w:val="24"/>
          <w:lang w:val="en-GB"/>
        </w:rPr>
        <w:t>a</w:t>
      </w:r>
      <w:r>
        <w:rPr>
          <w:rFonts w:eastAsia="新細明體" w:cstheme="minorHAnsi"/>
          <w:szCs w:val="24"/>
          <w:lang w:val="en-GB"/>
        </w:rPr>
        <w:t xml:space="preserve"> single CC and CA can be the same. Because</w:t>
      </w:r>
      <w:r w:rsidR="00262FDE">
        <w:rPr>
          <w:rFonts w:eastAsia="新細明體" w:cstheme="minorHAnsi"/>
          <w:szCs w:val="24"/>
          <w:lang w:val="en-GB"/>
        </w:rPr>
        <w:t>, after the UE receives the TCI state switch indication on one CC,</w:t>
      </w:r>
      <w:r>
        <w:rPr>
          <w:rFonts w:eastAsia="新細明體" w:cstheme="minorHAnsi"/>
          <w:szCs w:val="24"/>
          <w:lang w:val="en-GB"/>
        </w:rPr>
        <w:t xml:space="preserve"> the</w:t>
      </w:r>
      <w:r w:rsidR="00262FDE">
        <w:rPr>
          <w:rFonts w:eastAsia="新細明體" w:cstheme="minorHAnsi"/>
          <w:szCs w:val="24"/>
          <w:lang w:val="en-GB"/>
        </w:rPr>
        <w:t xml:space="preserve"> application time on the other CCs </w:t>
      </w:r>
      <w:r w:rsidR="00780727">
        <w:rPr>
          <w:rFonts w:eastAsia="新細明體" w:cstheme="minorHAnsi"/>
          <w:szCs w:val="24"/>
          <w:lang w:val="en-GB"/>
        </w:rPr>
        <w:t xml:space="preserve">can be </w:t>
      </w:r>
      <w:r w:rsidR="00262FDE">
        <w:rPr>
          <w:rFonts w:eastAsia="新細明體" w:cstheme="minorHAnsi"/>
          <w:szCs w:val="24"/>
          <w:lang w:val="en-GB"/>
        </w:rPr>
        <w:t>short. Thus, we do not see the need to extend the delay requirement for the CA case.</w:t>
      </w:r>
    </w:p>
    <w:p w14:paraId="775D407A" w14:textId="77777777" w:rsidR="00190CF0" w:rsidRDefault="00190CF0" w:rsidP="000D71D7">
      <w:pPr>
        <w:jc w:val="both"/>
        <w:rPr>
          <w:rFonts w:eastAsia="新細明體" w:cstheme="minorHAnsi"/>
          <w:szCs w:val="24"/>
          <w:lang w:val="en-GB"/>
        </w:rPr>
      </w:pPr>
    </w:p>
    <w:p w14:paraId="116513DE" w14:textId="19CA3E64" w:rsidR="00262FDE" w:rsidRDefault="00262FDE" w:rsidP="000D71D7">
      <w:pPr>
        <w:jc w:val="both"/>
        <w:rPr>
          <w:rFonts w:eastAsia="新細明體" w:cstheme="minorHAnsi"/>
          <w:szCs w:val="24"/>
          <w:lang w:val="en-GB"/>
        </w:rPr>
      </w:pPr>
      <w:r>
        <w:rPr>
          <w:rFonts w:eastAsia="新細明體" w:cstheme="minorHAnsi" w:hint="eastAsia"/>
          <w:szCs w:val="24"/>
          <w:lang w:val="en-GB"/>
        </w:rPr>
        <w:t>B</w:t>
      </w:r>
      <w:r>
        <w:rPr>
          <w:rFonts w:eastAsia="新細明體" w:cstheme="minorHAnsi"/>
          <w:szCs w:val="24"/>
          <w:lang w:val="en-GB"/>
        </w:rPr>
        <w:t xml:space="preserve">esides, according to the RAN1’s agreement as follows, </w:t>
      </w:r>
      <w:r w:rsidR="007A6CB7">
        <w:rPr>
          <w:rFonts w:eastAsia="新細明體" w:cstheme="minorHAnsi"/>
          <w:szCs w:val="24"/>
          <w:lang w:val="en-GB"/>
        </w:rPr>
        <w:t xml:space="preserve">for CA case, </w:t>
      </w:r>
      <w:r w:rsidR="007A6CB7" w:rsidRPr="007A6CB7">
        <w:rPr>
          <w:rFonts w:eastAsia="新細明體" w:cstheme="minorHAnsi"/>
          <w:szCs w:val="24"/>
          <w:lang w:val="en-GB"/>
        </w:rPr>
        <w:t>the first slot to apply the new TCI state is determined on the CC with the smallest SCS among the CCs which applying the beam indication</w:t>
      </w:r>
      <w:r w:rsidR="007A6CB7">
        <w:rPr>
          <w:rFonts w:eastAsia="新細明體" w:cstheme="minorHAnsi"/>
          <w:szCs w:val="24"/>
          <w:lang w:val="en-GB"/>
        </w:rPr>
        <w:t>.</w:t>
      </w:r>
    </w:p>
    <w:p w14:paraId="275B33A7" w14:textId="496FF37B" w:rsidR="007A6CB7" w:rsidRDefault="007A6CB7" w:rsidP="000D71D7">
      <w:pPr>
        <w:jc w:val="both"/>
        <w:rPr>
          <w:rFonts w:eastAsia="新細明體" w:cstheme="minorHAnsi"/>
          <w:szCs w:val="24"/>
          <w:lang w:val="en-GB"/>
        </w:rPr>
      </w:pPr>
    </w:p>
    <w:p w14:paraId="66DC863B" w14:textId="7C2FB97E" w:rsidR="007A6CB7" w:rsidRPr="007A6CB7" w:rsidRDefault="007A6CB7" w:rsidP="000D71D7">
      <w:pPr>
        <w:jc w:val="both"/>
        <w:rPr>
          <w:rFonts w:eastAsia="新細明體" w:cstheme="minorHAnsi"/>
          <w:szCs w:val="24"/>
          <w:lang w:val="en-GB"/>
        </w:rPr>
      </w:pPr>
      <w:r>
        <w:rPr>
          <w:rFonts w:eastAsia="新細明體" w:cstheme="minorHAnsi" w:hint="eastAsia"/>
          <w:szCs w:val="24"/>
          <w:lang w:val="en-GB"/>
        </w:rPr>
        <w:t>A</w:t>
      </w:r>
      <w:r>
        <w:rPr>
          <w:rFonts w:eastAsia="新細明體" w:cstheme="minorHAnsi"/>
          <w:szCs w:val="24"/>
          <w:lang w:val="en-GB"/>
        </w:rPr>
        <w:t>greement in RAN1 #107e</w:t>
      </w:r>
    </w:p>
    <w:tbl>
      <w:tblPr>
        <w:tblStyle w:val="af7"/>
        <w:tblW w:w="0" w:type="auto"/>
        <w:tblLook w:val="04A0" w:firstRow="1" w:lastRow="0" w:firstColumn="1" w:lastColumn="0" w:noHBand="0" w:noVBand="1"/>
      </w:tblPr>
      <w:tblGrid>
        <w:gridCol w:w="9629"/>
      </w:tblGrid>
      <w:tr w:rsidR="00262FDE" w14:paraId="6726EC40" w14:textId="77777777" w:rsidTr="00262FDE">
        <w:tc>
          <w:tcPr>
            <w:tcW w:w="9629" w:type="dxa"/>
          </w:tcPr>
          <w:p w14:paraId="5B42333B" w14:textId="77777777" w:rsidR="00262FDE" w:rsidRPr="00DE6B76" w:rsidRDefault="00262FDE" w:rsidP="00262FDE">
            <w:pPr>
              <w:snapToGrid w:val="0"/>
              <w:rPr>
                <w:rFonts w:ascii="Times New Roman" w:hAnsi="Times New Roman"/>
                <w:szCs w:val="20"/>
              </w:rPr>
            </w:pPr>
            <w:r w:rsidRPr="00DE6B76">
              <w:rPr>
                <w:rFonts w:ascii="Times New Roman" w:hAnsi="Times New Roman"/>
                <w:szCs w:val="20"/>
                <w:highlight w:val="green"/>
              </w:rPr>
              <w:t>Refine the following agreement as follows:</w:t>
            </w:r>
          </w:p>
          <w:p w14:paraId="15B4526D" w14:textId="77777777" w:rsidR="00262FDE" w:rsidRPr="00FD4617" w:rsidRDefault="00262FDE" w:rsidP="00262FDE">
            <w:pPr>
              <w:snapToGrid w:val="0"/>
              <w:rPr>
                <w:rFonts w:eastAsia="Malgun Gothic"/>
                <w:lang w:eastAsia="zh-CN"/>
              </w:rPr>
            </w:pPr>
            <w:r w:rsidRPr="00FD4617">
              <w:rPr>
                <w:rFonts w:eastAsia="Malgun Gothic"/>
                <w:highlight w:val="green"/>
                <w:lang w:eastAsia="zh-CN"/>
              </w:rPr>
              <w:t>Agreement</w:t>
            </w:r>
          </w:p>
          <w:p w14:paraId="41CAD9F8" w14:textId="77777777" w:rsidR="00262FDE" w:rsidRPr="00262FDE" w:rsidRDefault="00262FDE" w:rsidP="00262FDE">
            <w:pPr>
              <w:snapToGrid w:val="0"/>
              <w:rPr>
                <w:rFonts w:eastAsia="Malgun Gothic"/>
                <w:lang w:eastAsia="zh-CN"/>
              </w:rPr>
            </w:pPr>
            <w:r w:rsidRPr="00FD4617">
              <w:rPr>
                <w:rFonts w:eastAsia="Malgun Gothic"/>
                <w:lang w:eastAsia="zh-CN"/>
              </w:rPr>
              <w:t>On Rel-17 DCI-based be</w:t>
            </w:r>
            <w:r w:rsidRPr="00262FDE">
              <w:rPr>
                <w:rFonts w:eastAsia="Malgun Gothic"/>
                <w:lang w:eastAsia="zh-CN"/>
              </w:rPr>
              <w:t>am indication, regarding application time of the beam indication, the UE can assume that one beam application time (BAT) for a given SCS is configured for all the CCs configured with the common TCI state ID update,</w:t>
            </w:r>
          </w:p>
          <w:p w14:paraId="1E18C5AE" w14:textId="77777777" w:rsidR="00262FDE" w:rsidRPr="00FD4617" w:rsidRDefault="00262FDE" w:rsidP="00190CF0">
            <w:pPr>
              <w:numPr>
                <w:ilvl w:val="0"/>
                <w:numId w:val="5"/>
              </w:numPr>
              <w:snapToGrid w:val="0"/>
              <w:rPr>
                <w:rFonts w:eastAsia="Malgun Gothic"/>
                <w:lang w:eastAsia="zh-CN"/>
              </w:rPr>
            </w:pPr>
            <w:r w:rsidRPr="00262FDE">
              <w:rPr>
                <w:rFonts w:eastAsia="Malgun Gothic"/>
                <w:lang w:eastAsia="zh-CN"/>
              </w:rPr>
              <w:t>Note: It was agreed that the BAT associated with the carrier(s) (hence BWP(s)/CC(s)) on which the beam indication applies is determine</w:t>
            </w:r>
            <w:r w:rsidRPr="00FD4617">
              <w:rPr>
                <w:rFonts w:eastAsia="Malgun Gothic"/>
                <w:lang w:eastAsia="zh-CN"/>
              </w:rPr>
              <w:t xml:space="preserve">d </w:t>
            </w:r>
            <w:r w:rsidRPr="007A6CB7">
              <w:rPr>
                <w:rFonts w:eastAsia="Malgun Gothic"/>
                <w:highlight w:val="yellow"/>
                <w:lang w:eastAsia="zh-CN"/>
              </w:rPr>
              <w:t>based on the carrier with the smallest SCS among the carrier(s) (hence BWP(s)/CC(s)) applying the beam indication</w:t>
            </w:r>
          </w:p>
          <w:p w14:paraId="4C6C05CA" w14:textId="5DEAE331" w:rsidR="00262FDE" w:rsidRPr="00262FDE" w:rsidRDefault="00262FDE" w:rsidP="00190CF0">
            <w:pPr>
              <w:numPr>
                <w:ilvl w:val="0"/>
                <w:numId w:val="5"/>
              </w:numPr>
              <w:snapToGrid w:val="0"/>
              <w:rPr>
                <w:rFonts w:eastAsia="Malgun Gothic"/>
                <w:lang w:eastAsia="zh-CN"/>
              </w:rPr>
            </w:pPr>
            <w:r w:rsidRPr="00FD4617">
              <w:rPr>
                <w:rFonts w:eastAsia="Malgun Gothic"/>
                <w:lang w:eastAsia="zh-CN"/>
              </w:rPr>
              <w:t>TBD (maintenance): whether a second configured BAT is also supported, e.g. for MPUE or inter-cell BM</w:t>
            </w:r>
          </w:p>
        </w:tc>
      </w:tr>
    </w:tbl>
    <w:p w14:paraId="42CF3699" w14:textId="488C63B4" w:rsidR="00262FDE" w:rsidRDefault="00262FDE" w:rsidP="000D71D7">
      <w:pPr>
        <w:jc w:val="both"/>
        <w:rPr>
          <w:rFonts w:eastAsia="新細明體" w:cstheme="minorHAnsi"/>
          <w:szCs w:val="24"/>
          <w:lang w:val="en-GB"/>
        </w:rPr>
      </w:pPr>
    </w:p>
    <w:p w14:paraId="4CD9C4AF" w14:textId="595B54AD" w:rsidR="00262FDE" w:rsidRDefault="00262FDE" w:rsidP="000D71D7">
      <w:pPr>
        <w:jc w:val="both"/>
        <w:rPr>
          <w:rFonts w:eastAsia="新細明體" w:cstheme="minorHAnsi"/>
          <w:szCs w:val="24"/>
          <w:lang w:val="en-GB"/>
        </w:rPr>
      </w:pPr>
    </w:p>
    <w:p w14:paraId="1FCC484B" w14:textId="133F9D4A" w:rsidR="00262FDE" w:rsidRDefault="007A6CB7" w:rsidP="000D71D7">
      <w:pPr>
        <w:jc w:val="both"/>
        <w:rPr>
          <w:rFonts w:eastAsia="新細明體" w:cstheme="minorHAnsi"/>
          <w:szCs w:val="24"/>
          <w:lang w:val="en-GB"/>
        </w:rPr>
      </w:pPr>
      <w:r>
        <w:rPr>
          <w:rFonts w:eastAsia="新細明體" w:cstheme="minorHAnsi" w:hint="eastAsia"/>
          <w:szCs w:val="24"/>
          <w:lang w:val="en-GB"/>
        </w:rPr>
        <w:t>T</w:t>
      </w:r>
      <w:r>
        <w:rPr>
          <w:rFonts w:eastAsia="新細明體" w:cstheme="minorHAnsi"/>
          <w:szCs w:val="24"/>
          <w:lang w:val="en-GB"/>
        </w:rPr>
        <w:t xml:space="preserve">hus, based on the above </w:t>
      </w:r>
      <w:r w:rsidR="008B2A88">
        <w:rPr>
          <w:rFonts w:eastAsia="新細明體" w:cstheme="minorHAnsi"/>
          <w:szCs w:val="24"/>
          <w:lang w:val="en-GB"/>
        </w:rPr>
        <w:t>analysis</w:t>
      </w:r>
      <w:r>
        <w:rPr>
          <w:rFonts w:eastAsia="新細明體" w:cstheme="minorHAnsi"/>
          <w:szCs w:val="24"/>
          <w:lang w:val="en-GB"/>
        </w:rPr>
        <w:t>, our suggestion for CA case is</w:t>
      </w:r>
      <w:r w:rsidR="00330FFD">
        <w:rPr>
          <w:rFonts w:eastAsia="新細明體" w:cstheme="minorHAnsi"/>
          <w:szCs w:val="24"/>
          <w:lang w:val="en-GB"/>
        </w:rPr>
        <w:t>:</w:t>
      </w:r>
    </w:p>
    <w:p w14:paraId="0C8F3F88" w14:textId="77777777" w:rsidR="007A6CB7" w:rsidRPr="00403E41" w:rsidRDefault="007A6CB7" w:rsidP="000D71D7">
      <w:pPr>
        <w:jc w:val="both"/>
        <w:rPr>
          <w:rFonts w:eastAsia="新細明體" w:cstheme="minorHAnsi"/>
          <w:szCs w:val="24"/>
          <w:lang w:val="en-GB"/>
        </w:rPr>
      </w:pPr>
    </w:p>
    <w:p w14:paraId="2DE421D0" w14:textId="27BF4A61" w:rsidR="00262FDE" w:rsidRDefault="00262FDE" w:rsidP="00262FDE">
      <w:pPr>
        <w:jc w:val="both"/>
        <w:rPr>
          <w:rFonts w:eastAsia="新細明體" w:cstheme="minorHAnsi"/>
          <w:b/>
          <w:bCs/>
          <w:szCs w:val="24"/>
        </w:rPr>
      </w:pPr>
      <w:bookmarkStart w:id="15" w:name="_Ref92112376"/>
      <w:r w:rsidRPr="006141AA">
        <w:rPr>
          <w:b/>
          <w:bCs/>
          <w:szCs w:val="24"/>
        </w:rPr>
        <w:t>Prop</w:t>
      </w:r>
      <w:r w:rsidRPr="006141AA">
        <w:rPr>
          <w:rFonts w:cstheme="minorHAnsi"/>
          <w:b/>
          <w:bCs/>
          <w:szCs w:val="24"/>
        </w:rPr>
        <w:t xml:space="preserve">osal </w:t>
      </w:r>
      <w:r w:rsidRPr="006141AA">
        <w:rPr>
          <w:rFonts w:cstheme="minorHAnsi"/>
          <w:b/>
          <w:bCs/>
          <w:szCs w:val="24"/>
        </w:rPr>
        <w:fldChar w:fldCharType="begin"/>
      </w:r>
      <w:r w:rsidRPr="006141AA">
        <w:rPr>
          <w:rFonts w:cstheme="minorHAnsi"/>
          <w:b/>
          <w:bCs/>
          <w:szCs w:val="24"/>
        </w:rPr>
        <w:instrText xml:space="preserve"> SEQ Proposal \* ARABIC </w:instrText>
      </w:r>
      <w:r w:rsidRPr="006141AA">
        <w:rPr>
          <w:rFonts w:cstheme="minorHAnsi"/>
          <w:b/>
          <w:bCs/>
          <w:szCs w:val="24"/>
        </w:rPr>
        <w:fldChar w:fldCharType="separate"/>
      </w:r>
      <w:r w:rsidR="00B635F7">
        <w:rPr>
          <w:rFonts w:cstheme="minorHAnsi"/>
          <w:b/>
          <w:bCs/>
          <w:noProof/>
          <w:szCs w:val="24"/>
        </w:rPr>
        <w:t>9</w:t>
      </w:r>
      <w:r w:rsidRPr="006141AA">
        <w:rPr>
          <w:rFonts w:cstheme="minorHAnsi"/>
          <w:b/>
          <w:bCs/>
          <w:noProof/>
          <w:szCs w:val="24"/>
        </w:rPr>
        <w:fldChar w:fldCharType="end"/>
      </w:r>
      <w:r w:rsidRPr="006141AA">
        <w:rPr>
          <w:rFonts w:cstheme="minorHAnsi"/>
          <w:b/>
          <w:bCs/>
          <w:szCs w:val="24"/>
        </w:rPr>
        <w:t xml:space="preserve">: </w:t>
      </w:r>
      <w:r w:rsidR="007A6CB7" w:rsidRPr="007A6CB7">
        <w:rPr>
          <w:rFonts w:eastAsia="新細明體" w:cstheme="minorHAnsi"/>
          <w:b/>
          <w:bCs/>
          <w:szCs w:val="24"/>
        </w:rPr>
        <w:t>For common TCI switching delay for CA case, reuse the delay requirement as the TCI state switching for single CC, with the clarification that the first slot to apply the new TCI state is determined on the CC with the smallest SCS among the CCs which applying the beam indication.</w:t>
      </w:r>
      <w:bookmarkEnd w:id="15"/>
    </w:p>
    <w:p w14:paraId="40C264C6" w14:textId="77777777" w:rsidR="00FC7C55" w:rsidRPr="00AA3E06" w:rsidRDefault="00FC7C55" w:rsidP="0022440E">
      <w:pPr>
        <w:jc w:val="both"/>
        <w:rPr>
          <w:rFonts w:eastAsia="新細明體" w:cstheme="minorHAnsi"/>
          <w:szCs w:val="24"/>
        </w:rPr>
      </w:pPr>
    </w:p>
    <w:p w14:paraId="6420F266" w14:textId="77777777" w:rsidR="00CE0D5E" w:rsidRPr="00DA469A" w:rsidRDefault="00141644"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Summary</w:t>
      </w:r>
    </w:p>
    <w:p w14:paraId="5F000CE4" w14:textId="29EF00D8" w:rsidR="004C0364" w:rsidRDefault="006F7557" w:rsidP="004C0364">
      <w:pPr>
        <w:adjustRightInd w:val="0"/>
        <w:snapToGrid w:val="0"/>
        <w:spacing w:before="180" w:after="120"/>
        <w:jc w:val="both"/>
        <w:rPr>
          <w:rFonts w:cstheme="minorHAnsi"/>
          <w:szCs w:val="24"/>
        </w:rPr>
      </w:pPr>
      <w:r w:rsidRPr="009A2A8B">
        <w:rPr>
          <w:rFonts w:cstheme="minorHAnsi"/>
          <w:szCs w:val="24"/>
        </w:rPr>
        <w:t>In this paper,</w:t>
      </w:r>
      <w:r w:rsidR="00FB24ED" w:rsidRPr="009A2A8B">
        <w:rPr>
          <w:rFonts w:cstheme="minorHAnsi"/>
          <w:szCs w:val="24"/>
        </w:rPr>
        <w:t xml:space="preserve"> </w:t>
      </w:r>
      <w:r w:rsidR="00CE0CB5" w:rsidRPr="009A2A8B">
        <w:rPr>
          <w:rFonts w:cstheme="minorHAnsi"/>
          <w:szCs w:val="24"/>
        </w:rPr>
        <w:t xml:space="preserve">the </w:t>
      </w:r>
      <w:r w:rsidR="009758A1" w:rsidRPr="009A2A8B">
        <w:rPr>
          <w:rFonts w:cstheme="minorHAnsi"/>
          <w:szCs w:val="24"/>
        </w:rPr>
        <w:t>discussion</w:t>
      </w:r>
      <w:r w:rsidR="00CE0CB5" w:rsidRPr="009A2A8B">
        <w:rPr>
          <w:rFonts w:cstheme="minorHAnsi"/>
          <w:szCs w:val="24"/>
        </w:rPr>
        <w:t xml:space="preserve"> of </w:t>
      </w:r>
      <w:r w:rsidR="00E95EF2">
        <w:rPr>
          <w:rFonts w:cstheme="minorHAnsi"/>
          <w:szCs w:val="24"/>
        </w:rPr>
        <w:t>unified TCI state switch</w:t>
      </w:r>
      <w:r w:rsidR="009758A1" w:rsidRPr="009A2A8B">
        <w:rPr>
          <w:rFonts w:cstheme="minorHAnsi"/>
          <w:szCs w:val="24"/>
        </w:rPr>
        <w:t xml:space="preserve"> is</w:t>
      </w:r>
      <w:r w:rsidR="006D29F5" w:rsidRPr="009A2A8B">
        <w:rPr>
          <w:rFonts w:cstheme="minorHAnsi"/>
          <w:szCs w:val="24"/>
          <w:lang w:eastAsia="ja-JP"/>
        </w:rPr>
        <w:t xml:space="preserve"> provided</w:t>
      </w:r>
      <w:r w:rsidR="00CE0CB5" w:rsidRPr="009A2A8B">
        <w:rPr>
          <w:rFonts w:cstheme="minorHAnsi"/>
          <w:szCs w:val="24"/>
        </w:rPr>
        <w:t>.</w:t>
      </w:r>
      <w:r w:rsidR="00E710BA" w:rsidRPr="009A2A8B">
        <w:rPr>
          <w:rFonts w:cstheme="minorHAnsi"/>
          <w:szCs w:val="24"/>
        </w:rPr>
        <w:t xml:space="preserve"> </w:t>
      </w:r>
      <w:r w:rsidR="009758A1" w:rsidRPr="009A2A8B">
        <w:rPr>
          <w:rFonts w:cstheme="minorHAnsi"/>
          <w:szCs w:val="24"/>
        </w:rPr>
        <w:t>We have the following proposal</w:t>
      </w:r>
      <w:r w:rsidR="00E710BA" w:rsidRPr="009A2A8B">
        <w:rPr>
          <w:rFonts w:cstheme="minorHAnsi"/>
          <w:szCs w:val="24"/>
        </w:rPr>
        <w:t>:</w:t>
      </w:r>
    </w:p>
    <w:p w14:paraId="1E820A84" w14:textId="10A965F2" w:rsidR="0057215D" w:rsidRPr="00EC0322" w:rsidRDefault="00EC0322" w:rsidP="004C0364">
      <w:pPr>
        <w:adjustRightInd w:val="0"/>
        <w:snapToGrid w:val="0"/>
        <w:spacing w:before="180" w:after="120"/>
        <w:jc w:val="both"/>
        <w:rPr>
          <w:rFonts w:cstheme="minorHAnsi"/>
          <w:b/>
          <w:bCs/>
          <w:szCs w:val="24"/>
        </w:rPr>
      </w:pPr>
      <w:r w:rsidRPr="00EC0322">
        <w:rPr>
          <w:rFonts w:cstheme="minorHAnsi"/>
          <w:b/>
          <w:bCs/>
          <w:szCs w:val="24"/>
        </w:rPr>
        <w:fldChar w:fldCharType="begin"/>
      </w:r>
      <w:r w:rsidRPr="00EC0322">
        <w:rPr>
          <w:rFonts w:cstheme="minorHAnsi"/>
          <w:b/>
          <w:bCs/>
          <w:szCs w:val="24"/>
        </w:rPr>
        <w:instrText xml:space="preserve"> REF _Ref95410624 \h  \* MERGEFORMAT </w:instrText>
      </w:r>
      <w:r w:rsidRPr="00EC0322">
        <w:rPr>
          <w:rFonts w:cstheme="minorHAnsi"/>
          <w:b/>
          <w:bCs/>
          <w:szCs w:val="24"/>
        </w:rPr>
      </w:r>
      <w:r w:rsidRPr="00EC0322">
        <w:rPr>
          <w:rFonts w:cstheme="minorHAnsi"/>
          <w:b/>
          <w:bCs/>
          <w:szCs w:val="24"/>
        </w:rPr>
        <w:fldChar w:fldCharType="separate"/>
      </w:r>
      <w:r w:rsidR="00B635F7" w:rsidRPr="00B635F7">
        <w:rPr>
          <w:b/>
          <w:bCs/>
          <w:szCs w:val="24"/>
        </w:rPr>
        <w:t xml:space="preserve">Proposal </w:t>
      </w:r>
      <w:r w:rsidR="00B635F7" w:rsidRPr="00B635F7">
        <w:rPr>
          <w:b/>
          <w:bCs/>
          <w:noProof/>
          <w:szCs w:val="24"/>
        </w:rPr>
        <w:t>1</w:t>
      </w:r>
      <w:r w:rsidR="00B635F7" w:rsidRPr="00B635F7">
        <w:rPr>
          <w:b/>
          <w:bCs/>
          <w:szCs w:val="24"/>
        </w:rPr>
        <w:t>: The definition of beam alignment is as following:</w:t>
      </w:r>
      <w:r w:rsidRPr="00EC0322">
        <w:rPr>
          <w:rFonts w:cstheme="minorHAnsi"/>
          <w:b/>
          <w:bCs/>
          <w:szCs w:val="24"/>
        </w:rPr>
        <w:fldChar w:fldCharType="end"/>
      </w:r>
    </w:p>
    <w:p w14:paraId="087DAD96" w14:textId="77777777" w:rsidR="00EC0322" w:rsidRPr="001232AB" w:rsidRDefault="00EC0322" w:rsidP="00EC0322">
      <w:pPr>
        <w:pStyle w:val="af5"/>
        <w:numPr>
          <w:ilvl w:val="1"/>
          <w:numId w:val="7"/>
        </w:numPr>
        <w:ind w:hanging="357"/>
        <w:contextualSpacing w:val="0"/>
        <w:rPr>
          <w:b/>
          <w:szCs w:val="24"/>
          <w:lang w:eastAsia="zh-TW"/>
        </w:rPr>
      </w:pPr>
      <w:r w:rsidRPr="001232AB">
        <w:rPr>
          <w:b/>
          <w:szCs w:val="24"/>
          <w:lang w:eastAsia="zh-TW"/>
        </w:rPr>
        <w:lastRenderedPageBreak/>
        <w:t>If PL-RS is included in UL TCI or joint TCI, PL-RS is identical to the source RS in UL or joint TCI</w:t>
      </w:r>
    </w:p>
    <w:p w14:paraId="587912CE" w14:textId="77777777" w:rsidR="00EC0322" w:rsidRPr="001232AB" w:rsidRDefault="00EC0322" w:rsidP="00EC0322">
      <w:pPr>
        <w:pStyle w:val="af5"/>
        <w:numPr>
          <w:ilvl w:val="1"/>
          <w:numId w:val="7"/>
        </w:numPr>
        <w:rPr>
          <w:b/>
          <w:szCs w:val="24"/>
          <w:lang w:eastAsia="zh-TW"/>
        </w:rPr>
      </w:pPr>
      <w:r w:rsidRPr="001232AB">
        <w:rPr>
          <w:b/>
          <w:szCs w:val="24"/>
          <w:lang w:eastAsia="zh-TW"/>
        </w:rPr>
        <w:t>If PL-RS is associated UL TCI or joint TCI, PL-RS and source RS in UL or joint TCI is QCL-Type D.</w:t>
      </w:r>
    </w:p>
    <w:p w14:paraId="7480E81E" w14:textId="19ABC93C" w:rsidR="00EC0322" w:rsidRPr="00EC0322" w:rsidRDefault="00EC0322" w:rsidP="004C0364">
      <w:pPr>
        <w:adjustRightInd w:val="0"/>
        <w:snapToGrid w:val="0"/>
        <w:spacing w:before="180" w:after="120"/>
        <w:jc w:val="both"/>
        <w:rPr>
          <w:rFonts w:cstheme="minorHAnsi"/>
          <w:b/>
          <w:bCs/>
          <w:szCs w:val="24"/>
        </w:rPr>
      </w:pPr>
      <w:r w:rsidRPr="00EC0322">
        <w:rPr>
          <w:rFonts w:cstheme="minorHAnsi"/>
          <w:b/>
          <w:bCs/>
          <w:szCs w:val="24"/>
        </w:rPr>
        <w:fldChar w:fldCharType="begin"/>
      </w:r>
      <w:r w:rsidRPr="00EC0322">
        <w:rPr>
          <w:rFonts w:cstheme="minorHAnsi"/>
          <w:b/>
          <w:bCs/>
          <w:szCs w:val="24"/>
        </w:rPr>
        <w:instrText xml:space="preserve"> REF _Ref95410633 \h  \* MERGEFORMAT </w:instrText>
      </w:r>
      <w:r w:rsidRPr="00EC0322">
        <w:rPr>
          <w:rFonts w:cstheme="minorHAnsi"/>
          <w:b/>
          <w:bCs/>
          <w:szCs w:val="24"/>
        </w:rPr>
      </w:r>
      <w:r w:rsidRPr="00EC0322">
        <w:rPr>
          <w:rFonts w:cstheme="minorHAnsi"/>
          <w:b/>
          <w:bCs/>
          <w:szCs w:val="24"/>
        </w:rPr>
        <w:fldChar w:fldCharType="separate"/>
      </w:r>
      <w:r w:rsidR="00B635F7" w:rsidRPr="00B635F7">
        <w:rPr>
          <w:b/>
          <w:bCs/>
          <w:szCs w:val="24"/>
        </w:rPr>
        <w:t xml:space="preserve">Proposal </w:t>
      </w:r>
      <w:r w:rsidR="00B635F7" w:rsidRPr="00B635F7">
        <w:rPr>
          <w:b/>
          <w:bCs/>
          <w:noProof/>
          <w:szCs w:val="24"/>
        </w:rPr>
        <w:t>2</w:t>
      </w:r>
      <w:r w:rsidR="00B635F7" w:rsidRPr="00B635F7">
        <w:rPr>
          <w:b/>
          <w:bCs/>
          <w:szCs w:val="24"/>
        </w:rPr>
        <w:t>: For the MAC CE based and DCI based TCI state-pair indication, the TCI state switching delay requirement can be defined for UL TCI and DL TCI switching independently.</w:t>
      </w:r>
      <w:r w:rsidRPr="00EC0322">
        <w:rPr>
          <w:rFonts w:cstheme="minorHAnsi"/>
          <w:b/>
          <w:bCs/>
          <w:szCs w:val="24"/>
        </w:rPr>
        <w:fldChar w:fldCharType="end"/>
      </w:r>
    </w:p>
    <w:p w14:paraId="0EB57582" w14:textId="34EB43AF" w:rsidR="00EC0322" w:rsidRPr="00EC0322" w:rsidRDefault="00EC0322" w:rsidP="004C0364">
      <w:pPr>
        <w:adjustRightInd w:val="0"/>
        <w:snapToGrid w:val="0"/>
        <w:spacing w:before="180" w:after="120"/>
        <w:jc w:val="both"/>
        <w:rPr>
          <w:rFonts w:cstheme="minorHAnsi"/>
          <w:b/>
          <w:bCs/>
          <w:szCs w:val="24"/>
        </w:rPr>
      </w:pPr>
      <w:r w:rsidRPr="00EC0322">
        <w:rPr>
          <w:rFonts w:cstheme="minorHAnsi"/>
          <w:b/>
          <w:bCs/>
          <w:szCs w:val="24"/>
        </w:rPr>
        <w:fldChar w:fldCharType="begin"/>
      </w:r>
      <w:r w:rsidRPr="00EC0322">
        <w:rPr>
          <w:rFonts w:cstheme="minorHAnsi"/>
          <w:b/>
          <w:bCs/>
          <w:szCs w:val="24"/>
        </w:rPr>
        <w:instrText xml:space="preserve"> REF _Ref95410650 \h  \* MERGEFORMAT </w:instrText>
      </w:r>
      <w:r w:rsidRPr="00EC0322">
        <w:rPr>
          <w:rFonts w:cstheme="minorHAnsi"/>
          <w:b/>
          <w:bCs/>
          <w:szCs w:val="24"/>
        </w:rPr>
      </w:r>
      <w:r w:rsidRPr="00EC0322">
        <w:rPr>
          <w:rFonts w:cstheme="minorHAnsi"/>
          <w:b/>
          <w:bCs/>
          <w:szCs w:val="24"/>
        </w:rPr>
        <w:fldChar w:fldCharType="separate"/>
      </w:r>
      <w:r w:rsidR="00B635F7" w:rsidRPr="00B635F7">
        <w:rPr>
          <w:rFonts w:cstheme="minorHAnsi"/>
          <w:b/>
          <w:bCs/>
          <w:szCs w:val="24"/>
        </w:rPr>
        <w:t xml:space="preserve">Observation </w:t>
      </w:r>
      <w:r w:rsidR="00B635F7" w:rsidRPr="00B635F7">
        <w:rPr>
          <w:rFonts w:cstheme="minorHAnsi"/>
          <w:b/>
          <w:bCs/>
          <w:noProof/>
          <w:szCs w:val="24"/>
        </w:rPr>
        <w:t>1</w:t>
      </w:r>
      <w:r w:rsidR="00B635F7" w:rsidRPr="00B635F7">
        <w:rPr>
          <w:rFonts w:cstheme="minorHAnsi"/>
          <w:b/>
          <w:bCs/>
          <w:szCs w:val="24"/>
        </w:rPr>
        <w:t xml:space="preserve">: </w:t>
      </w:r>
      <w:r w:rsidR="00B635F7" w:rsidRPr="00B635F7">
        <w:rPr>
          <w:rFonts w:cstheme="minorHAnsi"/>
          <w:b/>
          <w:bCs/>
          <w:szCs w:val="24"/>
          <w:lang w:eastAsia="x-none"/>
        </w:rPr>
        <w:t>In the last meeting, RAN4 agreed "Active BWP of cell with different PCI shall be within active BWP of serving cell". It is unclear whether the BWPs of serving cell and non-serving cell are the same or not.</w:t>
      </w:r>
      <w:r w:rsidRPr="00EC0322">
        <w:rPr>
          <w:rFonts w:cstheme="minorHAnsi"/>
          <w:b/>
          <w:bCs/>
          <w:szCs w:val="24"/>
        </w:rPr>
        <w:fldChar w:fldCharType="end"/>
      </w:r>
    </w:p>
    <w:p w14:paraId="6A81AAD9" w14:textId="4A5D0F77" w:rsidR="00EC0322" w:rsidRPr="00EC0322" w:rsidRDefault="00EC0322" w:rsidP="004C0364">
      <w:pPr>
        <w:adjustRightInd w:val="0"/>
        <w:snapToGrid w:val="0"/>
        <w:spacing w:before="180" w:after="120"/>
        <w:jc w:val="both"/>
        <w:rPr>
          <w:rFonts w:cstheme="minorHAnsi"/>
          <w:b/>
          <w:bCs/>
          <w:szCs w:val="24"/>
        </w:rPr>
      </w:pPr>
      <w:r w:rsidRPr="00EC0322">
        <w:rPr>
          <w:rFonts w:cstheme="minorHAnsi"/>
          <w:b/>
          <w:bCs/>
          <w:szCs w:val="24"/>
        </w:rPr>
        <w:fldChar w:fldCharType="begin"/>
      </w:r>
      <w:r w:rsidRPr="00EC0322">
        <w:rPr>
          <w:rFonts w:cstheme="minorHAnsi"/>
          <w:b/>
          <w:bCs/>
          <w:szCs w:val="24"/>
        </w:rPr>
        <w:instrText xml:space="preserve"> REF _Ref95410640 \h  \* MERGEFORMAT </w:instrText>
      </w:r>
      <w:r w:rsidRPr="00EC0322">
        <w:rPr>
          <w:rFonts w:cstheme="minorHAnsi"/>
          <w:b/>
          <w:bCs/>
          <w:szCs w:val="24"/>
        </w:rPr>
      </w:r>
      <w:r w:rsidRPr="00EC0322">
        <w:rPr>
          <w:rFonts w:cstheme="minorHAnsi"/>
          <w:b/>
          <w:bCs/>
          <w:szCs w:val="24"/>
        </w:rPr>
        <w:fldChar w:fldCharType="separate"/>
      </w:r>
      <w:r w:rsidR="00B635F7" w:rsidRPr="00B635F7">
        <w:rPr>
          <w:b/>
          <w:bCs/>
          <w:szCs w:val="24"/>
        </w:rPr>
        <w:t xml:space="preserve">Proposal </w:t>
      </w:r>
      <w:r w:rsidR="00B635F7" w:rsidRPr="00B635F7">
        <w:rPr>
          <w:b/>
          <w:bCs/>
          <w:noProof/>
          <w:szCs w:val="24"/>
        </w:rPr>
        <w:t>3</w:t>
      </w:r>
      <w:r w:rsidR="00B635F7" w:rsidRPr="00B635F7">
        <w:rPr>
          <w:b/>
          <w:bCs/>
          <w:szCs w:val="24"/>
        </w:rPr>
        <w:t>: To clarify in RAN4 that the BWPs of serving cell and non-serving cell are the same.</w:t>
      </w:r>
      <w:r w:rsidRPr="00EC0322">
        <w:rPr>
          <w:rFonts w:cstheme="minorHAnsi"/>
          <w:b/>
          <w:bCs/>
          <w:szCs w:val="24"/>
        </w:rPr>
        <w:fldChar w:fldCharType="end"/>
      </w:r>
    </w:p>
    <w:p w14:paraId="0FE0E7EF" w14:textId="37959643" w:rsidR="00EC0322" w:rsidRPr="00EC0322" w:rsidRDefault="00EC0322" w:rsidP="004C0364">
      <w:pPr>
        <w:adjustRightInd w:val="0"/>
        <w:snapToGrid w:val="0"/>
        <w:spacing w:before="180" w:after="120"/>
        <w:jc w:val="both"/>
        <w:rPr>
          <w:rFonts w:eastAsia="新細明體" w:cstheme="minorHAnsi"/>
          <w:b/>
          <w:bCs/>
          <w:szCs w:val="24"/>
        </w:rPr>
      </w:pPr>
      <w:r w:rsidRPr="00EC0322">
        <w:rPr>
          <w:rFonts w:eastAsia="新細明體" w:cstheme="minorHAnsi"/>
          <w:b/>
          <w:bCs/>
          <w:szCs w:val="24"/>
        </w:rPr>
        <w:fldChar w:fldCharType="begin"/>
      </w:r>
      <w:r w:rsidRPr="00EC0322">
        <w:rPr>
          <w:rFonts w:eastAsia="新細明體" w:cstheme="minorHAnsi"/>
          <w:b/>
          <w:bCs/>
          <w:szCs w:val="24"/>
        </w:rPr>
        <w:instrText xml:space="preserve"> REF _Ref95410662 \h  \* MERGEFORMAT </w:instrText>
      </w:r>
      <w:r w:rsidRPr="00EC0322">
        <w:rPr>
          <w:rFonts w:eastAsia="新細明體" w:cstheme="minorHAnsi"/>
          <w:b/>
          <w:bCs/>
          <w:szCs w:val="24"/>
        </w:rPr>
      </w:r>
      <w:r w:rsidRPr="00EC0322">
        <w:rPr>
          <w:rFonts w:eastAsia="新細明體" w:cstheme="minorHAnsi"/>
          <w:b/>
          <w:bCs/>
          <w:szCs w:val="24"/>
        </w:rPr>
        <w:fldChar w:fldCharType="separate"/>
      </w:r>
      <w:r w:rsidR="00B635F7" w:rsidRPr="00B635F7">
        <w:rPr>
          <w:b/>
          <w:bCs/>
          <w:szCs w:val="24"/>
        </w:rPr>
        <w:t xml:space="preserve">Proposal </w:t>
      </w:r>
      <w:r w:rsidR="00B635F7" w:rsidRPr="00B635F7">
        <w:rPr>
          <w:b/>
          <w:bCs/>
          <w:noProof/>
          <w:szCs w:val="24"/>
        </w:rPr>
        <w:t>4</w:t>
      </w:r>
      <w:r w:rsidR="00B635F7" w:rsidRPr="00B635F7">
        <w:rPr>
          <w:b/>
          <w:bCs/>
          <w:szCs w:val="24"/>
        </w:rPr>
        <w:t xml:space="preserve">: Non-serving cell is known if UE transmits any L1-RSRP measurement report for the non-serving cell within [X] ms before the </w:t>
      </w:r>
      <w:r w:rsidR="00B635F7" w:rsidRPr="00B635F7">
        <w:rPr>
          <w:rFonts w:eastAsia="新細明體"/>
          <w:b/>
          <w:bCs/>
          <w:szCs w:val="24"/>
        </w:rPr>
        <w:t>TCI state is switched</w:t>
      </w:r>
      <w:r w:rsidR="00B635F7" w:rsidRPr="00B635F7">
        <w:rPr>
          <w:b/>
          <w:bCs/>
          <w:szCs w:val="24"/>
        </w:rPr>
        <w:t>. FFS: [X] for the valid L1-RSRP report and the value can follow the conclusion in inter-cell beam management.</w:t>
      </w:r>
      <w:r w:rsidRPr="00EC0322">
        <w:rPr>
          <w:rFonts w:eastAsia="新細明體" w:cstheme="minorHAnsi"/>
          <w:b/>
          <w:bCs/>
          <w:szCs w:val="24"/>
        </w:rPr>
        <w:fldChar w:fldCharType="end"/>
      </w:r>
    </w:p>
    <w:p w14:paraId="62E23C88" w14:textId="65393F6E" w:rsidR="00EC0322" w:rsidRPr="00EC0322" w:rsidRDefault="00EC0322" w:rsidP="004C0364">
      <w:pPr>
        <w:adjustRightInd w:val="0"/>
        <w:snapToGrid w:val="0"/>
        <w:spacing w:before="180" w:after="120"/>
        <w:jc w:val="both"/>
        <w:rPr>
          <w:rFonts w:eastAsia="新細明體" w:cstheme="minorHAnsi"/>
          <w:b/>
          <w:bCs/>
          <w:szCs w:val="24"/>
        </w:rPr>
      </w:pPr>
      <w:r w:rsidRPr="00EC0322">
        <w:rPr>
          <w:rFonts w:eastAsia="新細明體" w:cstheme="minorHAnsi"/>
          <w:b/>
          <w:bCs/>
          <w:szCs w:val="24"/>
        </w:rPr>
        <w:fldChar w:fldCharType="begin"/>
      </w:r>
      <w:r w:rsidRPr="00EC0322">
        <w:rPr>
          <w:rFonts w:eastAsia="新細明體" w:cstheme="minorHAnsi"/>
          <w:b/>
          <w:bCs/>
          <w:szCs w:val="24"/>
        </w:rPr>
        <w:instrText xml:space="preserve"> REF _Ref95410679 \h  \* MERGEFORMAT </w:instrText>
      </w:r>
      <w:r w:rsidRPr="00EC0322">
        <w:rPr>
          <w:rFonts w:eastAsia="新細明體" w:cstheme="minorHAnsi"/>
          <w:b/>
          <w:bCs/>
          <w:szCs w:val="24"/>
        </w:rPr>
      </w:r>
      <w:r w:rsidRPr="00EC0322">
        <w:rPr>
          <w:rFonts w:eastAsia="新細明體" w:cstheme="minorHAnsi"/>
          <w:b/>
          <w:bCs/>
          <w:szCs w:val="24"/>
        </w:rPr>
        <w:fldChar w:fldCharType="separate"/>
      </w:r>
      <w:r w:rsidR="00B635F7" w:rsidRPr="00B635F7">
        <w:rPr>
          <w:b/>
          <w:bCs/>
          <w:szCs w:val="24"/>
        </w:rPr>
        <w:t xml:space="preserve">Proposal </w:t>
      </w:r>
      <w:r w:rsidR="00B635F7" w:rsidRPr="00B635F7">
        <w:rPr>
          <w:b/>
          <w:bCs/>
          <w:noProof/>
          <w:szCs w:val="24"/>
        </w:rPr>
        <w:t>5</w:t>
      </w:r>
      <w:r w:rsidR="00B635F7" w:rsidRPr="00B635F7">
        <w:rPr>
          <w:b/>
          <w:bCs/>
          <w:szCs w:val="24"/>
        </w:rPr>
        <w:t>: For the case when the non-serving cell is known and the target TCI state is known, the same TCI state switch delay requirement as serving cell can be reused.</w:t>
      </w:r>
      <w:r w:rsidRPr="00EC0322">
        <w:rPr>
          <w:rFonts w:eastAsia="新細明體" w:cstheme="minorHAnsi"/>
          <w:b/>
          <w:bCs/>
          <w:szCs w:val="24"/>
        </w:rPr>
        <w:fldChar w:fldCharType="end"/>
      </w:r>
    </w:p>
    <w:p w14:paraId="68D309A5" w14:textId="411CA781" w:rsidR="00EC0322" w:rsidRPr="00EC0322" w:rsidRDefault="00EC0322" w:rsidP="004C0364">
      <w:pPr>
        <w:adjustRightInd w:val="0"/>
        <w:snapToGrid w:val="0"/>
        <w:spacing w:before="180" w:after="120"/>
        <w:jc w:val="both"/>
        <w:rPr>
          <w:rFonts w:eastAsia="新細明體" w:cstheme="minorHAnsi"/>
          <w:b/>
          <w:bCs/>
          <w:szCs w:val="24"/>
        </w:rPr>
      </w:pPr>
      <w:r w:rsidRPr="00EC0322">
        <w:rPr>
          <w:rFonts w:eastAsia="新細明體" w:cstheme="minorHAnsi"/>
          <w:b/>
          <w:bCs/>
          <w:szCs w:val="24"/>
        </w:rPr>
        <w:fldChar w:fldCharType="begin"/>
      </w:r>
      <w:r w:rsidRPr="00EC0322">
        <w:rPr>
          <w:rFonts w:eastAsia="新細明體" w:cstheme="minorHAnsi"/>
          <w:b/>
          <w:bCs/>
          <w:szCs w:val="24"/>
        </w:rPr>
        <w:instrText xml:space="preserve"> REF _Ref95410685 \h  \* MERGEFORMAT </w:instrText>
      </w:r>
      <w:r w:rsidRPr="00EC0322">
        <w:rPr>
          <w:rFonts w:eastAsia="新細明體" w:cstheme="minorHAnsi"/>
          <w:b/>
          <w:bCs/>
          <w:szCs w:val="24"/>
        </w:rPr>
      </w:r>
      <w:r w:rsidRPr="00EC0322">
        <w:rPr>
          <w:rFonts w:eastAsia="新細明體" w:cstheme="minorHAnsi"/>
          <w:b/>
          <w:bCs/>
          <w:szCs w:val="24"/>
        </w:rPr>
        <w:fldChar w:fldCharType="separate"/>
      </w:r>
      <w:r w:rsidR="00B635F7" w:rsidRPr="00B635F7">
        <w:rPr>
          <w:b/>
          <w:bCs/>
          <w:szCs w:val="24"/>
        </w:rPr>
        <w:t xml:space="preserve">Proposal </w:t>
      </w:r>
      <w:r w:rsidR="00B635F7" w:rsidRPr="00B635F7">
        <w:rPr>
          <w:b/>
          <w:bCs/>
          <w:noProof/>
          <w:szCs w:val="24"/>
        </w:rPr>
        <w:t>6</w:t>
      </w:r>
      <w:r w:rsidR="00B635F7" w:rsidRPr="00B635F7">
        <w:rPr>
          <w:b/>
          <w:bCs/>
          <w:szCs w:val="24"/>
        </w:rPr>
        <w:t>: For the case when the non-serving cell is known and the target TCI state is unknown, the same TCI state switch delay requirement as serving cell can be reused.</w:t>
      </w:r>
      <w:r w:rsidRPr="00EC0322">
        <w:rPr>
          <w:rFonts w:eastAsia="新細明體" w:cstheme="minorHAnsi"/>
          <w:b/>
          <w:bCs/>
          <w:szCs w:val="24"/>
        </w:rPr>
        <w:fldChar w:fldCharType="end"/>
      </w:r>
    </w:p>
    <w:p w14:paraId="7091469B" w14:textId="582B9E67" w:rsidR="00EC0322" w:rsidRPr="00EC0322" w:rsidRDefault="00EC0322" w:rsidP="004C0364">
      <w:pPr>
        <w:adjustRightInd w:val="0"/>
        <w:snapToGrid w:val="0"/>
        <w:spacing w:before="180" w:after="120"/>
        <w:jc w:val="both"/>
        <w:rPr>
          <w:rFonts w:eastAsia="新細明體" w:cstheme="minorHAnsi"/>
          <w:b/>
          <w:bCs/>
          <w:szCs w:val="24"/>
        </w:rPr>
      </w:pPr>
      <w:r w:rsidRPr="00EC0322">
        <w:rPr>
          <w:rFonts w:eastAsia="新細明體" w:cstheme="minorHAnsi"/>
          <w:b/>
          <w:bCs/>
          <w:szCs w:val="24"/>
        </w:rPr>
        <w:fldChar w:fldCharType="begin"/>
      </w:r>
      <w:r w:rsidRPr="00EC0322">
        <w:rPr>
          <w:rFonts w:eastAsia="新細明體" w:cstheme="minorHAnsi"/>
          <w:b/>
          <w:bCs/>
          <w:szCs w:val="24"/>
        </w:rPr>
        <w:instrText xml:space="preserve"> REF _Ref95410690 \h  \* MERGEFORMAT </w:instrText>
      </w:r>
      <w:r w:rsidRPr="00EC0322">
        <w:rPr>
          <w:rFonts w:eastAsia="新細明體" w:cstheme="minorHAnsi"/>
          <w:b/>
          <w:bCs/>
          <w:szCs w:val="24"/>
        </w:rPr>
      </w:r>
      <w:r w:rsidRPr="00EC0322">
        <w:rPr>
          <w:rFonts w:eastAsia="新細明體" w:cstheme="minorHAnsi"/>
          <w:b/>
          <w:bCs/>
          <w:szCs w:val="24"/>
        </w:rPr>
        <w:fldChar w:fldCharType="separate"/>
      </w:r>
      <w:r w:rsidR="00B635F7" w:rsidRPr="00B635F7">
        <w:rPr>
          <w:b/>
          <w:bCs/>
          <w:szCs w:val="24"/>
        </w:rPr>
        <w:t xml:space="preserve">Proposal </w:t>
      </w:r>
      <w:r w:rsidR="00B635F7" w:rsidRPr="00B635F7">
        <w:rPr>
          <w:b/>
          <w:bCs/>
          <w:noProof/>
          <w:szCs w:val="24"/>
        </w:rPr>
        <w:t>7</w:t>
      </w:r>
      <w:r w:rsidR="00B635F7" w:rsidRPr="00B635F7">
        <w:rPr>
          <w:b/>
          <w:bCs/>
          <w:szCs w:val="24"/>
        </w:rPr>
        <w:t>: No UE requirement applies for the case when the non-serving cell is unknown and the target TCI state is known.</w:t>
      </w:r>
      <w:r w:rsidRPr="00EC0322">
        <w:rPr>
          <w:rFonts w:eastAsia="新細明體" w:cstheme="minorHAnsi"/>
          <w:b/>
          <w:bCs/>
          <w:szCs w:val="24"/>
        </w:rPr>
        <w:fldChar w:fldCharType="end"/>
      </w:r>
    </w:p>
    <w:p w14:paraId="57CC9503" w14:textId="7F8DED7D" w:rsidR="00EC0322" w:rsidRPr="00EC0322" w:rsidRDefault="00EC0322" w:rsidP="004C0364">
      <w:pPr>
        <w:adjustRightInd w:val="0"/>
        <w:snapToGrid w:val="0"/>
        <w:spacing w:before="180" w:after="120"/>
        <w:jc w:val="both"/>
        <w:rPr>
          <w:rFonts w:eastAsia="新細明體" w:cstheme="minorHAnsi"/>
          <w:b/>
          <w:bCs/>
          <w:szCs w:val="24"/>
        </w:rPr>
      </w:pPr>
      <w:r w:rsidRPr="00EC0322">
        <w:rPr>
          <w:rFonts w:eastAsia="新細明體" w:cstheme="minorHAnsi"/>
          <w:b/>
          <w:bCs/>
          <w:szCs w:val="24"/>
        </w:rPr>
        <w:fldChar w:fldCharType="begin"/>
      </w:r>
      <w:r w:rsidRPr="00EC0322">
        <w:rPr>
          <w:rFonts w:eastAsia="新細明體" w:cstheme="minorHAnsi"/>
          <w:b/>
          <w:bCs/>
          <w:szCs w:val="24"/>
        </w:rPr>
        <w:instrText xml:space="preserve"> REF _Ref95410692 \h  \* MERGEFORMAT </w:instrText>
      </w:r>
      <w:r w:rsidRPr="00EC0322">
        <w:rPr>
          <w:rFonts w:eastAsia="新細明體" w:cstheme="minorHAnsi"/>
          <w:b/>
          <w:bCs/>
          <w:szCs w:val="24"/>
        </w:rPr>
      </w:r>
      <w:r w:rsidRPr="00EC0322">
        <w:rPr>
          <w:rFonts w:eastAsia="新細明體" w:cstheme="minorHAnsi"/>
          <w:b/>
          <w:bCs/>
          <w:szCs w:val="24"/>
        </w:rPr>
        <w:fldChar w:fldCharType="separate"/>
      </w:r>
      <w:r w:rsidR="00B635F7" w:rsidRPr="00B635F7">
        <w:rPr>
          <w:b/>
          <w:bCs/>
          <w:szCs w:val="24"/>
        </w:rPr>
        <w:t xml:space="preserve">Proposal </w:t>
      </w:r>
      <w:r w:rsidR="00B635F7" w:rsidRPr="00B635F7">
        <w:rPr>
          <w:b/>
          <w:bCs/>
          <w:noProof/>
          <w:szCs w:val="24"/>
        </w:rPr>
        <w:t>8</w:t>
      </w:r>
      <w:r w:rsidR="00B635F7" w:rsidRPr="00B635F7">
        <w:rPr>
          <w:b/>
          <w:bCs/>
          <w:szCs w:val="24"/>
        </w:rPr>
        <w:t>: For the case when the non-serving cell is unknown and the target TCI state is unknown, two options are suggested:</w:t>
      </w:r>
      <w:r w:rsidRPr="00EC0322">
        <w:rPr>
          <w:rFonts w:eastAsia="新細明體" w:cstheme="minorHAnsi"/>
          <w:b/>
          <w:bCs/>
          <w:szCs w:val="24"/>
        </w:rPr>
        <w:fldChar w:fldCharType="end"/>
      </w:r>
    </w:p>
    <w:p w14:paraId="11D52FFC" w14:textId="77777777" w:rsidR="00EC0322" w:rsidRPr="000747E8" w:rsidRDefault="00EC0322" w:rsidP="00EC0322">
      <w:pPr>
        <w:pStyle w:val="af5"/>
        <w:numPr>
          <w:ilvl w:val="0"/>
          <w:numId w:val="10"/>
        </w:numPr>
        <w:rPr>
          <w:rFonts w:eastAsia="新細明體"/>
          <w:b/>
          <w:bCs/>
        </w:rPr>
      </w:pPr>
      <w:r w:rsidRPr="00EC0322">
        <w:rPr>
          <w:rFonts w:eastAsia="新細明體" w:cstheme="minorHAnsi"/>
          <w:szCs w:val="24"/>
        </w:rPr>
        <w:t xml:space="preserve"> </w:t>
      </w:r>
      <w:r w:rsidRPr="003A0908">
        <w:rPr>
          <w:rFonts w:eastAsia="新細明體" w:hint="eastAsia"/>
          <w:b/>
          <w:bCs/>
        </w:rPr>
        <w:t>O</w:t>
      </w:r>
      <w:r w:rsidRPr="003A0908">
        <w:rPr>
          <w:rFonts w:eastAsia="新細明體"/>
          <w:b/>
          <w:bCs/>
        </w:rPr>
        <w:t>ption 1: To extend the TCI state switch</w:t>
      </w:r>
      <w:r>
        <w:rPr>
          <w:rFonts w:eastAsia="新細明體"/>
          <w:b/>
          <w:bCs/>
        </w:rPr>
        <w:t xml:space="preserve"> delay requirement</w:t>
      </w:r>
      <w:r w:rsidRPr="003A0908">
        <w:rPr>
          <w:rFonts w:eastAsia="新細明體"/>
          <w:b/>
          <w:bCs/>
        </w:rPr>
        <w:t xml:space="preserve">, i.e., add </w:t>
      </w:r>
      <w:r w:rsidRPr="003A0908">
        <w:rPr>
          <w:rFonts w:eastAsia="新細明體"/>
          <w:b/>
          <w:bCs/>
          <w:lang w:val="sv-SE"/>
        </w:rPr>
        <w:t>T</w:t>
      </w:r>
      <w:r w:rsidRPr="003A0908">
        <w:rPr>
          <w:rFonts w:eastAsia="新細明體"/>
          <w:b/>
          <w:bCs/>
          <w:vertAlign w:val="subscript"/>
          <w:lang w:val="sv-SE"/>
        </w:rPr>
        <w:t>PSS/SSS_sync_intra</w:t>
      </w:r>
      <w:r w:rsidRPr="003A0908">
        <w:rPr>
          <w:rFonts w:eastAsia="新細明體"/>
          <w:b/>
          <w:bCs/>
          <w:lang w:val="sv-SE"/>
        </w:rPr>
        <w:t xml:space="preserve"> (at least 600 ms) and T</w:t>
      </w:r>
      <w:r w:rsidRPr="003A0908">
        <w:rPr>
          <w:rFonts w:eastAsia="新細明體"/>
          <w:b/>
          <w:bCs/>
          <w:vertAlign w:val="subscript"/>
          <w:lang w:val="sv-SE"/>
        </w:rPr>
        <w:t xml:space="preserve">SSB_time_index_intra </w:t>
      </w:r>
      <w:r w:rsidRPr="003A0908">
        <w:rPr>
          <w:rFonts w:eastAsia="新細明體"/>
          <w:b/>
          <w:bCs/>
          <w:lang w:val="sv-SE"/>
        </w:rPr>
        <w:t>(at least 120 ms).</w:t>
      </w:r>
    </w:p>
    <w:p w14:paraId="3A9E806F" w14:textId="77777777" w:rsidR="00EC0322" w:rsidRPr="003A0908" w:rsidRDefault="00EC0322" w:rsidP="00EC0322">
      <w:pPr>
        <w:pStyle w:val="af5"/>
        <w:ind w:left="1080"/>
        <w:rPr>
          <w:rFonts w:eastAsia="新細明體"/>
          <w:b/>
          <w:bCs/>
        </w:rPr>
      </w:pPr>
    </w:p>
    <w:p w14:paraId="6DB1EA67" w14:textId="77777777" w:rsidR="00EC0322" w:rsidRPr="003A0908" w:rsidRDefault="00EC0322" w:rsidP="00EC0322">
      <w:pPr>
        <w:pStyle w:val="af5"/>
        <w:numPr>
          <w:ilvl w:val="0"/>
          <w:numId w:val="10"/>
        </w:numPr>
        <w:rPr>
          <w:rFonts w:eastAsia="新細明體"/>
          <w:b/>
          <w:bCs/>
        </w:rPr>
      </w:pPr>
      <w:r w:rsidRPr="003A0908">
        <w:rPr>
          <w:rFonts w:eastAsia="新細明體" w:hint="eastAsia"/>
          <w:b/>
          <w:bCs/>
        </w:rPr>
        <w:t>O</w:t>
      </w:r>
      <w:r w:rsidRPr="003A0908">
        <w:rPr>
          <w:rFonts w:eastAsia="新細明體"/>
          <w:b/>
          <w:bCs/>
        </w:rPr>
        <w:t>ption 2: No UE requirement applies.</w:t>
      </w:r>
    </w:p>
    <w:p w14:paraId="1058515D" w14:textId="415A30EF" w:rsidR="00EC0322" w:rsidRPr="00EC0322" w:rsidRDefault="00EC0322" w:rsidP="004C0364">
      <w:pPr>
        <w:adjustRightInd w:val="0"/>
        <w:snapToGrid w:val="0"/>
        <w:spacing w:before="180" w:after="120"/>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_Ref92112376 \h </w:instrText>
      </w:r>
      <w:r>
        <w:rPr>
          <w:rFonts w:eastAsia="新細明體" w:cstheme="minorHAnsi"/>
          <w:szCs w:val="24"/>
        </w:rPr>
      </w:r>
      <w:r>
        <w:rPr>
          <w:rFonts w:eastAsia="新細明體" w:cstheme="minorHAnsi"/>
          <w:szCs w:val="24"/>
        </w:rPr>
        <w:fldChar w:fldCharType="separate"/>
      </w:r>
      <w:r w:rsidR="00B635F7" w:rsidRPr="006141AA">
        <w:rPr>
          <w:b/>
          <w:bCs/>
          <w:szCs w:val="24"/>
        </w:rPr>
        <w:t>Prop</w:t>
      </w:r>
      <w:r w:rsidR="00B635F7" w:rsidRPr="006141AA">
        <w:rPr>
          <w:rFonts w:cstheme="minorHAnsi"/>
          <w:b/>
          <w:bCs/>
          <w:szCs w:val="24"/>
        </w:rPr>
        <w:t xml:space="preserve">osal </w:t>
      </w:r>
      <w:r w:rsidR="00B635F7">
        <w:rPr>
          <w:rFonts w:cstheme="minorHAnsi"/>
          <w:b/>
          <w:bCs/>
          <w:noProof/>
          <w:szCs w:val="24"/>
        </w:rPr>
        <w:t>9</w:t>
      </w:r>
      <w:r w:rsidR="00B635F7" w:rsidRPr="006141AA">
        <w:rPr>
          <w:rFonts w:cstheme="minorHAnsi"/>
          <w:b/>
          <w:bCs/>
          <w:szCs w:val="24"/>
        </w:rPr>
        <w:t xml:space="preserve">: </w:t>
      </w:r>
      <w:r w:rsidR="00B635F7" w:rsidRPr="007A6CB7">
        <w:rPr>
          <w:rFonts w:eastAsia="新細明體" w:cstheme="minorHAnsi"/>
          <w:b/>
          <w:bCs/>
          <w:szCs w:val="24"/>
        </w:rPr>
        <w:t>For common TCI switching delay for CA case, reuse the delay requirement as the TCI state switching for single CC, with the clarification that the first slot to apply the new TCI state is determined on the CC with the smallest SCS among the CCs which applying the beam indication.</w:t>
      </w:r>
      <w:r>
        <w:rPr>
          <w:rFonts w:eastAsia="新細明體" w:cstheme="minorHAnsi"/>
          <w:szCs w:val="24"/>
        </w:rPr>
        <w:fldChar w:fldCharType="end"/>
      </w:r>
    </w:p>
    <w:p w14:paraId="40489780" w14:textId="77777777" w:rsidR="0057215D" w:rsidRPr="00C86203" w:rsidRDefault="0057215D" w:rsidP="0057215D">
      <w:pPr>
        <w:tabs>
          <w:tab w:val="num" w:pos="2160"/>
        </w:tabs>
        <w:jc w:val="both"/>
        <w:textAlignment w:val="center"/>
        <w:rPr>
          <w:rFonts w:eastAsia="新細明體" w:cstheme="minorHAnsi"/>
          <w:b/>
          <w:bCs/>
          <w:szCs w:val="24"/>
        </w:rPr>
      </w:pPr>
    </w:p>
    <w:p w14:paraId="3BE8EB0F" w14:textId="77777777" w:rsidR="0057215D" w:rsidRPr="0057215D" w:rsidRDefault="0057215D" w:rsidP="0057215D">
      <w:pPr>
        <w:pStyle w:val="1"/>
        <w:numPr>
          <w:ilvl w:val="0"/>
          <w:numId w:val="1"/>
        </w:numPr>
        <w:spacing w:before="0" w:after="0"/>
        <w:jc w:val="both"/>
        <w:rPr>
          <w:rFonts w:asciiTheme="minorHAnsi" w:hAnsiTheme="minorHAnsi" w:cstheme="minorHAnsi"/>
          <w:szCs w:val="36"/>
        </w:rPr>
      </w:pPr>
      <w:r w:rsidRPr="0057215D">
        <w:rPr>
          <w:rFonts w:asciiTheme="minorHAnsi" w:hAnsiTheme="minorHAnsi" w:cstheme="minorHAnsi"/>
          <w:szCs w:val="36"/>
        </w:rPr>
        <w:t>Reference</w:t>
      </w:r>
    </w:p>
    <w:p w14:paraId="718E64F4" w14:textId="77777777" w:rsidR="0057215D" w:rsidRPr="00707EC5" w:rsidRDefault="0057215D" w:rsidP="0057215D">
      <w:pPr>
        <w:rPr>
          <w:lang w:val="en-GB" w:eastAsia="en-US"/>
        </w:rPr>
      </w:pPr>
    </w:p>
    <w:p w14:paraId="7EC3E1EB" w14:textId="516ECA8A" w:rsidR="0057215D" w:rsidRDefault="0057215D" w:rsidP="00190CF0">
      <w:pPr>
        <w:pStyle w:val="af5"/>
        <w:numPr>
          <w:ilvl w:val="0"/>
          <w:numId w:val="6"/>
        </w:numPr>
        <w:ind w:left="357" w:hanging="357"/>
        <w:jc w:val="both"/>
        <w:rPr>
          <w:rFonts w:cstheme="minorHAnsi"/>
          <w:szCs w:val="24"/>
          <w:lang w:val="en-GB"/>
        </w:rPr>
      </w:pPr>
      <w:bookmarkStart w:id="16" w:name="_Ref94781619"/>
      <w:r w:rsidRPr="00C86203">
        <w:rPr>
          <w:rFonts w:cstheme="minorHAnsi"/>
          <w:szCs w:val="24"/>
          <w:lang w:val="en-GB"/>
        </w:rPr>
        <w:t>R4-</w:t>
      </w:r>
      <w:r>
        <w:rPr>
          <w:rFonts w:cstheme="minorHAnsi"/>
          <w:szCs w:val="24"/>
          <w:lang w:val="en-GB"/>
        </w:rPr>
        <w:t>2202666</w:t>
      </w:r>
      <w:r w:rsidRPr="00C86203">
        <w:rPr>
          <w:rFonts w:cstheme="minorHAnsi"/>
          <w:szCs w:val="24"/>
          <w:lang w:val="en-GB"/>
        </w:rPr>
        <w:t xml:space="preserve">, </w:t>
      </w:r>
      <w:r w:rsidRPr="0057215D">
        <w:rPr>
          <w:rFonts w:cstheme="minorHAnsi"/>
          <w:szCs w:val="24"/>
          <w:lang w:val="en-GB"/>
        </w:rPr>
        <w:t>WF on RRM impact on unified TCI in FeMIMO</w:t>
      </w:r>
      <w:r w:rsidRPr="00C86203">
        <w:rPr>
          <w:rFonts w:cstheme="minorHAnsi"/>
          <w:szCs w:val="24"/>
          <w:lang w:val="en-GB"/>
        </w:rPr>
        <w:t xml:space="preserve">, </w:t>
      </w:r>
      <w:r>
        <w:rPr>
          <w:rFonts w:cstheme="minorHAnsi"/>
          <w:szCs w:val="24"/>
          <w:lang w:val="en-GB"/>
        </w:rPr>
        <w:t>Samsung</w:t>
      </w:r>
      <w:r w:rsidRPr="00C86203">
        <w:rPr>
          <w:rFonts w:cstheme="minorHAnsi"/>
          <w:szCs w:val="24"/>
          <w:lang w:val="en-GB"/>
        </w:rPr>
        <w:t>, RAN4 #101bis-e</w:t>
      </w:r>
      <w:bookmarkEnd w:id="16"/>
    </w:p>
    <w:p w14:paraId="225CE0E8" w14:textId="0F5B8A13" w:rsidR="00E708E1" w:rsidRPr="00C86203" w:rsidRDefault="00E708E1" w:rsidP="00190CF0">
      <w:pPr>
        <w:pStyle w:val="af5"/>
        <w:numPr>
          <w:ilvl w:val="0"/>
          <w:numId w:val="6"/>
        </w:numPr>
        <w:ind w:left="357" w:hanging="357"/>
        <w:jc w:val="both"/>
        <w:rPr>
          <w:rFonts w:cstheme="minorHAnsi"/>
          <w:szCs w:val="24"/>
          <w:lang w:val="en-GB"/>
        </w:rPr>
      </w:pPr>
      <w:bookmarkStart w:id="17" w:name="_Ref95771199"/>
      <w:r>
        <w:rPr>
          <w:rFonts w:eastAsia="新細明體" w:cstheme="minorHAnsi" w:hint="eastAsia"/>
          <w:szCs w:val="24"/>
          <w:lang w:val="en-GB" w:eastAsia="zh-TW"/>
        </w:rPr>
        <w:t>R</w:t>
      </w:r>
      <w:r>
        <w:rPr>
          <w:rFonts w:eastAsia="新細明體" w:cstheme="minorHAnsi"/>
          <w:szCs w:val="24"/>
          <w:lang w:val="en-GB" w:eastAsia="zh-TW"/>
        </w:rPr>
        <w:t xml:space="preserve">4-2204366, </w:t>
      </w:r>
      <w:r w:rsidRPr="00E708E1">
        <w:rPr>
          <w:rFonts w:eastAsia="新細明體" w:cstheme="minorHAnsi"/>
          <w:szCs w:val="24"/>
          <w:lang w:val="en-GB" w:eastAsia="zh-TW"/>
        </w:rPr>
        <w:t>Discussion on inter cell beam management in R17 feMIMO</w:t>
      </w:r>
      <w:r>
        <w:rPr>
          <w:rFonts w:eastAsia="新細明體" w:cstheme="minorHAnsi"/>
          <w:szCs w:val="24"/>
          <w:lang w:val="en-GB" w:eastAsia="zh-TW"/>
        </w:rPr>
        <w:t>, MediaTek Inc., RAN4 #102-e</w:t>
      </w:r>
      <w:bookmarkEnd w:id="17"/>
    </w:p>
    <w:p w14:paraId="63DE1282" w14:textId="77777777" w:rsidR="0057215D" w:rsidRPr="0057215D" w:rsidRDefault="0057215D" w:rsidP="004C0364">
      <w:pPr>
        <w:adjustRightInd w:val="0"/>
        <w:snapToGrid w:val="0"/>
        <w:spacing w:before="180" w:after="120"/>
        <w:jc w:val="both"/>
        <w:rPr>
          <w:rFonts w:eastAsia="新細明體" w:cstheme="minorHAnsi"/>
          <w:szCs w:val="24"/>
          <w:lang w:val="en-GB"/>
        </w:rPr>
      </w:pPr>
    </w:p>
    <w:sectPr w:rsidR="0057215D" w:rsidRPr="0057215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5B8A2" w14:textId="77777777" w:rsidR="00596672" w:rsidRDefault="00596672">
      <w:r>
        <w:separator/>
      </w:r>
    </w:p>
  </w:endnote>
  <w:endnote w:type="continuationSeparator" w:id="0">
    <w:p w14:paraId="00D44BF9" w14:textId="77777777" w:rsidR="00596672" w:rsidRDefault="00596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82A7" w14:textId="77777777" w:rsidR="00596672" w:rsidRDefault="00596672">
      <w:r>
        <w:separator/>
      </w:r>
    </w:p>
  </w:footnote>
  <w:footnote w:type="continuationSeparator" w:id="0">
    <w:p w14:paraId="42AF63AF" w14:textId="77777777" w:rsidR="00596672" w:rsidRDefault="00596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53878"/>
    <w:multiLevelType w:val="hybridMultilevel"/>
    <w:tmpl w:val="77BC0510"/>
    <w:lvl w:ilvl="0" w:tplc="04090001">
      <w:start w:val="1"/>
      <w:numFmt w:val="bullet"/>
      <w:lvlText w:val=""/>
      <w:lvlJc w:val="left"/>
      <w:pPr>
        <w:ind w:left="1080" w:hanging="36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351C21BF"/>
    <w:multiLevelType w:val="hybridMultilevel"/>
    <w:tmpl w:val="C87E2E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8B73482"/>
    <w:multiLevelType w:val="hybridMultilevel"/>
    <w:tmpl w:val="2AE283C0"/>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D7020FE"/>
    <w:multiLevelType w:val="hybridMultilevel"/>
    <w:tmpl w:val="D0EEF410"/>
    <w:lvl w:ilvl="0" w:tplc="04190003">
      <w:start w:val="1"/>
      <w:numFmt w:val="bullet"/>
      <w:lvlText w:val="o"/>
      <w:lvlJc w:val="left"/>
      <w:pPr>
        <w:ind w:left="1080" w:hanging="36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9"/>
  </w:num>
  <w:num w:numId="2">
    <w:abstractNumId w:val="5"/>
  </w:num>
  <w:num w:numId="3">
    <w:abstractNumId w:val="1"/>
  </w:num>
  <w:num w:numId="4">
    <w:abstractNumId w:val="0"/>
  </w:num>
  <w:num w:numId="5">
    <w:abstractNumId w:val="7"/>
  </w:num>
  <w:num w:numId="6">
    <w:abstractNumId w:val="3"/>
  </w:num>
  <w:num w:numId="7">
    <w:abstractNumId w:val="6"/>
  </w:num>
  <w:num w:numId="8">
    <w:abstractNumId w:val="4"/>
  </w:num>
  <w:num w:numId="9">
    <w:abstractNumId w:val="8"/>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1E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B"/>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37"/>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3C4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BBD"/>
    <w:rsid w:val="00072E87"/>
    <w:rsid w:val="0007387C"/>
    <w:rsid w:val="00073933"/>
    <w:rsid w:val="00073D47"/>
    <w:rsid w:val="00073FA3"/>
    <w:rsid w:val="0007409C"/>
    <w:rsid w:val="00074450"/>
    <w:rsid w:val="000744E0"/>
    <w:rsid w:val="00074589"/>
    <w:rsid w:val="000747E8"/>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D57"/>
    <w:rsid w:val="000E3FFD"/>
    <w:rsid w:val="000E448C"/>
    <w:rsid w:val="000E45E7"/>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2A"/>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605"/>
    <w:rsid w:val="00114AD7"/>
    <w:rsid w:val="0011522C"/>
    <w:rsid w:val="00115388"/>
    <w:rsid w:val="001153A7"/>
    <w:rsid w:val="001154E1"/>
    <w:rsid w:val="00115809"/>
    <w:rsid w:val="00115FDA"/>
    <w:rsid w:val="00116525"/>
    <w:rsid w:val="001166B4"/>
    <w:rsid w:val="00116CCF"/>
    <w:rsid w:val="001171FD"/>
    <w:rsid w:val="0011731B"/>
    <w:rsid w:val="00117412"/>
    <w:rsid w:val="0011774F"/>
    <w:rsid w:val="0011780E"/>
    <w:rsid w:val="00117DA7"/>
    <w:rsid w:val="00120801"/>
    <w:rsid w:val="00120888"/>
    <w:rsid w:val="00120A1A"/>
    <w:rsid w:val="00120E91"/>
    <w:rsid w:val="001216D3"/>
    <w:rsid w:val="00121720"/>
    <w:rsid w:val="00121893"/>
    <w:rsid w:val="00121AD5"/>
    <w:rsid w:val="00121BA2"/>
    <w:rsid w:val="00121E5E"/>
    <w:rsid w:val="0012222B"/>
    <w:rsid w:val="001224A0"/>
    <w:rsid w:val="001228AF"/>
    <w:rsid w:val="00122B1D"/>
    <w:rsid w:val="001232AB"/>
    <w:rsid w:val="00123511"/>
    <w:rsid w:val="00123768"/>
    <w:rsid w:val="00123E28"/>
    <w:rsid w:val="00123FC5"/>
    <w:rsid w:val="001246B3"/>
    <w:rsid w:val="00124C9E"/>
    <w:rsid w:val="00125226"/>
    <w:rsid w:val="001252C5"/>
    <w:rsid w:val="00125E2D"/>
    <w:rsid w:val="001260AD"/>
    <w:rsid w:val="00126BC0"/>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B5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BB1"/>
    <w:rsid w:val="00187C31"/>
    <w:rsid w:val="001909E0"/>
    <w:rsid w:val="00190C0B"/>
    <w:rsid w:val="00190CF0"/>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9BF"/>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C6C"/>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2FDE"/>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228"/>
    <w:rsid w:val="00271630"/>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4"/>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816"/>
    <w:rsid w:val="002B4C8C"/>
    <w:rsid w:val="002B554F"/>
    <w:rsid w:val="002B5565"/>
    <w:rsid w:val="002B5808"/>
    <w:rsid w:val="002B5C17"/>
    <w:rsid w:val="002B606E"/>
    <w:rsid w:val="002B6194"/>
    <w:rsid w:val="002B6850"/>
    <w:rsid w:val="002B6DF5"/>
    <w:rsid w:val="002B70BB"/>
    <w:rsid w:val="002B773C"/>
    <w:rsid w:val="002B7DE6"/>
    <w:rsid w:val="002C0245"/>
    <w:rsid w:val="002C1163"/>
    <w:rsid w:val="002C13C1"/>
    <w:rsid w:val="002C13D8"/>
    <w:rsid w:val="002C1504"/>
    <w:rsid w:val="002C18DD"/>
    <w:rsid w:val="002C1A77"/>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179"/>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AEA"/>
    <w:rsid w:val="00304CE2"/>
    <w:rsid w:val="00304D1E"/>
    <w:rsid w:val="00305599"/>
    <w:rsid w:val="003056C7"/>
    <w:rsid w:val="00305929"/>
    <w:rsid w:val="00305963"/>
    <w:rsid w:val="00305AC4"/>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0FFD"/>
    <w:rsid w:val="00331100"/>
    <w:rsid w:val="00331308"/>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188"/>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D21"/>
    <w:rsid w:val="003530AE"/>
    <w:rsid w:val="003533A1"/>
    <w:rsid w:val="00353440"/>
    <w:rsid w:val="003539D6"/>
    <w:rsid w:val="00353A43"/>
    <w:rsid w:val="00353A4D"/>
    <w:rsid w:val="00353A6B"/>
    <w:rsid w:val="00353A6C"/>
    <w:rsid w:val="00353BA6"/>
    <w:rsid w:val="0035409E"/>
    <w:rsid w:val="003545C4"/>
    <w:rsid w:val="00354E11"/>
    <w:rsid w:val="00355848"/>
    <w:rsid w:val="003558EC"/>
    <w:rsid w:val="00355A61"/>
    <w:rsid w:val="00355BCB"/>
    <w:rsid w:val="0035608F"/>
    <w:rsid w:val="00356345"/>
    <w:rsid w:val="0035638A"/>
    <w:rsid w:val="003566D8"/>
    <w:rsid w:val="00356893"/>
    <w:rsid w:val="00356CD8"/>
    <w:rsid w:val="00356EFD"/>
    <w:rsid w:val="003571C1"/>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02D"/>
    <w:rsid w:val="00365B13"/>
    <w:rsid w:val="00365D8F"/>
    <w:rsid w:val="00366132"/>
    <w:rsid w:val="0036634E"/>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08"/>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FC9"/>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834"/>
    <w:rsid w:val="003C2925"/>
    <w:rsid w:val="003C2CC7"/>
    <w:rsid w:val="003C303C"/>
    <w:rsid w:val="003C372B"/>
    <w:rsid w:val="003C373B"/>
    <w:rsid w:val="003C3788"/>
    <w:rsid w:val="003C3AA0"/>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52D"/>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51E"/>
    <w:rsid w:val="00402C3B"/>
    <w:rsid w:val="004033E0"/>
    <w:rsid w:val="004034B1"/>
    <w:rsid w:val="00403BE3"/>
    <w:rsid w:val="00403C73"/>
    <w:rsid w:val="00403D4B"/>
    <w:rsid w:val="00403D9F"/>
    <w:rsid w:val="00403E41"/>
    <w:rsid w:val="00404104"/>
    <w:rsid w:val="00404532"/>
    <w:rsid w:val="004046A7"/>
    <w:rsid w:val="0040471B"/>
    <w:rsid w:val="0040473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206D"/>
    <w:rsid w:val="00412505"/>
    <w:rsid w:val="00412CFA"/>
    <w:rsid w:val="004136E4"/>
    <w:rsid w:val="004139D3"/>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0D6"/>
    <w:rsid w:val="00434AD0"/>
    <w:rsid w:val="00434B64"/>
    <w:rsid w:val="00435596"/>
    <w:rsid w:val="004355DA"/>
    <w:rsid w:val="00435796"/>
    <w:rsid w:val="004357B9"/>
    <w:rsid w:val="0043615B"/>
    <w:rsid w:val="00436950"/>
    <w:rsid w:val="004372CE"/>
    <w:rsid w:val="004373B9"/>
    <w:rsid w:val="00437A12"/>
    <w:rsid w:val="00437DBB"/>
    <w:rsid w:val="00437DDB"/>
    <w:rsid w:val="00440604"/>
    <w:rsid w:val="0044098B"/>
    <w:rsid w:val="00440BCC"/>
    <w:rsid w:val="004420F3"/>
    <w:rsid w:val="00442160"/>
    <w:rsid w:val="004421DD"/>
    <w:rsid w:val="0044252A"/>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02C"/>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50C"/>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0E0B"/>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1F3F"/>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4F7C6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2C3"/>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B68"/>
    <w:rsid w:val="00567D7A"/>
    <w:rsid w:val="00570594"/>
    <w:rsid w:val="00570682"/>
    <w:rsid w:val="005708FD"/>
    <w:rsid w:val="00570E41"/>
    <w:rsid w:val="00571008"/>
    <w:rsid w:val="0057140A"/>
    <w:rsid w:val="00572105"/>
    <w:rsid w:val="0057215D"/>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C8C"/>
    <w:rsid w:val="00593CEF"/>
    <w:rsid w:val="0059429E"/>
    <w:rsid w:val="00594684"/>
    <w:rsid w:val="00594823"/>
    <w:rsid w:val="005961CA"/>
    <w:rsid w:val="00596310"/>
    <w:rsid w:val="00596672"/>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730"/>
    <w:rsid w:val="005C09D3"/>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2F5"/>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134"/>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9D5"/>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789"/>
    <w:rsid w:val="00606AA7"/>
    <w:rsid w:val="00606B1A"/>
    <w:rsid w:val="006073F2"/>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1AA"/>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117"/>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382"/>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0B9"/>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5F30"/>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377"/>
    <w:rsid w:val="006F3461"/>
    <w:rsid w:val="006F382C"/>
    <w:rsid w:val="006F39D3"/>
    <w:rsid w:val="006F3F4E"/>
    <w:rsid w:val="006F42ED"/>
    <w:rsid w:val="006F4C8E"/>
    <w:rsid w:val="006F4D91"/>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6FE"/>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8FB"/>
    <w:rsid w:val="00743083"/>
    <w:rsid w:val="0074344E"/>
    <w:rsid w:val="007437C7"/>
    <w:rsid w:val="007438F4"/>
    <w:rsid w:val="00743F02"/>
    <w:rsid w:val="007440A3"/>
    <w:rsid w:val="007445F4"/>
    <w:rsid w:val="00744B32"/>
    <w:rsid w:val="00744C28"/>
    <w:rsid w:val="00744C54"/>
    <w:rsid w:val="00744E0B"/>
    <w:rsid w:val="0074524F"/>
    <w:rsid w:val="0074526C"/>
    <w:rsid w:val="00745595"/>
    <w:rsid w:val="007455B8"/>
    <w:rsid w:val="00745693"/>
    <w:rsid w:val="00745BE9"/>
    <w:rsid w:val="00745E3C"/>
    <w:rsid w:val="00746196"/>
    <w:rsid w:val="007463DC"/>
    <w:rsid w:val="00746B6D"/>
    <w:rsid w:val="00746C03"/>
    <w:rsid w:val="00746D00"/>
    <w:rsid w:val="00747601"/>
    <w:rsid w:val="0074785F"/>
    <w:rsid w:val="00747B4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27"/>
    <w:rsid w:val="007807B7"/>
    <w:rsid w:val="007808BA"/>
    <w:rsid w:val="0078134E"/>
    <w:rsid w:val="007821E8"/>
    <w:rsid w:val="0078241D"/>
    <w:rsid w:val="007826E7"/>
    <w:rsid w:val="007827EE"/>
    <w:rsid w:val="00782AEA"/>
    <w:rsid w:val="007831A9"/>
    <w:rsid w:val="00783A1E"/>
    <w:rsid w:val="00783B00"/>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841"/>
    <w:rsid w:val="00792BF7"/>
    <w:rsid w:val="007931B4"/>
    <w:rsid w:val="00793793"/>
    <w:rsid w:val="00793B5B"/>
    <w:rsid w:val="007940F6"/>
    <w:rsid w:val="00794895"/>
    <w:rsid w:val="00794938"/>
    <w:rsid w:val="007953C4"/>
    <w:rsid w:val="00795442"/>
    <w:rsid w:val="00795BA6"/>
    <w:rsid w:val="00795F06"/>
    <w:rsid w:val="00796587"/>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622"/>
    <w:rsid w:val="007A3BD5"/>
    <w:rsid w:val="007A3EE2"/>
    <w:rsid w:val="007A41CF"/>
    <w:rsid w:val="007A493F"/>
    <w:rsid w:val="007A4B9E"/>
    <w:rsid w:val="007A4C27"/>
    <w:rsid w:val="007A4FCF"/>
    <w:rsid w:val="007A51F0"/>
    <w:rsid w:val="007A5434"/>
    <w:rsid w:val="007A54FB"/>
    <w:rsid w:val="007A5633"/>
    <w:rsid w:val="007A593C"/>
    <w:rsid w:val="007A596D"/>
    <w:rsid w:val="007A5C52"/>
    <w:rsid w:val="007A622C"/>
    <w:rsid w:val="007A6CB7"/>
    <w:rsid w:val="007A6D08"/>
    <w:rsid w:val="007A6D4D"/>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294"/>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2DE0"/>
    <w:rsid w:val="007D3A69"/>
    <w:rsid w:val="007D3B6C"/>
    <w:rsid w:val="007D3EA2"/>
    <w:rsid w:val="007D43D4"/>
    <w:rsid w:val="007D4A01"/>
    <w:rsid w:val="007D4F0B"/>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4E2"/>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5A48"/>
    <w:rsid w:val="00836ABB"/>
    <w:rsid w:val="00836B87"/>
    <w:rsid w:val="00836F58"/>
    <w:rsid w:val="00836F7D"/>
    <w:rsid w:val="00837011"/>
    <w:rsid w:val="00837F9A"/>
    <w:rsid w:val="0084131B"/>
    <w:rsid w:val="008416DB"/>
    <w:rsid w:val="0084175F"/>
    <w:rsid w:val="00841815"/>
    <w:rsid w:val="008418D2"/>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4EC2"/>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5F43"/>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6F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A88"/>
    <w:rsid w:val="008B2E89"/>
    <w:rsid w:val="008B30D4"/>
    <w:rsid w:val="008B3529"/>
    <w:rsid w:val="008B361D"/>
    <w:rsid w:val="008B3A05"/>
    <w:rsid w:val="008B3A0A"/>
    <w:rsid w:val="008B45E7"/>
    <w:rsid w:val="008B471E"/>
    <w:rsid w:val="008B5290"/>
    <w:rsid w:val="008B55FA"/>
    <w:rsid w:val="008B60A7"/>
    <w:rsid w:val="008B6491"/>
    <w:rsid w:val="008B6D94"/>
    <w:rsid w:val="008B6FEB"/>
    <w:rsid w:val="008B77B0"/>
    <w:rsid w:val="008B7C43"/>
    <w:rsid w:val="008C01D1"/>
    <w:rsid w:val="008C09EB"/>
    <w:rsid w:val="008C146F"/>
    <w:rsid w:val="008C178D"/>
    <w:rsid w:val="008C1912"/>
    <w:rsid w:val="008C2186"/>
    <w:rsid w:val="008C22E1"/>
    <w:rsid w:val="008C24DA"/>
    <w:rsid w:val="008C40F0"/>
    <w:rsid w:val="008C410A"/>
    <w:rsid w:val="008C4C3F"/>
    <w:rsid w:val="008C5978"/>
    <w:rsid w:val="008C6516"/>
    <w:rsid w:val="008C715E"/>
    <w:rsid w:val="008C7185"/>
    <w:rsid w:val="008D0A4A"/>
    <w:rsid w:val="008D0DAD"/>
    <w:rsid w:val="008D1338"/>
    <w:rsid w:val="008D145A"/>
    <w:rsid w:val="008D1B7C"/>
    <w:rsid w:val="008D1BF1"/>
    <w:rsid w:val="008D1CB3"/>
    <w:rsid w:val="008D267A"/>
    <w:rsid w:val="008D2BEA"/>
    <w:rsid w:val="008D316D"/>
    <w:rsid w:val="008D33D5"/>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5AF"/>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39E"/>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39F0"/>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27E"/>
    <w:rsid w:val="00942696"/>
    <w:rsid w:val="009426A7"/>
    <w:rsid w:val="00942AB7"/>
    <w:rsid w:val="00943B5E"/>
    <w:rsid w:val="00943E4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CF9"/>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ACD"/>
    <w:rsid w:val="00960011"/>
    <w:rsid w:val="00960329"/>
    <w:rsid w:val="00960439"/>
    <w:rsid w:val="00960502"/>
    <w:rsid w:val="00960672"/>
    <w:rsid w:val="009608BC"/>
    <w:rsid w:val="00960F2B"/>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2E42"/>
    <w:rsid w:val="009931B3"/>
    <w:rsid w:val="009934A9"/>
    <w:rsid w:val="009941EC"/>
    <w:rsid w:val="0099436C"/>
    <w:rsid w:val="009943A6"/>
    <w:rsid w:val="00994739"/>
    <w:rsid w:val="009949BE"/>
    <w:rsid w:val="00994AA5"/>
    <w:rsid w:val="00994E1B"/>
    <w:rsid w:val="009953E1"/>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3DE"/>
    <w:rsid w:val="009C0E50"/>
    <w:rsid w:val="009C0E84"/>
    <w:rsid w:val="009C1262"/>
    <w:rsid w:val="009C14AC"/>
    <w:rsid w:val="009C1BFC"/>
    <w:rsid w:val="009C1E8C"/>
    <w:rsid w:val="009C1FC7"/>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A0E"/>
    <w:rsid w:val="009C5B86"/>
    <w:rsid w:val="009C6173"/>
    <w:rsid w:val="009C6315"/>
    <w:rsid w:val="009C6A7C"/>
    <w:rsid w:val="009C6B52"/>
    <w:rsid w:val="009C7119"/>
    <w:rsid w:val="009C7411"/>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B7E"/>
    <w:rsid w:val="00A20D44"/>
    <w:rsid w:val="00A21243"/>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1C"/>
    <w:rsid w:val="00A47952"/>
    <w:rsid w:val="00A5026F"/>
    <w:rsid w:val="00A50461"/>
    <w:rsid w:val="00A50AC8"/>
    <w:rsid w:val="00A50CD6"/>
    <w:rsid w:val="00A5107C"/>
    <w:rsid w:val="00A52E06"/>
    <w:rsid w:val="00A539BC"/>
    <w:rsid w:val="00A53AFE"/>
    <w:rsid w:val="00A5403C"/>
    <w:rsid w:val="00A54D71"/>
    <w:rsid w:val="00A54DED"/>
    <w:rsid w:val="00A54EEA"/>
    <w:rsid w:val="00A55993"/>
    <w:rsid w:val="00A559F4"/>
    <w:rsid w:val="00A56900"/>
    <w:rsid w:val="00A56A50"/>
    <w:rsid w:val="00A56B17"/>
    <w:rsid w:val="00A56F3F"/>
    <w:rsid w:val="00A57210"/>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065"/>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400"/>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E06"/>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2A51"/>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3F6C"/>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67F"/>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DF5"/>
    <w:rsid w:val="00B12F00"/>
    <w:rsid w:val="00B13CF8"/>
    <w:rsid w:val="00B14342"/>
    <w:rsid w:val="00B14F9D"/>
    <w:rsid w:val="00B14FBC"/>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B31"/>
    <w:rsid w:val="00B31C46"/>
    <w:rsid w:val="00B31EE1"/>
    <w:rsid w:val="00B31FBE"/>
    <w:rsid w:val="00B32677"/>
    <w:rsid w:val="00B340C8"/>
    <w:rsid w:val="00B343E7"/>
    <w:rsid w:val="00B34914"/>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158"/>
    <w:rsid w:val="00B61238"/>
    <w:rsid w:val="00B61DA8"/>
    <w:rsid w:val="00B627C6"/>
    <w:rsid w:val="00B62D08"/>
    <w:rsid w:val="00B63337"/>
    <w:rsid w:val="00B635F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7E6"/>
    <w:rsid w:val="00B75925"/>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8FA"/>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97C20"/>
    <w:rsid w:val="00BA0AD9"/>
    <w:rsid w:val="00BA0FF7"/>
    <w:rsid w:val="00BA1B4B"/>
    <w:rsid w:val="00BA2066"/>
    <w:rsid w:val="00BA2794"/>
    <w:rsid w:val="00BA293A"/>
    <w:rsid w:val="00BA2F81"/>
    <w:rsid w:val="00BA3CB1"/>
    <w:rsid w:val="00BA3E3E"/>
    <w:rsid w:val="00BA4BE0"/>
    <w:rsid w:val="00BA546D"/>
    <w:rsid w:val="00BA6367"/>
    <w:rsid w:val="00BA668E"/>
    <w:rsid w:val="00BA6988"/>
    <w:rsid w:val="00BA6C7E"/>
    <w:rsid w:val="00BA6FAD"/>
    <w:rsid w:val="00BA70AC"/>
    <w:rsid w:val="00BA738D"/>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634C"/>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390"/>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EFB"/>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70"/>
    <w:rsid w:val="00CA0BB5"/>
    <w:rsid w:val="00CA0DD7"/>
    <w:rsid w:val="00CA1A53"/>
    <w:rsid w:val="00CA270E"/>
    <w:rsid w:val="00CA3007"/>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AC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19"/>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3CBF"/>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5AC"/>
    <w:rsid w:val="00CE192C"/>
    <w:rsid w:val="00CE1C2F"/>
    <w:rsid w:val="00CE1E58"/>
    <w:rsid w:val="00CE24B0"/>
    <w:rsid w:val="00CE24CB"/>
    <w:rsid w:val="00CE2859"/>
    <w:rsid w:val="00CE32BD"/>
    <w:rsid w:val="00CE3920"/>
    <w:rsid w:val="00CE39B1"/>
    <w:rsid w:val="00CE3B00"/>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3C5"/>
    <w:rsid w:val="00CE798C"/>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30C"/>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395"/>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1E"/>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72E"/>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C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370"/>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4DCA"/>
    <w:rsid w:val="00DD55E0"/>
    <w:rsid w:val="00DD5EBD"/>
    <w:rsid w:val="00DD636E"/>
    <w:rsid w:val="00DD63EA"/>
    <w:rsid w:val="00DD6A00"/>
    <w:rsid w:val="00DD7195"/>
    <w:rsid w:val="00DD746E"/>
    <w:rsid w:val="00DD749E"/>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D0A"/>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2795"/>
    <w:rsid w:val="00E3291B"/>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997"/>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520"/>
    <w:rsid w:val="00E66BB3"/>
    <w:rsid w:val="00E67F60"/>
    <w:rsid w:val="00E67FFA"/>
    <w:rsid w:val="00E70286"/>
    <w:rsid w:val="00E70787"/>
    <w:rsid w:val="00E708E1"/>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1C7"/>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A63"/>
    <w:rsid w:val="00E90D24"/>
    <w:rsid w:val="00E911E9"/>
    <w:rsid w:val="00E91367"/>
    <w:rsid w:val="00E9244C"/>
    <w:rsid w:val="00E92758"/>
    <w:rsid w:val="00E92CCB"/>
    <w:rsid w:val="00E92E8B"/>
    <w:rsid w:val="00E933B6"/>
    <w:rsid w:val="00E937BC"/>
    <w:rsid w:val="00E93B23"/>
    <w:rsid w:val="00E93CDE"/>
    <w:rsid w:val="00E94427"/>
    <w:rsid w:val="00E946A6"/>
    <w:rsid w:val="00E94E8C"/>
    <w:rsid w:val="00E95245"/>
    <w:rsid w:val="00E95792"/>
    <w:rsid w:val="00E957C2"/>
    <w:rsid w:val="00E95EF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923"/>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322"/>
    <w:rsid w:val="00EC0496"/>
    <w:rsid w:val="00EC06BB"/>
    <w:rsid w:val="00EC0BE6"/>
    <w:rsid w:val="00EC146F"/>
    <w:rsid w:val="00EC16A8"/>
    <w:rsid w:val="00EC1833"/>
    <w:rsid w:val="00EC1931"/>
    <w:rsid w:val="00EC2024"/>
    <w:rsid w:val="00EC2141"/>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BB"/>
    <w:rsid w:val="00ED01C8"/>
    <w:rsid w:val="00ED09D6"/>
    <w:rsid w:val="00ED0BCA"/>
    <w:rsid w:val="00ED21C2"/>
    <w:rsid w:val="00ED2373"/>
    <w:rsid w:val="00ED25B7"/>
    <w:rsid w:val="00ED2A4C"/>
    <w:rsid w:val="00ED2ABD"/>
    <w:rsid w:val="00ED2BB3"/>
    <w:rsid w:val="00ED3121"/>
    <w:rsid w:val="00ED3178"/>
    <w:rsid w:val="00ED32C8"/>
    <w:rsid w:val="00ED33BD"/>
    <w:rsid w:val="00ED3685"/>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5C2"/>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7B"/>
    <w:rsid w:val="00F143D5"/>
    <w:rsid w:val="00F14F43"/>
    <w:rsid w:val="00F15D7C"/>
    <w:rsid w:val="00F15DB4"/>
    <w:rsid w:val="00F15EA7"/>
    <w:rsid w:val="00F15F33"/>
    <w:rsid w:val="00F1672E"/>
    <w:rsid w:val="00F16BAF"/>
    <w:rsid w:val="00F16D27"/>
    <w:rsid w:val="00F17876"/>
    <w:rsid w:val="00F179C2"/>
    <w:rsid w:val="00F179C6"/>
    <w:rsid w:val="00F179F9"/>
    <w:rsid w:val="00F20315"/>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12F"/>
    <w:rsid w:val="00F3423B"/>
    <w:rsid w:val="00F3430E"/>
    <w:rsid w:val="00F343E8"/>
    <w:rsid w:val="00F349F2"/>
    <w:rsid w:val="00F34A09"/>
    <w:rsid w:val="00F356B8"/>
    <w:rsid w:val="00F3680A"/>
    <w:rsid w:val="00F3697A"/>
    <w:rsid w:val="00F37392"/>
    <w:rsid w:val="00F37AF1"/>
    <w:rsid w:val="00F37B13"/>
    <w:rsid w:val="00F401B1"/>
    <w:rsid w:val="00F40A10"/>
    <w:rsid w:val="00F41B0A"/>
    <w:rsid w:val="00F41F34"/>
    <w:rsid w:val="00F41F96"/>
    <w:rsid w:val="00F42022"/>
    <w:rsid w:val="00F4246F"/>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680"/>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3AD"/>
    <w:rsid w:val="00F723AE"/>
    <w:rsid w:val="00F726A0"/>
    <w:rsid w:val="00F72E56"/>
    <w:rsid w:val="00F73012"/>
    <w:rsid w:val="00F733F7"/>
    <w:rsid w:val="00F736DF"/>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11D"/>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141"/>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14D"/>
    <w:rsid w:val="00FC55E5"/>
    <w:rsid w:val="00FC57BB"/>
    <w:rsid w:val="00FC59C4"/>
    <w:rsid w:val="00FC5B49"/>
    <w:rsid w:val="00FC5F61"/>
    <w:rsid w:val="00FC604E"/>
    <w:rsid w:val="00FC6451"/>
    <w:rsid w:val="00FC6587"/>
    <w:rsid w:val="00FC67F5"/>
    <w:rsid w:val="00FC6FA9"/>
    <w:rsid w:val="00FC7576"/>
    <w:rsid w:val="00FC7BA3"/>
    <w:rsid w:val="00FC7C55"/>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16F0"/>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A16F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A16F0"/>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qFormat/>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qFormat/>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 w:type="character" w:customStyle="1" w:styleId="10">
    <w:name w:val="標題 1 字元"/>
    <w:aliases w:val="H1 字元,h1 字元,Heading 1 3GPP 字元"/>
    <w:link w:val="1"/>
    <w:rsid w:val="0057215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2956256">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84452-BFC9-48D5-B415-37C63FE6B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2483</Words>
  <Characters>13026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2022-02-10T16:24:00Z</dcterms:created>
  <dcterms:modified xsi:type="dcterms:W3CDTF">2022-02-14T14:52:00Z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