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896ECD">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w:t>
      </w:r>
      <w:r w:rsidR="005E10E2">
        <w:rPr>
          <w:rFonts w:ascii="Arial" w:eastAsiaTheme="minorEastAsia" w:hAnsi="Arial" w:cs="Arial" w:hint="eastAsia"/>
          <w:b/>
          <w:sz w:val="24"/>
          <w:szCs w:val="24"/>
        </w:rPr>
        <w:t>395</w:t>
      </w:r>
      <w:r w:rsidR="005C58A8">
        <w:rPr>
          <w:rFonts w:ascii="Arial" w:eastAsiaTheme="minorEastAsia" w:hAnsi="Arial" w:cs="Arial" w:hint="eastAsia"/>
          <w:b/>
          <w:sz w:val="24"/>
          <w:szCs w:val="24"/>
        </w:rPr>
        <w:t>1</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896ECD">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96ECD" w:rsidRPr="00896ECD">
        <w:rPr>
          <w:rFonts w:ascii="Arial" w:hAnsi="Arial" w:cs="Arial"/>
          <w:b w:val="0"/>
        </w:rPr>
        <w:t xml:space="preserve">Open issue for </w:t>
      </w:r>
      <w:r w:rsidR="005C58A8">
        <w:rPr>
          <w:rFonts w:ascii="Arial" w:hAnsi="Arial" w:cs="Arial" w:hint="eastAsia"/>
          <w:b w:val="0"/>
        </w:rPr>
        <w:t>R</w:t>
      </w:r>
      <w:r w:rsidR="00896ECD" w:rsidRPr="00896ECD">
        <w:rPr>
          <w:rFonts w:ascii="Arial" w:hAnsi="Arial" w:cs="Arial"/>
          <w:b w:val="0"/>
        </w:rPr>
        <w:t>x RF requirements for SAN type 1-H</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96ECD">
        <w:rPr>
          <w:rFonts w:ascii="Arial" w:hAnsi="Arial" w:cs="Arial" w:hint="eastAsia"/>
          <w:b w:val="0"/>
        </w:rPr>
        <w:t>10.13.3.</w:t>
      </w:r>
      <w:r w:rsidR="005C58A8">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2523E" w:rsidRDefault="001B3B63" w:rsidP="00C652F0">
      <w:pPr>
        <w:spacing w:after="120"/>
        <w:jc w:val="left"/>
        <w:rPr>
          <w:sz w:val="20"/>
        </w:rPr>
      </w:pPr>
      <w:r w:rsidRPr="001B3B63">
        <w:rPr>
          <w:sz w:val="20"/>
        </w:rPr>
        <w:t xml:space="preserve">Way Forward </w:t>
      </w:r>
      <w:r w:rsidR="00C652F0" w:rsidRPr="00C652F0">
        <w:rPr>
          <w:sz w:val="20"/>
        </w:rPr>
        <w:t>on RF requirements for satellite access node</w:t>
      </w:r>
      <w:r w:rsidR="00C652F0">
        <w:rPr>
          <w:rFonts w:hint="eastAsia"/>
          <w:sz w:val="20"/>
        </w:rPr>
        <w:t xml:space="preserve"> </w:t>
      </w:r>
      <w:r w:rsidRPr="001B3B63">
        <w:rPr>
          <w:rFonts w:hint="eastAsia"/>
          <w:sz w:val="20"/>
        </w:rPr>
        <w:t xml:space="preserve">was agreed in [1]. </w:t>
      </w:r>
      <w:r w:rsidR="00E2523E">
        <w:rPr>
          <w:sz w:val="20"/>
        </w:rPr>
        <w:t>T</w:t>
      </w:r>
      <w:r w:rsidR="00E2523E">
        <w:rPr>
          <w:rFonts w:hint="eastAsia"/>
          <w:sz w:val="20"/>
        </w:rPr>
        <w:t>he following</w:t>
      </w:r>
      <w:r w:rsidR="00E63A89">
        <w:rPr>
          <w:rFonts w:hint="eastAsia"/>
          <w:sz w:val="20"/>
        </w:rPr>
        <w:t xml:space="preserve"> 3</w:t>
      </w:r>
      <w:r w:rsidR="00E2523E">
        <w:rPr>
          <w:rFonts w:hint="eastAsia"/>
          <w:sz w:val="20"/>
        </w:rPr>
        <w:t xml:space="preserve"> </w:t>
      </w:r>
      <w:r w:rsidR="005C58A8">
        <w:rPr>
          <w:rFonts w:hint="eastAsia"/>
          <w:sz w:val="20"/>
        </w:rPr>
        <w:t xml:space="preserve">Rx </w:t>
      </w:r>
      <w:r w:rsidR="000845C1">
        <w:rPr>
          <w:rFonts w:hint="eastAsia"/>
          <w:sz w:val="20"/>
        </w:rPr>
        <w:t>requirements remain</w:t>
      </w:r>
      <w:r w:rsidR="00E2523E">
        <w:rPr>
          <w:rFonts w:hint="eastAsia"/>
          <w:sz w:val="20"/>
        </w:rPr>
        <w:t xml:space="preserve"> FFS. </w:t>
      </w:r>
    </w:p>
    <w:p w:rsidR="00E2523E" w:rsidRPr="00E63A89" w:rsidRDefault="005C58A8" w:rsidP="00E2523E">
      <w:pPr>
        <w:numPr>
          <w:ilvl w:val="0"/>
          <w:numId w:val="18"/>
        </w:numPr>
        <w:spacing w:after="120"/>
        <w:jc w:val="left"/>
        <w:rPr>
          <w:b/>
        </w:rPr>
      </w:pPr>
      <w:r w:rsidRPr="00E63A89">
        <w:rPr>
          <w:b/>
        </w:rPr>
        <w:t>Dynamic range</w:t>
      </w:r>
    </w:p>
    <w:p w:rsidR="005C58A8" w:rsidRDefault="005C58A8" w:rsidP="005C58A8">
      <w:pPr>
        <w:pStyle w:val="afa"/>
        <w:numPr>
          <w:ilvl w:val="0"/>
          <w:numId w:val="19"/>
        </w:numPr>
        <w:spacing w:after="120"/>
        <w:ind w:firstLineChars="0"/>
        <w:jc w:val="left"/>
      </w:pPr>
      <w:r>
        <w:t>Not to define Rx dynamic range requirements for GEO NTN BS;</w:t>
      </w:r>
    </w:p>
    <w:p w:rsidR="005C58A8" w:rsidRPr="005C58A8" w:rsidRDefault="005C58A8" w:rsidP="005C58A8">
      <w:pPr>
        <w:pStyle w:val="afa"/>
        <w:numPr>
          <w:ilvl w:val="0"/>
          <w:numId w:val="19"/>
        </w:numPr>
        <w:spacing w:after="120"/>
        <w:ind w:firstLineChars="0"/>
        <w:jc w:val="left"/>
        <w:rPr>
          <w:b/>
          <w:sz w:val="20"/>
          <w:lang w:val="en-US"/>
        </w:rPr>
      </w:pPr>
      <w:r>
        <w:t>Further check the dynamic range for LEO 1200 and LEO 600</w:t>
      </w:r>
    </w:p>
    <w:p w:rsidR="00E2523E" w:rsidRPr="00E63A89" w:rsidRDefault="005C58A8" w:rsidP="00E2523E">
      <w:pPr>
        <w:numPr>
          <w:ilvl w:val="0"/>
          <w:numId w:val="18"/>
        </w:numPr>
        <w:spacing w:after="120"/>
        <w:jc w:val="left"/>
        <w:rPr>
          <w:b/>
        </w:rPr>
      </w:pPr>
      <w:r w:rsidRPr="00E63A89">
        <w:rPr>
          <w:b/>
        </w:rPr>
        <w:t>In-channel selectivity</w:t>
      </w:r>
    </w:p>
    <w:p w:rsidR="00E2523E" w:rsidRPr="00E2523E" w:rsidRDefault="005C58A8" w:rsidP="00E2523E">
      <w:pPr>
        <w:pStyle w:val="afa"/>
        <w:numPr>
          <w:ilvl w:val="0"/>
          <w:numId w:val="19"/>
        </w:numPr>
        <w:spacing w:after="120"/>
        <w:ind w:firstLineChars="0"/>
        <w:jc w:val="left"/>
      </w:pPr>
      <w:r>
        <w:t>Define in-channel selectivity as [</w:t>
      </w:r>
      <w:proofErr w:type="spellStart"/>
      <w:r>
        <w:t>IoT</w:t>
      </w:r>
      <w:proofErr w:type="spellEnd"/>
      <w:r>
        <w:t xml:space="preserve"> level+9dB] dB for NTN BS</w:t>
      </w:r>
    </w:p>
    <w:p w:rsidR="00E63A89" w:rsidRPr="00E63A89" w:rsidRDefault="00E63A89" w:rsidP="00E63A89">
      <w:pPr>
        <w:numPr>
          <w:ilvl w:val="0"/>
          <w:numId w:val="18"/>
        </w:numPr>
        <w:spacing w:after="120"/>
        <w:jc w:val="left"/>
        <w:rPr>
          <w:b/>
        </w:rPr>
      </w:pPr>
      <w:r w:rsidRPr="00E63A89">
        <w:rPr>
          <w:b/>
        </w:rPr>
        <w:t>I</w:t>
      </w:r>
      <w:r w:rsidRPr="00E63A89">
        <w:rPr>
          <w:rFonts w:hint="eastAsia"/>
          <w:b/>
        </w:rPr>
        <w:t>n-band blocking</w:t>
      </w:r>
    </w:p>
    <w:p w:rsidR="00C652F0" w:rsidRDefault="00E63A89" w:rsidP="00E63A89">
      <w:pPr>
        <w:spacing w:after="120"/>
        <w:ind w:left="720"/>
        <w:jc w:val="left"/>
      </w:pPr>
      <w:r>
        <w:rPr>
          <w:rFonts w:hint="eastAsia"/>
        </w:rPr>
        <w:t>I</w:t>
      </w:r>
      <w:r w:rsidR="005C58A8" w:rsidRPr="00E63A89">
        <w:rPr>
          <w:rFonts w:hint="eastAsia"/>
        </w:rPr>
        <w:t>t is found that in-band blocking level is still open</w:t>
      </w:r>
      <w:r w:rsidRPr="00E63A89">
        <w:rPr>
          <w:rFonts w:hint="eastAsia"/>
        </w:rPr>
        <w:t xml:space="preserve">. </w:t>
      </w:r>
    </w:p>
    <w:p w:rsidR="00E63A89" w:rsidRDefault="00E63A89" w:rsidP="00E63A89">
      <w:pPr>
        <w:spacing w:after="120"/>
        <w:jc w:val="left"/>
      </w:pPr>
      <w:r>
        <w:t>T</w:t>
      </w:r>
      <w:r>
        <w:rPr>
          <w:rFonts w:hint="eastAsia"/>
        </w:rPr>
        <w:t xml:space="preserve">his paper will further discuss the open issue and give our proposals. </w:t>
      </w:r>
    </w:p>
    <w:p w:rsidR="00E63A89" w:rsidRPr="00E63A89" w:rsidRDefault="00E63A89" w:rsidP="00E63A89">
      <w:pPr>
        <w:spacing w:after="120"/>
        <w:jc w:val="left"/>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50246" w:rsidRDefault="00E63A89" w:rsidP="00150246">
      <w:pPr>
        <w:pStyle w:val="afa"/>
        <w:numPr>
          <w:ilvl w:val="1"/>
          <w:numId w:val="4"/>
        </w:numPr>
        <w:spacing w:after="120"/>
        <w:ind w:firstLineChars="0"/>
        <w:rPr>
          <w:b/>
        </w:rPr>
      </w:pPr>
      <w:r w:rsidRPr="00E63A89">
        <w:rPr>
          <w:b/>
        </w:rPr>
        <w:t>Dynamic range</w:t>
      </w:r>
    </w:p>
    <w:p w:rsidR="00E2523E" w:rsidRDefault="00E63A89" w:rsidP="00E2523E">
      <w:pPr>
        <w:spacing w:after="120"/>
      </w:pPr>
      <w:r>
        <w:t>I</w:t>
      </w:r>
      <w:r>
        <w:rPr>
          <w:rFonts w:hint="eastAsia"/>
        </w:rPr>
        <w:t xml:space="preserve">t has been agreed not to define Rx dynamic range requirements for GEO and further evaluate the dynamic range for LEO 1200 and LEO600. </w:t>
      </w:r>
    </w:p>
    <w:p w:rsidR="00E63A89" w:rsidRDefault="00E63A89" w:rsidP="00E2523E">
      <w:pPr>
        <w:spacing w:after="120"/>
      </w:pPr>
      <w:r>
        <w:t>A</w:t>
      </w:r>
      <w:r>
        <w:rPr>
          <w:rFonts w:hint="eastAsia"/>
        </w:rPr>
        <w:t>ccording to our simulation results in figure 2.1-1</w:t>
      </w:r>
      <w:r w:rsidR="00EB3286">
        <w:rPr>
          <w:rFonts w:hint="eastAsia"/>
        </w:rPr>
        <w:t>,</w:t>
      </w:r>
      <w:r>
        <w:rPr>
          <w:rFonts w:hint="eastAsia"/>
        </w:rPr>
        <w:t xml:space="preserve"> 2.2-2</w:t>
      </w:r>
      <w:r w:rsidR="00EB3286">
        <w:rPr>
          <w:rFonts w:hint="eastAsia"/>
        </w:rPr>
        <w:t>, 2.1-3</w:t>
      </w:r>
      <w:r>
        <w:rPr>
          <w:rFonts w:hint="eastAsia"/>
        </w:rPr>
        <w:t xml:space="preserve"> for</w:t>
      </w:r>
      <w:r w:rsidR="00EB3286">
        <w:rPr>
          <w:rFonts w:hint="eastAsia"/>
        </w:rPr>
        <w:t xml:space="preserve"> GEO,</w:t>
      </w:r>
      <w:r>
        <w:rPr>
          <w:rFonts w:hint="eastAsia"/>
        </w:rPr>
        <w:t xml:space="preserve"> LEO 1200 and LEO600 respectively, it is found </w:t>
      </w:r>
      <w:r w:rsidR="00EB3286">
        <w:rPr>
          <w:rFonts w:hint="eastAsia"/>
        </w:rPr>
        <w:t xml:space="preserve">that </w:t>
      </w:r>
      <w:proofErr w:type="gramStart"/>
      <w:r w:rsidR="00EB3286">
        <w:rPr>
          <w:rFonts w:hint="eastAsia"/>
        </w:rPr>
        <w:t>Urban</w:t>
      </w:r>
      <w:proofErr w:type="gramEnd"/>
      <w:r w:rsidR="00EB3286">
        <w:rPr>
          <w:rFonts w:hint="eastAsia"/>
        </w:rPr>
        <w:t xml:space="preserve"> case has larger IOT than rural case. It is proposed to use the urban scenarios to define the IOT values for dynamic range requirement. T</w:t>
      </w:r>
      <w:r>
        <w:rPr>
          <w:rFonts w:hint="eastAsia"/>
        </w:rPr>
        <w:t xml:space="preserve">he IOT value </w:t>
      </w:r>
      <w:r w:rsidR="00EB3286">
        <w:rPr>
          <w:rFonts w:hint="eastAsia"/>
        </w:rPr>
        <w:t>can be defined as 12dB for LEO1200 and 15dB for</w:t>
      </w:r>
      <w:r>
        <w:rPr>
          <w:rFonts w:hint="eastAsia"/>
        </w:rPr>
        <w:t xml:space="preserve"> LEO600 respectively. </w:t>
      </w:r>
    </w:p>
    <w:p w:rsidR="00EB3286" w:rsidRDefault="00EB3286" w:rsidP="00EB3286">
      <w:pPr>
        <w:spacing w:after="120"/>
        <w:ind w:firstLineChars="600" w:firstLine="1260"/>
      </w:pPr>
      <w:r>
        <w:rPr>
          <w:noProof/>
          <w:lang w:val="en-US"/>
        </w:rPr>
        <w:drawing>
          <wp:inline distT="0" distB="0" distL="0" distR="0" wp14:anchorId="50F5EE91" wp14:editId="4BF4E172">
            <wp:extent cx="2186940" cy="1638300"/>
            <wp:effectExtent l="0" t="0" r="381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87643" cy="1638827"/>
                    </a:xfrm>
                    <a:prstGeom prst="rect">
                      <a:avLst/>
                    </a:prstGeom>
                  </pic:spPr>
                </pic:pic>
              </a:graphicData>
            </a:graphic>
          </wp:inline>
        </w:drawing>
      </w:r>
      <w:r>
        <w:rPr>
          <w:rFonts w:hint="eastAsia"/>
        </w:rPr>
        <w:t xml:space="preserve">       </w:t>
      </w:r>
      <w:r>
        <w:rPr>
          <w:noProof/>
          <w:lang w:val="en-US"/>
        </w:rPr>
        <w:drawing>
          <wp:inline distT="0" distB="0" distL="0" distR="0" wp14:anchorId="7C92DE6A" wp14:editId="1D5460B2">
            <wp:extent cx="2133600" cy="16383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34285" cy="1638826"/>
                    </a:xfrm>
                    <a:prstGeom prst="rect">
                      <a:avLst/>
                    </a:prstGeom>
                  </pic:spPr>
                </pic:pic>
              </a:graphicData>
            </a:graphic>
          </wp:inline>
        </w:drawing>
      </w:r>
    </w:p>
    <w:p w:rsidR="00EB3286" w:rsidRDefault="00EB3286" w:rsidP="00EB3286">
      <w:pPr>
        <w:spacing w:after="120"/>
        <w:ind w:left="360" w:firstLineChars="1100" w:firstLine="2310"/>
      </w:pPr>
      <w:r w:rsidRPr="00EB3286">
        <w:rPr>
          <w:rFonts w:hint="eastAsia"/>
          <w:kern w:val="2"/>
          <w:szCs w:val="24"/>
        </w:rPr>
        <w:t>(a</w:t>
      </w:r>
      <w:r>
        <w:rPr>
          <w:rFonts w:hint="eastAsia"/>
        </w:rPr>
        <w:t>) Rural                                                       (b) Urban</w:t>
      </w:r>
    </w:p>
    <w:p w:rsidR="00EB3286" w:rsidRDefault="00EB3286" w:rsidP="00EB3286">
      <w:pPr>
        <w:spacing w:after="120"/>
        <w:jc w:val="center"/>
      </w:pPr>
      <w:r>
        <w:rPr>
          <w:rFonts w:hint="eastAsia"/>
        </w:rPr>
        <w:t>Figure 2.1-1 IOT level for GEO</w:t>
      </w:r>
    </w:p>
    <w:p w:rsidR="00EB3286" w:rsidRDefault="00EB3286" w:rsidP="00E2523E">
      <w:pPr>
        <w:spacing w:after="120"/>
      </w:pPr>
    </w:p>
    <w:p w:rsidR="00EB3286" w:rsidRDefault="00EB3286" w:rsidP="00EB3286">
      <w:pPr>
        <w:spacing w:after="120"/>
        <w:ind w:firstLineChars="600" w:firstLine="1260"/>
      </w:pPr>
      <w:r>
        <w:rPr>
          <w:noProof/>
          <w:lang w:val="en-US"/>
        </w:rPr>
        <w:drawing>
          <wp:inline distT="0" distB="0" distL="0" distR="0" wp14:anchorId="2836A953" wp14:editId="35811F22">
            <wp:extent cx="2286000" cy="16840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734" cy="1684561"/>
                    </a:xfrm>
                    <a:prstGeom prst="rect">
                      <a:avLst/>
                    </a:prstGeom>
                  </pic:spPr>
                </pic:pic>
              </a:graphicData>
            </a:graphic>
          </wp:inline>
        </w:drawing>
      </w:r>
      <w:r>
        <w:rPr>
          <w:rFonts w:hint="eastAsia"/>
        </w:rPr>
        <w:t xml:space="preserve">   </w:t>
      </w:r>
      <w:r>
        <w:rPr>
          <w:noProof/>
          <w:lang w:val="en-US"/>
        </w:rPr>
        <w:drawing>
          <wp:inline distT="0" distB="0" distL="0" distR="0" wp14:anchorId="415D4D80" wp14:editId="60433E8A">
            <wp:extent cx="2247900" cy="1691640"/>
            <wp:effectExtent l="0" t="0" r="0" b="381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48622" cy="1692183"/>
                    </a:xfrm>
                    <a:prstGeom prst="rect">
                      <a:avLst/>
                    </a:prstGeom>
                  </pic:spPr>
                </pic:pic>
              </a:graphicData>
            </a:graphic>
          </wp:inline>
        </w:drawing>
      </w:r>
    </w:p>
    <w:p w:rsidR="00EB3286" w:rsidRDefault="00EB3286" w:rsidP="00EB3286">
      <w:pPr>
        <w:spacing w:after="120"/>
        <w:ind w:left="360" w:firstLineChars="1100" w:firstLine="2310"/>
      </w:pPr>
      <w:r w:rsidRPr="00EB3286">
        <w:rPr>
          <w:rFonts w:hint="eastAsia"/>
          <w:kern w:val="2"/>
          <w:szCs w:val="24"/>
        </w:rPr>
        <w:t>(a</w:t>
      </w:r>
      <w:r>
        <w:rPr>
          <w:rFonts w:hint="eastAsia"/>
        </w:rPr>
        <w:t>) Rural                                                       (b) Urban</w:t>
      </w:r>
    </w:p>
    <w:p w:rsidR="00EB3286" w:rsidRDefault="00EB3286" w:rsidP="00EB3286">
      <w:pPr>
        <w:spacing w:after="120"/>
        <w:jc w:val="center"/>
      </w:pPr>
      <w:r>
        <w:rPr>
          <w:rFonts w:hint="eastAsia"/>
        </w:rPr>
        <w:t>Figure 2.1-1 IOT level for LEO1200</w:t>
      </w:r>
    </w:p>
    <w:p w:rsidR="00EB3286" w:rsidRDefault="00EB3286" w:rsidP="00EB3286">
      <w:pPr>
        <w:spacing w:after="120"/>
        <w:ind w:firstLineChars="600" w:firstLine="1260"/>
      </w:pPr>
      <w:r>
        <w:rPr>
          <w:noProof/>
          <w:lang w:val="en-US"/>
        </w:rPr>
        <w:drawing>
          <wp:inline distT="0" distB="0" distL="0" distR="0" wp14:anchorId="61ED9681" wp14:editId="72B3B684">
            <wp:extent cx="2286000" cy="181356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6734" cy="1814142"/>
                    </a:xfrm>
                    <a:prstGeom prst="rect">
                      <a:avLst/>
                    </a:prstGeom>
                  </pic:spPr>
                </pic:pic>
              </a:graphicData>
            </a:graphic>
          </wp:inline>
        </w:drawing>
      </w:r>
      <w:r>
        <w:rPr>
          <w:rFonts w:hint="eastAsia"/>
        </w:rPr>
        <w:t xml:space="preserve">   </w:t>
      </w:r>
      <w:r>
        <w:rPr>
          <w:noProof/>
          <w:lang w:val="en-US"/>
        </w:rPr>
        <w:drawing>
          <wp:inline distT="0" distB="0" distL="0" distR="0" wp14:anchorId="736DD61E" wp14:editId="57BC39F4">
            <wp:extent cx="2331720" cy="1813559"/>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32469" cy="1814142"/>
                    </a:xfrm>
                    <a:prstGeom prst="rect">
                      <a:avLst/>
                    </a:prstGeom>
                  </pic:spPr>
                </pic:pic>
              </a:graphicData>
            </a:graphic>
          </wp:inline>
        </w:drawing>
      </w:r>
    </w:p>
    <w:p w:rsidR="00EB3286" w:rsidRDefault="00EB3286" w:rsidP="00EB3286">
      <w:pPr>
        <w:spacing w:after="120"/>
        <w:ind w:left="360" w:firstLineChars="1100" w:firstLine="2310"/>
      </w:pPr>
      <w:r w:rsidRPr="00EB3286">
        <w:rPr>
          <w:rFonts w:hint="eastAsia"/>
          <w:kern w:val="2"/>
          <w:szCs w:val="24"/>
        </w:rPr>
        <w:t>(a</w:t>
      </w:r>
      <w:r>
        <w:rPr>
          <w:rFonts w:hint="eastAsia"/>
        </w:rPr>
        <w:t>) Rural                                                       (b) Urban</w:t>
      </w:r>
    </w:p>
    <w:p w:rsidR="00EB3286" w:rsidRDefault="00EB3286" w:rsidP="00EB3286">
      <w:pPr>
        <w:spacing w:after="120"/>
        <w:jc w:val="center"/>
      </w:pPr>
      <w:r>
        <w:rPr>
          <w:rFonts w:hint="eastAsia"/>
        </w:rPr>
        <w:t>Figure 2.1-1 IOT level for LEO600</w:t>
      </w:r>
    </w:p>
    <w:p w:rsidR="00EB3286" w:rsidRDefault="00EB3286" w:rsidP="00E2523E">
      <w:pPr>
        <w:spacing w:after="120"/>
      </w:pPr>
    </w:p>
    <w:p w:rsidR="00150246" w:rsidRDefault="00AA4DE2" w:rsidP="00B966D0">
      <w:pPr>
        <w:spacing w:after="120"/>
        <w:rPr>
          <w:b/>
        </w:rPr>
      </w:pPr>
      <w:r>
        <w:rPr>
          <w:rFonts w:hint="eastAsia"/>
          <w:b/>
        </w:rPr>
        <w:t xml:space="preserve">Proposal 1: </w:t>
      </w:r>
      <w:r w:rsidR="00EB3286">
        <w:rPr>
          <w:rFonts w:hint="eastAsia"/>
          <w:b/>
        </w:rPr>
        <w:t xml:space="preserve">It is proposed to define </w:t>
      </w:r>
      <w:r w:rsidR="00EB3286" w:rsidRPr="00EB3286">
        <w:rPr>
          <w:rFonts w:hint="eastAsia"/>
          <w:b/>
        </w:rPr>
        <w:t>the IOT value as 12dB for LEO1200 and 15dB for LEO600 respectively.</w:t>
      </w:r>
    </w:p>
    <w:p w:rsidR="004532B4" w:rsidRPr="004532B4" w:rsidRDefault="004532B4" w:rsidP="004532B4">
      <w:pPr>
        <w:pStyle w:val="afa"/>
        <w:numPr>
          <w:ilvl w:val="0"/>
          <w:numId w:val="19"/>
        </w:numPr>
        <w:spacing w:after="120"/>
        <w:ind w:firstLineChars="0"/>
        <w:rPr>
          <w:b/>
        </w:rPr>
      </w:pPr>
      <w:r>
        <w:rPr>
          <w:b/>
        </w:rPr>
        <w:t>D</w:t>
      </w:r>
      <w:r>
        <w:rPr>
          <w:rFonts w:hint="eastAsia"/>
          <w:b/>
        </w:rPr>
        <w:t xml:space="preserve">efine single </w:t>
      </w:r>
      <w:r>
        <w:rPr>
          <w:b/>
        </w:rPr>
        <w:t>requirem</w:t>
      </w:r>
      <w:r>
        <w:rPr>
          <w:rFonts w:hint="eastAsia"/>
          <w:b/>
        </w:rPr>
        <w:t>ent for LEO1200 and LEO600 is also fine since the difference is small.</w:t>
      </w:r>
    </w:p>
    <w:p w:rsidR="00B966D0" w:rsidRDefault="00E63A89" w:rsidP="00B464F7">
      <w:pPr>
        <w:pStyle w:val="afa"/>
        <w:numPr>
          <w:ilvl w:val="1"/>
          <w:numId w:val="4"/>
        </w:numPr>
        <w:spacing w:after="120"/>
        <w:ind w:firstLineChars="0"/>
        <w:rPr>
          <w:b/>
        </w:rPr>
      </w:pPr>
      <w:r w:rsidRPr="00E63A89">
        <w:rPr>
          <w:b/>
        </w:rPr>
        <w:t>In-channel selectivity</w:t>
      </w:r>
    </w:p>
    <w:p w:rsidR="00E63A89" w:rsidRDefault="00E63A89" w:rsidP="00E63A89">
      <w:pPr>
        <w:spacing w:after="120"/>
      </w:pPr>
      <w:r w:rsidRPr="00E63A89">
        <w:t>I</w:t>
      </w:r>
      <w:r w:rsidRPr="00E63A89">
        <w:rPr>
          <w:rFonts w:hint="eastAsia"/>
        </w:rPr>
        <w:t xml:space="preserve">t has been </w:t>
      </w:r>
      <w:r w:rsidRPr="00E63A89">
        <w:t>agree</w:t>
      </w:r>
      <w:r w:rsidRPr="00E63A89">
        <w:rPr>
          <w:rFonts w:hint="eastAsia"/>
        </w:rPr>
        <w:t xml:space="preserve">d to define this </w:t>
      </w:r>
      <w:r w:rsidRPr="00E63A89">
        <w:t>requirement</w:t>
      </w:r>
      <w:r w:rsidRPr="00E63A89">
        <w:rPr>
          <w:rFonts w:hint="eastAsia"/>
        </w:rPr>
        <w:t xml:space="preserve"> </w:t>
      </w:r>
      <w:r>
        <w:t>as [</w:t>
      </w:r>
      <w:proofErr w:type="spellStart"/>
      <w:r>
        <w:t>IoT</w:t>
      </w:r>
      <w:proofErr w:type="spellEnd"/>
      <w:r>
        <w:t xml:space="preserve"> level+9dB] dB for NTN BS</w:t>
      </w:r>
      <w:r>
        <w:rPr>
          <w:rFonts w:hint="eastAsia"/>
        </w:rPr>
        <w:t xml:space="preserve">. </w:t>
      </w:r>
      <w:r>
        <w:t>I</w:t>
      </w:r>
      <w:r>
        <w:rPr>
          <w:rFonts w:hint="eastAsia"/>
        </w:rPr>
        <w:t xml:space="preserve">t means the ICS for LEO1200 and LEO600 are </w:t>
      </w:r>
      <w:r w:rsidR="00EB3286">
        <w:rPr>
          <w:rFonts w:hint="eastAsia"/>
        </w:rPr>
        <w:t>21dB</w:t>
      </w:r>
      <w:r>
        <w:rPr>
          <w:rFonts w:hint="eastAsia"/>
        </w:rPr>
        <w:t xml:space="preserve"> and </w:t>
      </w:r>
      <w:r w:rsidR="00EB3286">
        <w:rPr>
          <w:rFonts w:hint="eastAsia"/>
        </w:rPr>
        <w:t>24dB</w:t>
      </w:r>
      <w:r>
        <w:rPr>
          <w:rFonts w:hint="eastAsia"/>
        </w:rPr>
        <w:t xml:space="preserve"> respectively. </w:t>
      </w:r>
      <w:r>
        <w:t>O</w:t>
      </w:r>
      <w:r>
        <w:rPr>
          <w:rFonts w:hint="eastAsia"/>
        </w:rPr>
        <w:t xml:space="preserve">ne remaining question is whether to define requirement for GEO or not. </w:t>
      </w:r>
      <w:r>
        <w:t>I</w:t>
      </w:r>
      <w:r>
        <w:rPr>
          <w:rFonts w:hint="eastAsia"/>
        </w:rPr>
        <w:t>f yes, our preference is to define the requirement according to the simulation dynamic range results in figure 2.1-1</w:t>
      </w:r>
      <w:r w:rsidR="004532B4">
        <w:rPr>
          <w:rFonts w:hint="eastAsia"/>
        </w:rPr>
        <w:t xml:space="preserve"> (b)</w:t>
      </w:r>
      <w:r>
        <w:rPr>
          <w:rFonts w:hint="eastAsia"/>
        </w:rPr>
        <w:t xml:space="preserve">, e.g. the ICS for GEO can be defined as </w:t>
      </w:r>
      <w:r w:rsidR="004532B4">
        <w:rPr>
          <w:rFonts w:hint="eastAsia"/>
        </w:rPr>
        <w:t>16dB</w:t>
      </w:r>
      <w:r>
        <w:rPr>
          <w:rFonts w:hint="eastAsia"/>
        </w:rPr>
        <w:t xml:space="preserve">. </w:t>
      </w:r>
    </w:p>
    <w:p w:rsidR="00E63A89" w:rsidRDefault="004532B4" w:rsidP="00E63A89">
      <w:pPr>
        <w:spacing w:after="120"/>
        <w:rPr>
          <w:b/>
        </w:rPr>
      </w:pPr>
      <w:r>
        <w:rPr>
          <w:rFonts w:hint="eastAsia"/>
          <w:b/>
        </w:rPr>
        <w:t>Proposal 2: It is proposed to define ICS as 16dB, 21dB and 24dB for GEO, LEO1200 and LEO 600 respectively.</w:t>
      </w:r>
    </w:p>
    <w:p w:rsidR="008B3A8C" w:rsidRPr="00E63A89" w:rsidRDefault="008B3A8C" w:rsidP="00E63A89">
      <w:pPr>
        <w:spacing w:after="120"/>
        <w:rPr>
          <w:b/>
        </w:rPr>
      </w:pPr>
    </w:p>
    <w:p w:rsidR="00E63A89" w:rsidRDefault="00E63A89" w:rsidP="00B464F7">
      <w:pPr>
        <w:pStyle w:val="afa"/>
        <w:numPr>
          <w:ilvl w:val="1"/>
          <w:numId w:val="4"/>
        </w:numPr>
        <w:spacing w:after="120"/>
        <w:ind w:firstLineChars="0"/>
        <w:rPr>
          <w:b/>
        </w:rPr>
      </w:pPr>
      <w:r w:rsidRPr="00E63A89">
        <w:rPr>
          <w:b/>
        </w:rPr>
        <w:t>I</w:t>
      </w:r>
      <w:r w:rsidRPr="00E63A89">
        <w:rPr>
          <w:rFonts w:hint="eastAsia"/>
          <w:b/>
        </w:rPr>
        <w:t>n-band blocking</w:t>
      </w:r>
    </w:p>
    <w:p w:rsidR="00150246" w:rsidRPr="003151D9" w:rsidRDefault="003151D9" w:rsidP="00150246">
      <w:pPr>
        <w:spacing w:after="120"/>
      </w:pPr>
      <w:r w:rsidRPr="003151D9">
        <w:t>A</w:t>
      </w:r>
      <w:r w:rsidRPr="003151D9">
        <w:rPr>
          <w:rFonts w:hint="eastAsia"/>
        </w:rPr>
        <w:t xml:space="preserve">ccording to the analysis in [2], the MCL between SAN and UE could be about 85dB if we consider both hand-held UE and vehicle mounted UE in NTN network. </w:t>
      </w:r>
      <w:r w:rsidRPr="003151D9">
        <w:t>S</w:t>
      </w:r>
      <w:r w:rsidRPr="003151D9">
        <w:rPr>
          <w:rFonts w:hint="eastAsia"/>
        </w:rPr>
        <w:t xml:space="preserve">o we think the </w:t>
      </w:r>
      <w:r w:rsidRPr="003151D9">
        <w:t>blocking</w:t>
      </w:r>
      <w:r w:rsidRPr="003151D9">
        <w:rPr>
          <w:rFonts w:hint="eastAsia"/>
        </w:rPr>
        <w:t xml:space="preserve"> level at SAN can be defined as 23dBm-85dB =-64dBm. </w:t>
      </w:r>
    </w:p>
    <w:p w:rsidR="003151D9" w:rsidRDefault="003151D9" w:rsidP="00150246">
      <w:pPr>
        <w:spacing w:after="120"/>
        <w:rPr>
          <w:b/>
        </w:rPr>
      </w:pPr>
      <w:r>
        <w:rPr>
          <w:b/>
        </w:rPr>
        <w:t>Proposal 3</w:t>
      </w:r>
      <w:r>
        <w:rPr>
          <w:rFonts w:hint="eastAsia"/>
          <w:b/>
        </w:rPr>
        <w:t xml:space="preserve">:  </w:t>
      </w:r>
      <w:r>
        <w:rPr>
          <w:b/>
        </w:rPr>
        <w:t>I</w:t>
      </w:r>
      <w:r>
        <w:rPr>
          <w:rFonts w:hint="eastAsia"/>
          <w:b/>
        </w:rPr>
        <w:t>t is proposed to define the in-blocking level as -64dBm for SAN</w:t>
      </w:r>
    </w:p>
    <w:p w:rsidR="00D72AF4" w:rsidRPr="00CE27AE" w:rsidRDefault="00D72AF4" w:rsidP="00B966D0">
      <w:pPr>
        <w:spacing w:after="120"/>
        <w:rPr>
          <w:b/>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424D27" w:rsidRDefault="00592E83" w:rsidP="00667116">
      <w:r>
        <w:t>T</w:t>
      </w:r>
      <w:r>
        <w:rPr>
          <w:rFonts w:hint="eastAsia"/>
        </w:rPr>
        <w:t xml:space="preserve">his paper </w:t>
      </w:r>
      <w:r w:rsidR="0025048E">
        <w:rPr>
          <w:rFonts w:hint="eastAsia"/>
        </w:rPr>
        <w:t xml:space="preserve">further </w:t>
      </w:r>
      <w:r>
        <w:rPr>
          <w:rFonts w:hint="eastAsia"/>
        </w:rPr>
        <w:t xml:space="preserve">discussed </w:t>
      </w:r>
      <w:r w:rsidR="0025048E">
        <w:rPr>
          <w:rFonts w:hint="eastAsia"/>
        </w:rPr>
        <w:t xml:space="preserve">satellite access node </w:t>
      </w:r>
      <w:r w:rsidR="00DE4A47">
        <w:rPr>
          <w:rFonts w:hint="eastAsia"/>
        </w:rPr>
        <w:t>R</w:t>
      </w:r>
      <w:r w:rsidR="00B15450">
        <w:rPr>
          <w:rFonts w:hint="eastAsia"/>
        </w:rPr>
        <w:t>x RF requirements</w:t>
      </w:r>
      <w:r w:rsidR="00DE4A47">
        <w:rPr>
          <w:rFonts w:hint="eastAsia"/>
        </w:rPr>
        <w:t xml:space="preserve"> for BS type 1-H</w:t>
      </w:r>
      <w:bookmarkStart w:id="1" w:name="_GoBack"/>
      <w:bookmarkEnd w:id="1"/>
      <w:r w:rsidR="0025048E">
        <w:rPr>
          <w:rFonts w:hint="eastAsia"/>
        </w:rPr>
        <w:t xml:space="preserve"> and concluded the following proposals.</w:t>
      </w:r>
    </w:p>
    <w:p w:rsidR="008B3A8C" w:rsidRDefault="008B3A8C" w:rsidP="008B3A8C">
      <w:pPr>
        <w:spacing w:after="120"/>
        <w:rPr>
          <w:b/>
        </w:rPr>
      </w:pPr>
      <w:r>
        <w:rPr>
          <w:rFonts w:hint="eastAsia"/>
          <w:b/>
        </w:rPr>
        <w:t xml:space="preserve">Proposal 1: It is proposed to define </w:t>
      </w:r>
      <w:r w:rsidRPr="00EB3286">
        <w:rPr>
          <w:rFonts w:hint="eastAsia"/>
          <w:b/>
        </w:rPr>
        <w:t>the IOT value as 12dB for LEO1200 and 15dB for LEO600 respectively.</w:t>
      </w:r>
    </w:p>
    <w:p w:rsidR="008B3A8C" w:rsidRPr="004532B4" w:rsidRDefault="008B3A8C" w:rsidP="008B3A8C">
      <w:pPr>
        <w:pStyle w:val="afa"/>
        <w:numPr>
          <w:ilvl w:val="0"/>
          <w:numId w:val="19"/>
        </w:numPr>
        <w:spacing w:after="120"/>
        <w:ind w:firstLineChars="0"/>
        <w:rPr>
          <w:b/>
        </w:rPr>
      </w:pPr>
      <w:r>
        <w:rPr>
          <w:b/>
        </w:rPr>
        <w:t>D</w:t>
      </w:r>
      <w:r>
        <w:rPr>
          <w:rFonts w:hint="eastAsia"/>
          <w:b/>
        </w:rPr>
        <w:t xml:space="preserve">efine single </w:t>
      </w:r>
      <w:r>
        <w:rPr>
          <w:b/>
        </w:rPr>
        <w:t>requirem</w:t>
      </w:r>
      <w:r>
        <w:rPr>
          <w:rFonts w:hint="eastAsia"/>
          <w:b/>
        </w:rPr>
        <w:t>ent for LEO1200 and LEO600 is also fine since the difference is small.</w:t>
      </w:r>
    </w:p>
    <w:p w:rsidR="008B3A8C" w:rsidRPr="00E63A89" w:rsidRDefault="008B3A8C" w:rsidP="008B3A8C">
      <w:pPr>
        <w:spacing w:after="120"/>
        <w:rPr>
          <w:b/>
        </w:rPr>
      </w:pPr>
      <w:r>
        <w:rPr>
          <w:rFonts w:hint="eastAsia"/>
          <w:b/>
        </w:rPr>
        <w:t>Proposal 2: It is proposed to define ICS as 16dB, 21dB and 24dB for GEO, LEO1200 and LEO 600 respectively.</w:t>
      </w:r>
    </w:p>
    <w:p w:rsidR="003151D9" w:rsidRDefault="003151D9" w:rsidP="003151D9">
      <w:pPr>
        <w:spacing w:after="120"/>
        <w:rPr>
          <w:b/>
        </w:rPr>
      </w:pPr>
      <w:r>
        <w:rPr>
          <w:b/>
        </w:rPr>
        <w:t>Proposal 3</w:t>
      </w:r>
      <w:r>
        <w:rPr>
          <w:rFonts w:hint="eastAsia"/>
          <w:b/>
        </w:rPr>
        <w:t xml:space="preserve">:  </w:t>
      </w:r>
      <w:r>
        <w:rPr>
          <w:b/>
        </w:rPr>
        <w:t>I</w:t>
      </w:r>
      <w:r>
        <w:rPr>
          <w:rFonts w:hint="eastAsia"/>
          <w:b/>
        </w:rPr>
        <w:t>t is proposed to define the in-blocking level as -64dBm for SAN</w:t>
      </w:r>
    </w:p>
    <w:p w:rsidR="00592E83" w:rsidRPr="003151D9"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Default="00D3325F" w:rsidP="00D3325F">
      <w:pPr>
        <w:pStyle w:val="ab"/>
        <w:ind w:left="540" w:hangingChars="270" w:hanging="540"/>
        <w:rPr>
          <w:sz w:val="20"/>
        </w:rPr>
      </w:pPr>
      <w:r>
        <w:rPr>
          <w:rFonts w:hint="eastAsia"/>
          <w:sz w:val="20"/>
        </w:rPr>
        <w:t>[1]</w:t>
      </w:r>
      <w:r>
        <w:rPr>
          <w:rFonts w:hint="eastAsia"/>
          <w:sz w:val="20"/>
        </w:rPr>
        <w:tab/>
      </w:r>
      <w:r w:rsidR="000B757C">
        <w:rPr>
          <w:rFonts w:hint="eastAsia"/>
          <w:sz w:val="20"/>
        </w:rPr>
        <w:t>R</w:t>
      </w:r>
      <w:r w:rsidR="00856710">
        <w:rPr>
          <w:rFonts w:hint="eastAsia"/>
          <w:sz w:val="20"/>
        </w:rPr>
        <w:t>4</w:t>
      </w:r>
      <w:r w:rsidR="000B757C">
        <w:rPr>
          <w:rFonts w:hint="eastAsia"/>
          <w:sz w:val="20"/>
        </w:rPr>
        <w:t>-2</w:t>
      </w:r>
      <w:r w:rsidR="001B3B63">
        <w:rPr>
          <w:rFonts w:hint="eastAsia"/>
          <w:sz w:val="20"/>
        </w:rPr>
        <w:t>20</w:t>
      </w:r>
      <w:r w:rsidR="00E2523E">
        <w:rPr>
          <w:rFonts w:hint="eastAsia"/>
          <w:sz w:val="20"/>
        </w:rPr>
        <w:t>3124</w:t>
      </w:r>
      <w:r w:rsidR="000B757C" w:rsidRPr="000B757C">
        <w:rPr>
          <w:rFonts w:hint="eastAsia"/>
          <w:sz w:val="20"/>
        </w:rPr>
        <w:t xml:space="preserve">, </w:t>
      </w:r>
      <w:r w:rsidR="00E2523E">
        <w:t>WF on RF requirement for SAN type 1-H</w:t>
      </w:r>
      <w:r w:rsidR="00CE27AE" w:rsidRPr="00CE27AE">
        <w:rPr>
          <w:rFonts w:hint="eastAsia"/>
          <w:sz w:val="20"/>
        </w:rPr>
        <w:t>,</w:t>
      </w:r>
      <w:r w:rsidR="001B3B63" w:rsidRPr="001B3B63">
        <w:rPr>
          <w:rFonts w:hint="eastAsia"/>
          <w:sz w:val="20"/>
        </w:rPr>
        <w:t xml:space="preserve"> </w:t>
      </w:r>
      <w:r w:rsidR="00CE27AE">
        <w:rPr>
          <w:rFonts w:hint="eastAsia"/>
          <w:sz w:val="20"/>
        </w:rPr>
        <w:t>CATT</w:t>
      </w:r>
    </w:p>
    <w:p w:rsidR="003151D9" w:rsidRDefault="003151D9" w:rsidP="00D3325F">
      <w:pPr>
        <w:pStyle w:val="ab"/>
        <w:ind w:left="540" w:hangingChars="270" w:hanging="540"/>
        <w:rPr>
          <w:sz w:val="20"/>
        </w:rPr>
      </w:pPr>
      <w:r>
        <w:rPr>
          <w:rFonts w:hint="eastAsia"/>
          <w:sz w:val="20"/>
        </w:rPr>
        <w:t>[2]</w:t>
      </w:r>
      <w:r>
        <w:rPr>
          <w:rFonts w:hint="eastAsia"/>
          <w:sz w:val="20"/>
        </w:rPr>
        <w:tab/>
        <w:t>R4-220</w:t>
      </w:r>
      <w:r w:rsidR="00130CF9">
        <w:rPr>
          <w:rFonts w:hint="eastAsia"/>
          <w:sz w:val="20"/>
        </w:rPr>
        <w:t>3927</w:t>
      </w:r>
      <w:r>
        <w:rPr>
          <w:rFonts w:hint="eastAsia"/>
          <w:sz w:val="20"/>
        </w:rPr>
        <w:t xml:space="preserve">, </w:t>
      </w:r>
      <w:r w:rsidR="00130CF9" w:rsidRPr="00130CF9">
        <w:rPr>
          <w:sz w:val="20"/>
        </w:rPr>
        <w:t>further discussion on UE Rx RF requirements for NTN</w:t>
      </w:r>
      <w:r w:rsidR="00130CF9">
        <w:rPr>
          <w:rFonts w:hint="eastAsia"/>
          <w:sz w:val="20"/>
        </w:rPr>
        <w:t>, CATT</w:t>
      </w:r>
    </w:p>
    <w:p w:rsidR="000B757C" w:rsidRPr="00F91E33" w:rsidRDefault="000B757C" w:rsidP="003A39DD">
      <w:pPr>
        <w:pStyle w:val="ab"/>
        <w:ind w:left="540" w:hangingChars="270" w:hanging="540"/>
        <w:rPr>
          <w:sz w:val="20"/>
        </w:rPr>
      </w:pPr>
    </w:p>
    <w:sectPr w:rsidR="000B757C" w:rsidRPr="00F91E33" w:rsidSect="00EC439E">
      <w:headerReference w:type="even"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0FD" w:rsidRDefault="00BC70FD" w:rsidP="0095591C">
      <w:pPr>
        <w:spacing w:after="60"/>
        <w:ind w:left="210"/>
      </w:pPr>
      <w:r>
        <w:separator/>
      </w:r>
    </w:p>
    <w:p w:rsidR="00BC70FD" w:rsidRDefault="00BC70FD"/>
  </w:endnote>
  <w:endnote w:type="continuationSeparator" w:id="0">
    <w:p w:rsidR="00BC70FD" w:rsidRDefault="00BC70FD" w:rsidP="0095591C">
      <w:pPr>
        <w:spacing w:after="60"/>
        <w:ind w:left="210"/>
      </w:pPr>
      <w:r>
        <w:continuationSeparator/>
      </w:r>
    </w:p>
    <w:p w:rsidR="00BC70FD" w:rsidRDefault="00BC7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86" w:rsidRDefault="00EB328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E4A47">
      <w:t>3</w:t>
    </w:r>
    <w:r>
      <w:fldChar w:fldCharType="end"/>
    </w:r>
  </w:p>
  <w:p w:rsidR="00EB3286" w:rsidRDefault="00EB32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0FD" w:rsidRDefault="00BC70FD" w:rsidP="0095591C">
      <w:pPr>
        <w:spacing w:after="60"/>
        <w:ind w:left="210"/>
      </w:pPr>
      <w:r>
        <w:separator/>
      </w:r>
    </w:p>
    <w:p w:rsidR="00BC70FD" w:rsidRDefault="00BC70FD"/>
  </w:footnote>
  <w:footnote w:type="continuationSeparator" w:id="0">
    <w:p w:rsidR="00BC70FD" w:rsidRDefault="00BC70FD" w:rsidP="0095591C">
      <w:pPr>
        <w:spacing w:after="60"/>
        <w:ind w:left="210"/>
      </w:pPr>
      <w:r>
        <w:continuationSeparator/>
      </w:r>
    </w:p>
    <w:p w:rsidR="00BC70FD" w:rsidRDefault="00BC70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86" w:rsidRDefault="00EB328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B3286" w:rsidRDefault="00EB32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E1224E"/>
    <w:multiLevelType w:val="hybridMultilevel"/>
    <w:tmpl w:val="E330548C"/>
    <w:lvl w:ilvl="0" w:tplc="E506DC60">
      <w:numFmt w:val="bullet"/>
      <w:lvlText w:val="-"/>
      <w:lvlJc w:val="left"/>
      <w:pPr>
        <w:ind w:left="1080" w:hanging="360"/>
      </w:pPr>
      <w:rPr>
        <w:rFonts w:ascii="Times New Roman" w:eastAsia="宋体" w:hAnsi="Times New Roman" w:cs="Times New Roman" w:hint="default"/>
        <w:b w:val="0"/>
        <w:sz w:val="21"/>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952516"/>
    <w:multiLevelType w:val="hybridMultilevel"/>
    <w:tmpl w:val="B0A2DC86"/>
    <w:lvl w:ilvl="0" w:tplc="CC708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FB5FDF"/>
    <w:multiLevelType w:val="hybridMultilevel"/>
    <w:tmpl w:val="EBDCE950"/>
    <w:lvl w:ilvl="0" w:tplc="EDEAED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D4117FB"/>
    <w:multiLevelType w:val="hybridMultilevel"/>
    <w:tmpl w:val="1B1076BC"/>
    <w:lvl w:ilvl="0" w:tplc="7F0677A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4C44CE"/>
    <w:multiLevelType w:val="hybridMultilevel"/>
    <w:tmpl w:val="A93CFD96"/>
    <w:lvl w:ilvl="0" w:tplc="27D8CBDC">
      <w:start w:val="1"/>
      <w:numFmt w:val="bullet"/>
      <w:lvlText w:val=""/>
      <w:lvlJc w:val="left"/>
      <w:pPr>
        <w:tabs>
          <w:tab w:val="num" w:pos="720"/>
        </w:tabs>
        <w:ind w:left="720" w:hanging="360"/>
      </w:pPr>
      <w:rPr>
        <w:rFonts w:ascii="Wingdings" w:hAnsi="Wingdings" w:hint="default"/>
      </w:rPr>
    </w:lvl>
    <w:lvl w:ilvl="1" w:tplc="332225A0">
      <w:start w:val="611"/>
      <w:numFmt w:val="bullet"/>
      <w:lvlText w:val="•"/>
      <w:lvlJc w:val="left"/>
      <w:pPr>
        <w:tabs>
          <w:tab w:val="num" w:pos="1440"/>
        </w:tabs>
        <w:ind w:left="1440" w:hanging="360"/>
      </w:pPr>
      <w:rPr>
        <w:rFonts w:ascii="Arial" w:hAnsi="Arial" w:hint="default"/>
      </w:rPr>
    </w:lvl>
    <w:lvl w:ilvl="2" w:tplc="BC409366" w:tentative="1">
      <w:start w:val="1"/>
      <w:numFmt w:val="bullet"/>
      <w:lvlText w:val=""/>
      <w:lvlJc w:val="left"/>
      <w:pPr>
        <w:tabs>
          <w:tab w:val="num" w:pos="2160"/>
        </w:tabs>
        <w:ind w:left="2160" w:hanging="360"/>
      </w:pPr>
      <w:rPr>
        <w:rFonts w:ascii="Wingdings" w:hAnsi="Wingdings" w:hint="default"/>
      </w:rPr>
    </w:lvl>
    <w:lvl w:ilvl="3" w:tplc="34C020C0" w:tentative="1">
      <w:start w:val="1"/>
      <w:numFmt w:val="bullet"/>
      <w:lvlText w:val=""/>
      <w:lvlJc w:val="left"/>
      <w:pPr>
        <w:tabs>
          <w:tab w:val="num" w:pos="2880"/>
        </w:tabs>
        <w:ind w:left="2880" w:hanging="360"/>
      </w:pPr>
      <w:rPr>
        <w:rFonts w:ascii="Wingdings" w:hAnsi="Wingdings" w:hint="default"/>
      </w:rPr>
    </w:lvl>
    <w:lvl w:ilvl="4" w:tplc="D688D7E4" w:tentative="1">
      <w:start w:val="1"/>
      <w:numFmt w:val="bullet"/>
      <w:lvlText w:val=""/>
      <w:lvlJc w:val="left"/>
      <w:pPr>
        <w:tabs>
          <w:tab w:val="num" w:pos="3600"/>
        </w:tabs>
        <w:ind w:left="3600" w:hanging="360"/>
      </w:pPr>
      <w:rPr>
        <w:rFonts w:ascii="Wingdings" w:hAnsi="Wingdings" w:hint="default"/>
      </w:rPr>
    </w:lvl>
    <w:lvl w:ilvl="5" w:tplc="F6F84156" w:tentative="1">
      <w:start w:val="1"/>
      <w:numFmt w:val="bullet"/>
      <w:lvlText w:val=""/>
      <w:lvlJc w:val="left"/>
      <w:pPr>
        <w:tabs>
          <w:tab w:val="num" w:pos="4320"/>
        </w:tabs>
        <w:ind w:left="4320" w:hanging="360"/>
      </w:pPr>
      <w:rPr>
        <w:rFonts w:ascii="Wingdings" w:hAnsi="Wingdings" w:hint="default"/>
      </w:rPr>
    </w:lvl>
    <w:lvl w:ilvl="6" w:tplc="D9D8CA02" w:tentative="1">
      <w:start w:val="1"/>
      <w:numFmt w:val="bullet"/>
      <w:lvlText w:val=""/>
      <w:lvlJc w:val="left"/>
      <w:pPr>
        <w:tabs>
          <w:tab w:val="num" w:pos="5040"/>
        </w:tabs>
        <w:ind w:left="5040" w:hanging="360"/>
      </w:pPr>
      <w:rPr>
        <w:rFonts w:ascii="Wingdings" w:hAnsi="Wingdings" w:hint="default"/>
      </w:rPr>
    </w:lvl>
    <w:lvl w:ilvl="7" w:tplc="3322EBB4" w:tentative="1">
      <w:start w:val="1"/>
      <w:numFmt w:val="bullet"/>
      <w:lvlText w:val=""/>
      <w:lvlJc w:val="left"/>
      <w:pPr>
        <w:tabs>
          <w:tab w:val="num" w:pos="5760"/>
        </w:tabs>
        <w:ind w:left="5760" w:hanging="360"/>
      </w:pPr>
      <w:rPr>
        <w:rFonts w:ascii="Wingdings" w:hAnsi="Wingdings" w:hint="default"/>
      </w:rPr>
    </w:lvl>
    <w:lvl w:ilvl="8" w:tplc="11C4075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2"/>
  </w:num>
  <w:num w:numId="4">
    <w:abstractNumId w:val="12"/>
  </w:num>
  <w:num w:numId="5">
    <w:abstractNumId w:val="6"/>
  </w:num>
  <w:num w:numId="6">
    <w:abstractNumId w:val="19"/>
  </w:num>
  <w:num w:numId="7">
    <w:abstractNumId w:val="3"/>
  </w:num>
  <w:num w:numId="8">
    <w:abstractNumId w:val="13"/>
  </w:num>
  <w:num w:numId="9">
    <w:abstractNumId w:val="8"/>
  </w:num>
  <w:num w:numId="10">
    <w:abstractNumId w:val="17"/>
  </w:num>
  <w:num w:numId="11">
    <w:abstractNumId w:val="20"/>
  </w:num>
  <w:num w:numId="12">
    <w:abstractNumId w:val="21"/>
  </w:num>
  <w:num w:numId="13">
    <w:abstractNumId w:val="9"/>
  </w:num>
  <w:num w:numId="14">
    <w:abstractNumId w:val="10"/>
  </w:num>
  <w:num w:numId="15">
    <w:abstractNumId w:val="7"/>
  </w:num>
  <w:num w:numId="16">
    <w:abstractNumId w:val="16"/>
  </w:num>
  <w:num w:numId="17">
    <w:abstractNumId w:val="0"/>
  </w:num>
  <w:num w:numId="18">
    <w:abstractNumId w:val="18"/>
  </w:num>
  <w:num w:numId="19">
    <w:abstractNumId w:val="1"/>
  </w:num>
  <w:num w:numId="20">
    <w:abstractNumId w:val="4"/>
  </w:num>
  <w:num w:numId="21">
    <w:abstractNumId w:val="11"/>
  </w:num>
  <w:num w:numId="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5C1"/>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CF9"/>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246"/>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0E"/>
    <w:rsid w:val="00197A82"/>
    <w:rsid w:val="001A09E5"/>
    <w:rsid w:val="001A0F93"/>
    <w:rsid w:val="001A1105"/>
    <w:rsid w:val="001A1B28"/>
    <w:rsid w:val="001A21FA"/>
    <w:rsid w:val="001A25A7"/>
    <w:rsid w:val="001A32DA"/>
    <w:rsid w:val="001A3B88"/>
    <w:rsid w:val="001A40D7"/>
    <w:rsid w:val="001A473C"/>
    <w:rsid w:val="001A47B4"/>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3E68"/>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048E"/>
    <w:rsid w:val="002519C5"/>
    <w:rsid w:val="00253080"/>
    <w:rsid w:val="00253B58"/>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1D9"/>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32B4"/>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04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696"/>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58A8"/>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0E2"/>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F35"/>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4D48"/>
    <w:rsid w:val="00675549"/>
    <w:rsid w:val="006759AA"/>
    <w:rsid w:val="00675C83"/>
    <w:rsid w:val="00676023"/>
    <w:rsid w:val="00677391"/>
    <w:rsid w:val="00677793"/>
    <w:rsid w:val="00680B1D"/>
    <w:rsid w:val="00680F0B"/>
    <w:rsid w:val="0068110E"/>
    <w:rsid w:val="006818CE"/>
    <w:rsid w:val="00681CAB"/>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824"/>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0A4C"/>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56710"/>
    <w:rsid w:val="008603E3"/>
    <w:rsid w:val="008605B4"/>
    <w:rsid w:val="00861667"/>
    <w:rsid w:val="00862420"/>
    <w:rsid w:val="008629B5"/>
    <w:rsid w:val="00862B3D"/>
    <w:rsid w:val="0086386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96ECD"/>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3A8C"/>
    <w:rsid w:val="008B44FB"/>
    <w:rsid w:val="008B47F0"/>
    <w:rsid w:val="008B57F3"/>
    <w:rsid w:val="008B594A"/>
    <w:rsid w:val="008B5A51"/>
    <w:rsid w:val="008B5C1B"/>
    <w:rsid w:val="008B6637"/>
    <w:rsid w:val="008B6A58"/>
    <w:rsid w:val="008B6E82"/>
    <w:rsid w:val="008B73C0"/>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655"/>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4DE2"/>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46"/>
    <w:rsid w:val="00B0675A"/>
    <w:rsid w:val="00B076BA"/>
    <w:rsid w:val="00B07945"/>
    <w:rsid w:val="00B07C0C"/>
    <w:rsid w:val="00B110D9"/>
    <w:rsid w:val="00B1226B"/>
    <w:rsid w:val="00B12540"/>
    <w:rsid w:val="00B12847"/>
    <w:rsid w:val="00B147B4"/>
    <w:rsid w:val="00B14A1F"/>
    <w:rsid w:val="00B14F22"/>
    <w:rsid w:val="00B15407"/>
    <w:rsid w:val="00B15450"/>
    <w:rsid w:val="00B15557"/>
    <w:rsid w:val="00B1587D"/>
    <w:rsid w:val="00B15E17"/>
    <w:rsid w:val="00B15E24"/>
    <w:rsid w:val="00B16767"/>
    <w:rsid w:val="00B177FA"/>
    <w:rsid w:val="00B2011D"/>
    <w:rsid w:val="00B203E2"/>
    <w:rsid w:val="00B20BB4"/>
    <w:rsid w:val="00B21635"/>
    <w:rsid w:val="00B2184C"/>
    <w:rsid w:val="00B22BA2"/>
    <w:rsid w:val="00B22EA7"/>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64F7"/>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12C"/>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0FD"/>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4B3"/>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2F0"/>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5A4"/>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7AE"/>
    <w:rsid w:val="00CE28FF"/>
    <w:rsid w:val="00CE3E48"/>
    <w:rsid w:val="00CE54D9"/>
    <w:rsid w:val="00CE5DB6"/>
    <w:rsid w:val="00CE6FA4"/>
    <w:rsid w:val="00CE7A49"/>
    <w:rsid w:val="00CF0097"/>
    <w:rsid w:val="00CF012B"/>
    <w:rsid w:val="00CF0574"/>
    <w:rsid w:val="00CF0936"/>
    <w:rsid w:val="00CF12BC"/>
    <w:rsid w:val="00CF1870"/>
    <w:rsid w:val="00CF18D1"/>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0E39"/>
    <w:rsid w:val="00D71140"/>
    <w:rsid w:val="00D72080"/>
    <w:rsid w:val="00D72185"/>
    <w:rsid w:val="00D7222D"/>
    <w:rsid w:val="00D72266"/>
    <w:rsid w:val="00D72AF4"/>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4A47"/>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23E"/>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96A"/>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3A89"/>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286"/>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2CA"/>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284C"/>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A6A"/>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55236543">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893470671">
      <w:bodyDiv w:val="1"/>
      <w:marLeft w:val="0"/>
      <w:marRight w:val="0"/>
      <w:marTop w:val="0"/>
      <w:marBottom w:val="0"/>
      <w:divBdr>
        <w:top w:val="none" w:sz="0" w:space="0" w:color="auto"/>
        <w:left w:val="none" w:sz="0" w:space="0" w:color="auto"/>
        <w:bottom w:val="none" w:sz="0" w:space="0" w:color="auto"/>
        <w:right w:val="none" w:sz="0" w:space="0" w:color="auto"/>
      </w:divBdr>
      <w:divsChild>
        <w:div w:id="305353842">
          <w:marLeft w:val="360"/>
          <w:marRight w:val="0"/>
          <w:marTop w:val="200"/>
          <w:marBottom w:val="0"/>
          <w:divBdr>
            <w:top w:val="none" w:sz="0" w:space="0" w:color="auto"/>
            <w:left w:val="none" w:sz="0" w:space="0" w:color="auto"/>
            <w:bottom w:val="none" w:sz="0" w:space="0" w:color="auto"/>
            <w:right w:val="none" w:sz="0" w:space="0" w:color="auto"/>
          </w:divBdr>
        </w:div>
        <w:div w:id="179902076">
          <w:marLeft w:val="1080"/>
          <w:marRight w:val="0"/>
          <w:marTop w:val="100"/>
          <w:marBottom w:val="0"/>
          <w:divBdr>
            <w:top w:val="none" w:sz="0" w:space="0" w:color="auto"/>
            <w:left w:val="none" w:sz="0" w:space="0" w:color="auto"/>
            <w:bottom w:val="none" w:sz="0" w:space="0" w:color="auto"/>
            <w:right w:val="none" w:sz="0" w:space="0" w:color="auto"/>
          </w:divBdr>
        </w:div>
        <w:div w:id="1666205084">
          <w:marLeft w:val="1080"/>
          <w:marRight w:val="0"/>
          <w:marTop w:val="100"/>
          <w:marBottom w:val="0"/>
          <w:divBdr>
            <w:top w:val="none" w:sz="0" w:space="0" w:color="auto"/>
            <w:left w:val="none" w:sz="0" w:space="0" w:color="auto"/>
            <w:bottom w:val="none" w:sz="0" w:space="0" w:color="auto"/>
            <w:right w:val="none" w:sz="0" w:space="0" w:color="auto"/>
          </w:divBdr>
        </w:div>
        <w:div w:id="1157112972">
          <w:marLeft w:val="1080"/>
          <w:marRight w:val="0"/>
          <w:marTop w:val="100"/>
          <w:marBottom w:val="0"/>
          <w:divBdr>
            <w:top w:val="none" w:sz="0" w:space="0" w:color="auto"/>
            <w:left w:val="none" w:sz="0" w:space="0" w:color="auto"/>
            <w:bottom w:val="none" w:sz="0" w:space="0" w:color="auto"/>
            <w:right w:val="none" w:sz="0" w:space="0" w:color="auto"/>
          </w:divBdr>
        </w:div>
        <w:div w:id="1645045901">
          <w:marLeft w:val="360"/>
          <w:marRight w:val="0"/>
          <w:marTop w:val="200"/>
          <w:marBottom w:val="0"/>
          <w:divBdr>
            <w:top w:val="none" w:sz="0" w:space="0" w:color="auto"/>
            <w:left w:val="none" w:sz="0" w:space="0" w:color="auto"/>
            <w:bottom w:val="none" w:sz="0" w:space="0" w:color="auto"/>
            <w:right w:val="none" w:sz="0" w:space="0" w:color="auto"/>
          </w:divBdr>
        </w:div>
        <w:div w:id="1823236606">
          <w:marLeft w:val="1080"/>
          <w:marRight w:val="0"/>
          <w:marTop w:val="100"/>
          <w:marBottom w:val="0"/>
          <w:divBdr>
            <w:top w:val="none" w:sz="0" w:space="0" w:color="auto"/>
            <w:left w:val="none" w:sz="0" w:space="0" w:color="auto"/>
            <w:bottom w:val="none" w:sz="0" w:space="0" w:color="auto"/>
            <w:right w:val="none" w:sz="0" w:space="0" w:color="auto"/>
          </w:divBdr>
        </w:div>
        <w:div w:id="225068001">
          <w:marLeft w:val="1080"/>
          <w:marRight w:val="0"/>
          <w:marTop w:val="1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7523247">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54777385">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48515078">
      <w:bodyDiv w:val="1"/>
      <w:marLeft w:val="0"/>
      <w:marRight w:val="0"/>
      <w:marTop w:val="0"/>
      <w:marBottom w:val="0"/>
      <w:divBdr>
        <w:top w:val="none" w:sz="0" w:space="0" w:color="auto"/>
        <w:left w:val="none" w:sz="0" w:space="0" w:color="auto"/>
        <w:bottom w:val="none" w:sz="0" w:space="0" w:color="auto"/>
        <w:right w:val="none" w:sz="0" w:space="0" w:color="auto"/>
      </w:divBdr>
      <w:divsChild>
        <w:div w:id="940799842">
          <w:marLeft w:val="360"/>
          <w:marRight w:val="0"/>
          <w:marTop w:val="200"/>
          <w:marBottom w:val="0"/>
          <w:divBdr>
            <w:top w:val="none" w:sz="0" w:space="0" w:color="auto"/>
            <w:left w:val="none" w:sz="0" w:space="0" w:color="auto"/>
            <w:bottom w:val="none" w:sz="0" w:space="0" w:color="auto"/>
            <w:right w:val="none" w:sz="0" w:space="0" w:color="auto"/>
          </w:divBdr>
        </w:div>
        <w:div w:id="854461760">
          <w:marLeft w:val="1080"/>
          <w:marRight w:val="0"/>
          <w:marTop w:val="100"/>
          <w:marBottom w:val="0"/>
          <w:divBdr>
            <w:top w:val="none" w:sz="0" w:space="0" w:color="auto"/>
            <w:left w:val="none" w:sz="0" w:space="0" w:color="auto"/>
            <w:bottom w:val="none" w:sz="0" w:space="0" w:color="auto"/>
            <w:right w:val="none" w:sz="0" w:space="0" w:color="auto"/>
          </w:divBdr>
        </w:div>
      </w:divsChild>
    </w:div>
    <w:div w:id="1661888575">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800861">
      <w:bodyDiv w:val="1"/>
      <w:marLeft w:val="0"/>
      <w:marRight w:val="0"/>
      <w:marTop w:val="0"/>
      <w:marBottom w:val="0"/>
      <w:divBdr>
        <w:top w:val="none" w:sz="0" w:space="0" w:color="auto"/>
        <w:left w:val="none" w:sz="0" w:space="0" w:color="auto"/>
        <w:bottom w:val="none" w:sz="0" w:space="0" w:color="auto"/>
        <w:right w:val="none" w:sz="0" w:space="0" w:color="auto"/>
      </w:divBdr>
      <w:divsChild>
        <w:div w:id="1600093418">
          <w:marLeft w:val="360"/>
          <w:marRight w:val="0"/>
          <w:marTop w:val="200"/>
          <w:marBottom w:val="0"/>
          <w:divBdr>
            <w:top w:val="none" w:sz="0" w:space="0" w:color="auto"/>
            <w:left w:val="none" w:sz="0" w:space="0" w:color="auto"/>
            <w:bottom w:val="none" w:sz="0" w:space="0" w:color="auto"/>
            <w:right w:val="none" w:sz="0" w:space="0" w:color="auto"/>
          </w:divBdr>
        </w:div>
        <w:div w:id="528181752">
          <w:marLeft w:val="1080"/>
          <w:marRight w:val="0"/>
          <w:marTop w:val="10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2693545">
      <w:bodyDiv w:val="1"/>
      <w:marLeft w:val="0"/>
      <w:marRight w:val="0"/>
      <w:marTop w:val="0"/>
      <w:marBottom w:val="0"/>
      <w:divBdr>
        <w:top w:val="none" w:sz="0" w:space="0" w:color="auto"/>
        <w:left w:val="none" w:sz="0" w:space="0" w:color="auto"/>
        <w:bottom w:val="none" w:sz="0" w:space="0" w:color="auto"/>
        <w:right w:val="none" w:sz="0" w:space="0" w:color="auto"/>
      </w:divBdr>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CA65C-47AD-4D8D-BEEE-E0246A08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9</cp:revision>
  <cp:lastPrinted>2007-04-24T00:59:00Z</cp:lastPrinted>
  <dcterms:created xsi:type="dcterms:W3CDTF">2022-02-14T06:25:00Z</dcterms:created>
  <dcterms:modified xsi:type="dcterms:W3CDTF">2022-02-14T10:17:00Z</dcterms:modified>
</cp:coreProperties>
</file>