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78D9DF6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30995" w:rsidRPr="00E30995">
        <w:rPr>
          <w:rFonts w:ascii="Arial" w:hAnsi="Arial" w:cs="Arial"/>
          <w:b/>
          <w:sz w:val="24"/>
          <w:szCs w:val="24"/>
        </w:rPr>
        <w:t>R4-220378</w:t>
      </w:r>
      <w:r w:rsidR="00E30995">
        <w:rPr>
          <w:rFonts w:ascii="Arial" w:hAnsi="Arial" w:cs="Arial"/>
          <w:b/>
          <w:sz w:val="24"/>
          <w:szCs w:val="24"/>
        </w:rPr>
        <w:t>2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14AB13B9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0654D" w:rsidRPr="00C0654D">
        <w:rPr>
          <w:sz w:val="24"/>
          <w:szCs w:val="24"/>
        </w:rPr>
        <w:t>10.20.4.</w:t>
      </w:r>
      <w:r w:rsidR="00AB42D5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0CEFB9E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AB42D5" w:rsidRPr="00AB42D5">
        <w:rPr>
          <w:sz w:val="24"/>
          <w:szCs w:val="24"/>
        </w:rPr>
        <w:t>On CSI Reporting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43AF6024" w:rsidR="00C94AC7" w:rsidRPr="00316E46" w:rsidRDefault="00C94AC7" w:rsidP="00C94AC7">
      <w:pPr>
        <w:spacing w:after="120"/>
        <w:rPr>
          <w:sz w:val="20"/>
          <w:szCs w:val="20"/>
        </w:rPr>
      </w:pPr>
      <w:r w:rsidRPr="005061B4">
        <w:rPr>
          <w:sz w:val="20"/>
          <w:szCs w:val="20"/>
        </w:rPr>
        <w:t>In RAN4#10</w:t>
      </w:r>
      <w:r w:rsidR="00932C93" w:rsidRPr="005061B4">
        <w:rPr>
          <w:sz w:val="20"/>
          <w:szCs w:val="20"/>
        </w:rPr>
        <w:t>1-bis</w:t>
      </w:r>
      <w:r w:rsidRPr="005061B4">
        <w:rPr>
          <w:sz w:val="20"/>
          <w:szCs w:val="20"/>
        </w:rPr>
        <w:t xml:space="preserve">-e </w:t>
      </w:r>
      <w:r w:rsidR="00C0654D" w:rsidRPr="005061B4">
        <w:rPr>
          <w:sz w:val="20"/>
          <w:szCs w:val="20"/>
        </w:rPr>
        <w:t>UE</w:t>
      </w:r>
      <w:r w:rsidRPr="005061B4">
        <w:rPr>
          <w:sz w:val="20"/>
          <w:szCs w:val="20"/>
        </w:rPr>
        <w:t xml:space="preserve"> demodulation</w:t>
      </w:r>
      <w:r w:rsidR="00C0654D" w:rsidRPr="005061B4">
        <w:rPr>
          <w:sz w:val="20"/>
          <w:szCs w:val="20"/>
        </w:rPr>
        <w:t xml:space="preserve"> and CSI</w:t>
      </w:r>
      <w:r w:rsidRPr="005061B4">
        <w:rPr>
          <w:sz w:val="20"/>
          <w:szCs w:val="20"/>
        </w:rPr>
        <w:t xml:space="preserve"> requirements </w:t>
      </w:r>
      <w:r w:rsidR="00C0654D" w:rsidRPr="005061B4">
        <w:rPr>
          <w:sz w:val="20"/>
          <w:szCs w:val="20"/>
        </w:rPr>
        <w:t xml:space="preserve">for </w:t>
      </w:r>
      <w:proofErr w:type="spellStart"/>
      <w:r w:rsidR="00C0654D" w:rsidRPr="005061B4">
        <w:rPr>
          <w:sz w:val="20"/>
          <w:szCs w:val="20"/>
        </w:rPr>
        <w:t>RedCap</w:t>
      </w:r>
      <w:proofErr w:type="spellEnd"/>
      <w:r w:rsidR="00C0654D" w:rsidRPr="005061B4">
        <w:rPr>
          <w:sz w:val="20"/>
          <w:szCs w:val="20"/>
        </w:rPr>
        <w:t xml:space="preserve"> devices</w:t>
      </w:r>
      <w:r w:rsidRPr="005061B4">
        <w:rPr>
          <w:sz w:val="20"/>
          <w:szCs w:val="20"/>
        </w:rPr>
        <w:t xml:space="preserve"> was discussed and way forward [1] was agreed. In this contribution we present our views on </w:t>
      </w:r>
      <w:r w:rsidR="00C759B1">
        <w:rPr>
          <w:sz w:val="20"/>
          <w:szCs w:val="20"/>
        </w:rPr>
        <w:t>PDCCH and PBCH</w:t>
      </w:r>
      <w:r w:rsidR="005061B4">
        <w:rPr>
          <w:sz w:val="20"/>
          <w:szCs w:val="20"/>
        </w:rPr>
        <w:t xml:space="preserve"> </w:t>
      </w:r>
      <w:proofErr w:type="spellStart"/>
      <w:r w:rsidR="005061B4">
        <w:rPr>
          <w:sz w:val="20"/>
          <w:szCs w:val="20"/>
        </w:rPr>
        <w:t>demod</w:t>
      </w:r>
      <w:proofErr w:type="spellEnd"/>
      <w:r w:rsidRPr="005061B4">
        <w:rPr>
          <w:sz w:val="20"/>
          <w:szCs w:val="20"/>
        </w:rPr>
        <w:t xml:space="preserve"> requirements </w:t>
      </w:r>
      <w:r w:rsidR="005061B4">
        <w:rPr>
          <w:sz w:val="20"/>
          <w:szCs w:val="20"/>
        </w:rPr>
        <w:t xml:space="preserve">for </w:t>
      </w:r>
      <w:proofErr w:type="spellStart"/>
      <w:r w:rsidR="005061B4">
        <w:rPr>
          <w:sz w:val="20"/>
          <w:szCs w:val="20"/>
        </w:rPr>
        <w:t>RedCap</w:t>
      </w:r>
      <w:proofErr w:type="spellEnd"/>
      <w:r w:rsidR="005061B4">
        <w:rPr>
          <w:sz w:val="20"/>
          <w:szCs w:val="20"/>
        </w:rPr>
        <w:t xml:space="preserve"> UE</w:t>
      </w:r>
      <w:r w:rsidRPr="005061B4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04897D52" w:rsidR="009F52D7" w:rsidRPr="00E927A8" w:rsidRDefault="00AB42D5" w:rsidP="009F52D7">
      <w:pPr>
        <w:pStyle w:val="Heading2"/>
      </w:pPr>
      <w:r w:rsidRPr="00E927A8">
        <w:t>CQI Reporting</w:t>
      </w:r>
      <w:r w:rsidR="00C0654D" w:rsidRPr="00E927A8">
        <w:t xml:space="preserve"> Requirements</w:t>
      </w:r>
    </w:p>
    <w:p w14:paraId="6BB3AD6B" w14:textId="78F28946" w:rsidR="009F52D7" w:rsidRDefault="00E927A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CQI reporting requirements in [1]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27A8" w14:paraId="5C9A8407" w14:textId="77777777" w:rsidTr="00E927A8">
        <w:tc>
          <w:tcPr>
            <w:tcW w:w="9350" w:type="dxa"/>
          </w:tcPr>
          <w:p w14:paraId="41626279" w14:textId="77777777" w:rsidR="00E927A8" w:rsidRPr="00E927A8" w:rsidRDefault="00E927A8" w:rsidP="00E927A8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Define CQI reporting tests for both static condition and fading condition for </w:t>
            </w:r>
            <w:proofErr w:type="spellStart"/>
            <w:r w:rsidRPr="00E927A8">
              <w:rPr>
                <w:rFonts w:eastAsia="SimSun"/>
                <w:sz w:val="20"/>
                <w:szCs w:val="20"/>
                <w:lang w:eastAsia="en-GB"/>
              </w:rPr>
              <w:t>RedCap</w:t>
            </w:r>
            <w:proofErr w:type="spellEnd"/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 1Rx/2Rx UE.</w:t>
            </w:r>
          </w:p>
          <w:p w14:paraId="76689D83" w14:textId="77777777" w:rsidR="00E927A8" w:rsidRPr="00E927A8" w:rsidRDefault="00E927A8" w:rsidP="00E927A8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For the fading condition define wideband CQI reporting test only. </w:t>
            </w:r>
          </w:p>
          <w:p w14:paraId="266F9776" w14:textId="77777777" w:rsidR="00E927A8" w:rsidRPr="00E927A8" w:rsidRDefault="00E927A8" w:rsidP="00E927A8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Use CQI table 1 for </w:t>
            </w:r>
            <w:proofErr w:type="spellStart"/>
            <w:r w:rsidRPr="00E927A8">
              <w:rPr>
                <w:rFonts w:eastAsia="SimSun"/>
                <w:sz w:val="20"/>
                <w:szCs w:val="20"/>
                <w:lang w:eastAsia="en-GB"/>
              </w:rPr>
              <w:t>RedCap</w:t>
            </w:r>
            <w:proofErr w:type="spellEnd"/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 UE CQI reporting requirements.</w:t>
            </w:r>
          </w:p>
          <w:p w14:paraId="221260DC" w14:textId="77777777" w:rsidR="00E927A8" w:rsidRPr="00E927A8" w:rsidRDefault="00E927A8" w:rsidP="00E927A8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For 2Rx tests for FR1 FDD, </w:t>
            </w:r>
          </w:p>
          <w:p w14:paraId="361AAD57" w14:textId="77777777" w:rsidR="00E927A8" w:rsidRPr="00E927A8" w:rsidRDefault="00E927A8" w:rsidP="00E927A8">
            <w:pPr>
              <w:numPr>
                <w:ilvl w:val="2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 xml:space="preserve">Define new 2Rx tests for FR1 FDD with CQI table 1 </w:t>
            </w:r>
          </w:p>
          <w:p w14:paraId="2F36990E" w14:textId="49F4C74D" w:rsidR="00E927A8" w:rsidRPr="00E927A8" w:rsidRDefault="00E927A8" w:rsidP="005B410D">
            <w:pPr>
              <w:numPr>
                <w:ilvl w:val="2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927A8">
              <w:rPr>
                <w:rFonts w:eastAsia="SimSun"/>
                <w:sz w:val="20"/>
                <w:szCs w:val="20"/>
                <w:lang w:eastAsia="en-GB"/>
              </w:rPr>
              <w:t>FFS whether to define test with CQI table 2 for Redcap UE supporting 256 QAM. If agreed, existing test requirements can be reused</w:t>
            </w:r>
          </w:p>
        </w:tc>
      </w:tr>
    </w:tbl>
    <w:p w14:paraId="0B893D2A" w14:textId="77777777" w:rsidR="00E927A8" w:rsidRDefault="00E927A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3E2E0D7" w14:textId="77777777" w:rsidR="004E4869" w:rsidRDefault="004E486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Supporting </w:t>
      </w:r>
      <w:r w:rsidR="001E3DA1">
        <w:rPr>
          <w:rFonts w:eastAsia="SimSun"/>
          <w:sz w:val="20"/>
          <w:szCs w:val="20"/>
          <w:lang w:val="en-GB" w:eastAsia="en-GB"/>
        </w:rPr>
        <w:t xml:space="preserve">256QAM is optional for </w:t>
      </w:r>
      <w:proofErr w:type="spellStart"/>
      <w:r w:rsidR="001E3DA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1E3DA1">
        <w:rPr>
          <w:rFonts w:eastAsia="SimSun"/>
          <w:sz w:val="20"/>
          <w:szCs w:val="20"/>
          <w:lang w:val="en-GB" w:eastAsia="en-GB"/>
        </w:rPr>
        <w:t xml:space="preserve"> UEs. </w:t>
      </w:r>
      <w:r>
        <w:rPr>
          <w:rFonts w:eastAsia="SimSun"/>
          <w:sz w:val="20"/>
          <w:szCs w:val="20"/>
          <w:lang w:val="en-GB" w:eastAsia="en-GB"/>
        </w:rPr>
        <w:t xml:space="preserve">We don’t need to introduce requirements for 256QAM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69926C20" w14:textId="01B44352" w:rsidR="005061B4" w:rsidRDefault="004E486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Do not introduce CQI reporting requirements with 256QAM CQI table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F938D5" w:rsidRPr="00F938D5">
        <w:rPr>
          <w:rFonts w:eastAsia="SimSun"/>
          <w:b/>
          <w:bCs/>
          <w:sz w:val="20"/>
          <w:szCs w:val="20"/>
          <w:lang w:val="en-GB" w:eastAsia="en-GB"/>
        </w:rPr>
        <w:t xml:space="preserve">for </w:t>
      </w:r>
      <w:proofErr w:type="spellStart"/>
      <w:r w:rsidR="00F938D5" w:rsidRPr="00F938D5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="00F938D5" w:rsidRPr="00F938D5"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3FE54A1A" w14:textId="339BE008" w:rsidR="005061B4" w:rsidRPr="00F938D5" w:rsidRDefault="00AB42D5" w:rsidP="005061B4">
      <w:pPr>
        <w:pStyle w:val="Heading2"/>
      </w:pPr>
      <w:r w:rsidRPr="00F938D5">
        <w:t>PMI/RI Reporting</w:t>
      </w:r>
      <w:r w:rsidR="005061B4" w:rsidRPr="00F938D5">
        <w:t xml:space="preserve"> Requirements</w:t>
      </w:r>
    </w:p>
    <w:p w14:paraId="5A589E96" w14:textId="1C354082" w:rsidR="005061B4" w:rsidRDefault="00F938D5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PMI and RI reporting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are still FFS.</w:t>
      </w:r>
    </w:p>
    <w:p w14:paraId="41F86D81" w14:textId="209B3981" w:rsidR="00F938D5" w:rsidRDefault="00F938D5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From the options discussed in [1]:</w:t>
      </w:r>
    </w:p>
    <w:p w14:paraId="72B52F05" w14:textId="77777777" w:rsidR="00F938D5" w:rsidRPr="00F938D5" w:rsidRDefault="00F938D5" w:rsidP="00F938D5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938D5">
        <w:rPr>
          <w:rFonts w:eastAsia="SimSun"/>
          <w:sz w:val="20"/>
          <w:szCs w:val="20"/>
          <w:lang w:eastAsia="en-GB"/>
        </w:rPr>
        <w:t xml:space="preserve">RAN4 discuss further whether to define PMI reporting tests for </w:t>
      </w:r>
      <w:proofErr w:type="spellStart"/>
      <w:r w:rsidRPr="00F938D5">
        <w:rPr>
          <w:rFonts w:eastAsia="SimSun"/>
          <w:sz w:val="20"/>
          <w:szCs w:val="20"/>
          <w:lang w:eastAsia="en-GB"/>
        </w:rPr>
        <w:t>RedCap</w:t>
      </w:r>
      <w:proofErr w:type="spellEnd"/>
      <w:r w:rsidRPr="00F938D5">
        <w:rPr>
          <w:rFonts w:eastAsia="SimSun"/>
          <w:sz w:val="20"/>
          <w:szCs w:val="20"/>
          <w:lang w:eastAsia="en-GB"/>
        </w:rPr>
        <w:t xml:space="preserve"> UE.</w:t>
      </w:r>
    </w:p>
    <w:p w14:paraId="2BD9D737" w14:textId="77777777" w:rsidR="00F938D5" w:rsidRPr="00F938D5" w:rsidRDefault="00F938D5" w:rsidP="00F938D5">
      <w:pPr>
        <w:numPr>
          <w:ilvl w:val="1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938D5">
        <w:rPr>
          <w:rFonts w:eastAsia="SimSun"/>
          <w:sz w:val="20"/>
          <w:szCs w:val="20"/>
          <w:lang w:eastAsia="en-GB"/>
        </w:rPr>
        <w:t>Option 1: Define for both 1Rx UE and 2Rx UE</w:t>
      </w:r>
    </w:p>
    <w:p w14:paraId="5F223152" w14:textId="77777777" w:rsidR="00F938D5" w:rsidRPr="00F938D5" w:rsidRDefault="00F938D5" w:rsidP="00F938D5">
      <w:pPr>
        <w:numPr>
          <w:ilvl w:val="1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938D5">
        <w:rPr>
          <w:rFonts w:eastAsia="SimSun"/>
          <w:sz w:val="20"/>
          <w:szCs w:val="20"/>
          <w:lang w:eastAsia="en-GB"/>
        </w:rPr>
        <w:t>Option 2: Not define for both 1Rx UE and 2Rx UE</w:t>
      </w:r>
    </w:p>
    <w:p w14:paraId="3DCAF68C" w14:textId="77777777" w:rsidR="00F938D5" w:rsidRPr="00F938D5" w:rsidRDefault="00F938D5" w:rsidP="00F938D5">
      <w:pPr>
        <w:numPr>
          <w:ilvl w:val="1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938D5">
        <w:rPr>
          <w:rFonts w:eastAsia="SimSun"/>
          <w:sz w:val="20"/>
          <w:szCs w:val="20"/>
          <w:lang w:eastAsia="en-GB"/>
        </w:rPr>
        <w:t>Option 3 Define only for 2Rx UE</w:t>
      </w:r>
    </w:p>
    <w:p w14:paraId="2E6137F2" w14:textId="77777777" w:rsidR="00F938D5" w:rsidRPr="00F938D5" w:rsidRDefault="00F938D5" w:rsidP="00F938D5">
      <w:pPr>
        <w:numPr>
          <w:ilvl w:val="0"/>
          <w:numId w:val="4"/>
        </w:numPr>
        <w:spacing w:after="120"/>
        <w:rPr>
          <w:rFonts w:eastAsia="SimSun"/>
          <w:sz w:val="20"/>
          <w:szCs w:val="20"/>
          <w:lang w:eastAsia="en-GB"/>
        </w:rPr>
      </w:pPr>
      <w:r w:rsidRPr="00F938D5">
        <w:rPr>
          <w:rFonts w:eastAsia="SimSun"/>
          <w:sz w:val="20"/>
          <w:szCs w:val="20"/>
          <w:lang w:eastAsia="en-GB"/>
        </w:rPr>
        <w:t>If PMI reporting test is defined, discuss further applied test cases</w:t>
      </w:r>
    </w:p>
    <w:p w14:paraId="727D77A2" w14:textId="52636AAD" w:rsidR="003A0A54" w:rsidRDefault="008B5C20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Firstly,</w:t>
      </w:r>
      <w:r w:rsidR="00F938D5">
        <w:rPr>
          <w:rFonts w:eastAsia="SimSun"/>
          <w:sz w:val="20"/>
          <w:szCs w:val="20"/>
          <w:lang w:val="en-GB" w:eastAsia="en-GB"/>
        </w:rPr>
        <w:t xml:space="preserve"> we think we should have the same set of </w:t>
      </w:r>
      <w:r w:rsidR="003A0A54">
        <w:rPr>
          <w:rFonts w:eastAsia="SimSun"/>
          <w:sz w:val="20"/>
          <w:szCs w:val="20"/>
          <w:lang w:val="en-GB" w:eastAsia="en-GB"/>
        </w:rPr>
        <w:t>test cases</w:t>
      </w:r>
      <w:r w:rsidR="00F938D5">
        <w:rPr>
          <w:rFonts w:eastAsia="SimSun"/>
          <w:sz w:val="20"/>
          <w:szCs w:val="20"/>
          <w:lang w:val="en-GB" w:eastAsia="en-GB"/>
        </w:rPr>
        <w:t xml:space="preserve"> for 2RX and 1RX for </w:t>
      </w:r>
      <w:proofErr w:type="spellStart"/>
      <w:r w:rsidR="00F938D5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F938D5">
        <w:rPr>
          <w:rFonts w:eastAsia="SimSun"/>
          <w:sz w:val="20"/>
          <w:szCs w:val="20"/>
          <w:lang w:val="en-GB" w:eastAsia="en-GB"/>
        </w:rPr>
        <w:t xml:space="preserve"> </w:t>
      </w:r>
      <w:proofErr w:type="gramStart"/>
      <w:r w:rsidR="00F938D5">
        <w:rPr>
          <w:rFonts w:eastAsia="SimSun"/>
          <w:sz w:val="20"/>
          <w:szCs w:val="20"/>
          <w:lang w:val="en-GB" w:eastAsia="en-GB"/>
        </w:rPr>
        <w:t>in order to</w:t>
      </w:r>
      <w:proofErr w:type="gramEnd"/>
      <w:r w:rsidR="00F938D5">
        <w:rPr>
          <w:rFonts w:eastAsia="SimSun"/>
          <w:sz w:val="20"/>
          <w:szCs w:val="20"/>
          <w:lang w:val="en-GB" w:eastAsia="en-GB"/>
        </w:rPr>
        <w:t xml:space="preserve"> reduce testing efforts and introduce applicability rules between 1RX and 2RX requirements. </w:t>
      </w:r>
      <w:r w:rsidR="003A0A54">
        <w:rPr>
          <w:rFonts w:eastAsia="SimSun"/>
          <w:sz w:val="20"/>
          <w:szCs w:val="20"/>
          <w:lang w:val="en-GB" w:eastAsia="en-GB"/>
        </w:rPr>
        <w:t>We already have agreed to this in [1] for TDD.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0A54" w14:paraId="74EAF333" w14:textId="77777777" w:rsidTr="003A0A54">
        <w:tc>
          <w:tcPr>
            <w:tcW w:w="9350" w:type="dxa"/>
          </w:tcPr>
          <w:p w14:paraId="7065AD2A" w14:textId="77777777" w:rsidR="003A0A54" w:rsidRPr="003A0A54" w:rsidRDefault="003A0A54" w:rsidP="003A0A54">
            <w:pPr>
              <w:numPr>
                <w:ilvl w:val="0"/>
                <w:numId w:val="5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A0A54">
              <w:rPr>
                <w:rFonts w:eastAsia="SimSun"/>
                <w:sz w:val="20"/>
                <w:szCs w:val="20"/>
                <w:lang w:eastAsia="en-GB"/>
              </w:rPr>
              <w:lastRenderedPageBreak/>
              <w:t>Define 2Rx FR1 TDD demodulation (e.g., PBCH, PDCCH and PDSCH) and CSI requirements (e.g., CQI, PMI and RI) with channel bandwidth equal to 20MHz.</w:t>
            </w:r>
          </w:p>
          <w:p w14:paraId="72886080" w14:textId="5C043EBA" w:rsidR="003A0A54" w:rsidRPr="003A0A54" w:rsidRDefault="003A0A54" w:rsidP="005061B4">
            <w:pPr>
              <w:numPr>
                <w:ilvl w:val="0"/>
                <w:numId w:val="5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A0A54">
              <w:rPr>
                <w:rFonts w:eastAsia="SimSun"/>
                <w:sz w:val="20"/>
                <w:szCs w:val="20"/>
                <w:lang w:eastAsia="en-GB"/>
              </w:rPr>
              <w:t>Keep the requirements aligned between 2Rx and 1Rx.</w:t>
            </w:r>
          </w:p>
        </w:tc>
      </w:tr>
    </w:tbl>
    <w:p w14:paraId="4B004D2F" w14:textId="2ACB4A8A" w:rsidR="003A0A54" w:rsidRDefault="003A0A54" w:rsidP="005061B4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1033CAB" w14:textId="74EF2F11" w:rsidR="003A0A54" w:rsidRPr="00015581" w:rsidRDefault="003A0A54" w:rsidP="003A0A54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015581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We have agreement to define the same requirements for 1RX and 2RX for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for TDD.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015581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</w:p>
    <w:p w14:paraId="53F74AF3" w14:textId="77777777" w:rsidR="003A0A54" w:rsidRDefault="003A0A54" w:rsidP="005061B4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DF9D157" w14:textId="590A12BB" w:rsidR="00F938D5" w:rsidRDefault="003A0A54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 </w:t>
      </w:r>
      <w:proofErr w:type="gramStart"/>
      <w:r w:rsidR="008B5C20">
        <w:rPr>
          <w:rFonts w:eastAsia="SimSun"/>
          <w:sz w:val="20"/>
          <w:szCs w:val="20"/>
          <w:lang w:val="en-GB" w:eastAsia="en-GB"/>
        </w:rPr>
        <w:t>In order to</w:t>
      </w:r>
      <w:proofErr w:type="gramEnd"/>
      <w:r w:rsidR="008B5C20">
        <w:rPr>
          <w:rFonts w:eastAsia="SimSun"/>
          <w:sz w:val="20"/>
          <w:szCs w:val="20"/>
          <w:lang w:val="en-GB" w:eastAsia="en-GB"/>
        </w:rPr>
        <w:t xml:space="preserve"> reduce the number of requirements for </w:t>
      </w:r>
      <w:proofErr w:type="spellStart"/>
      <w:r w:rsidR="008B5C20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8B5C20">
        <w:rPr>
          <w:rFonts w:eastAsia="SimSun"/>
          <w:sz w:val="20"/>
          <w:szCs w:val="20"/>
          <w:lang w:val="en-GB" w:eastAsia="en-GB"/>
        </w:rPr>
        <w:t xml:space="preserve"> UE we propose not to introduce PMI reporting requirements. </w:t>
      </w:r>
    </w:p>
    <w:p w14:paraId="0BC465A5" w14:textId="2D4C789C" w:rsidR="008B5C20" w:rsidRDefault="008B5C20" w:rsidP="005061B4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PMI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for either 1RX or 2RX.</w:t>
      </w:r>
    </w:p>
    <w:p w14:paraId="69BBB61C" w14:textId="63243FC6" w:rsidR="008B5C20" w:rsidRDefault="00015581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RI reporting is also not needed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to reduce the UE implementation complexity and testing burden. Moreover, RI reporting can only be for 2RX and 2 layers which is subject to UE capability. Hence, </w:t>
      </w:r>
      <w:r w:rsidR="003A0A54">
        <w:rPr>
          <w:rFonts w:eastAsia="SimSun"/>
          <w:sz w:val="20"/>
          <w:szCs w:val="20"/>
          <w:lang w:val="en-GB" w:eastAsia="en-GB"/>
        </w:rPr>
        <w:t xml:space="preserve">we don’t see the necessity to introduce RI reporting requirements for 2RX for </w:t>
      </w:r>
      <w:proofErr w:type="spellStart"/>
      <w:r w:rsidR="003A0A54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3A0A54">
        <w:rPr>
          <w:rFonts w:eastAsia="SimSun"/>
          <w:sz w:val="20"/>
          <w:szCs w:val="20"/>
          <w:lang w:val="en-GB" w:eastAsia="en-GB"/>
        </w:rPr>
        <w:t>.</w:t>
      </w:r>
    </w:p>
    <w:p w14:paraId="00AF8C70" w14:textId="2BDCFC6B" w:rsidR="003A0A54" w:rsidRPr="00B80A98" w:rsidRDefault="00B80A98" w:rsidP="005061B4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Do not define RI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06E5FB45" w14:textId="77777777" w:rsidR="005061B4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541AFA8" w14:textId="77777777" w:rsidR="005061B4" w:rsidRPr="005B410D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78D6795E" w:rsidR="009F52D7" w:rsidRPr="005B410D" w:rsidRDefault="009F52D7" w:rsidP="005B410D">
      <w:pPr>
        <w:spacing w:after="120"/>
        <w:rPr>
          <w:sz w:val="20"/>
          <w:szCs w:val="20"/>
        </w:rPr>
      </w:pPr>
      <w:r w:rsidRPr="00B80A98">
        <w:rPr>
          <w:sz w:val="20"/>
          <w:szCs w:val="20"/>
        </w:rPr>
        <w:t xml:space="preserve">In this paper, we provide </w:t>
      </w:r>
      <w:r w:rsidR="005061B4" w:rsidRPr="00B80A98">
        <w:rPr>
          <w:sz w:val="20"/>
          <w:szCs w:val="20"/>
        </w:rPr>
        <w:t xml:space="preserve">our views on </w:t>
      </w:r>
      <w:r w:rsidR="00B80A98" w:rsidRPr="00B80A98">
        <w:rPr>
          <w:sz w:val="20"/>
          <w:szCs w:val="20"/>
        </w:rPr>
        <w:t>CSI reporting</w:t>
      </w:r>
      <w:r w:rsidR="00C759B1" w:rsidRPr="00B80A98">
        <w:rPr>
          <w:sz w:val="20"/>
          <w:szCs w:val="20"/>
        </w:rPr>
        <w:t xml:space="preserve"> requirements </w:t>
      </w:r>
      <w:r w:rsidR="005061B4" w:rsidRPr="00B80A98">
        <w:rPr>
          <w:sz w:val="20"/>
          <w:szCs w:val="20"/>
        </w:rPr>
        <w:t xml:space="preserve">for </w:t>
      </w:r>
      <w:proofErr w:type="spellStart"/>
      <w:r w:rsidR="005061B4" w:rsidRPr="00B80A98">
        <w:rPr>
          <w:sz w:val="20"/>
          <w:szCs w:val="20"/>
        </w:rPr>
        <w:t>RedCap</w:t>
      </w:r>
      <w:proofErr w:type="spellEnd"/>
      <w:r w:rsidR="005061B4" w:rsidRPr="00B80A98">
        <w:rPr>
          <w:sz w:val="20"/>
          <w:szCs w:val="20"/>
        </w:rPr>
        <w:t xml:space="preserve"> UE</w:t>
      </w:r>
      <w:r w:rsidRPr="00B80A98">
        <w:rPr>
          <w:sz w:val="20"/>
          <w:szCs w:val="20"/>
        </w:rPr>
        <w:t>. Our observations and proposals are captured below:</w:t>
      </w:r>
    </w:p>
    <w:p w14:paraId="035D447A" w14:textId="77777777" w:rsidR="00B80A98" w:rsidRDefault="00B80A98" w:rsidP="00B80A9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Do not introduce CQI reporting requirements with 256QAM CQI table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F938D5">
        <w:rPr>
          <w:rFonts w:eastAsia="SimSun"/>
          <w:b/>
          <w:bCs/>
          <w:sz w:val="20"/>
          <w:szCs w:val="20"/>
          <w:lang w:val="en-GB" w:eastAsia="en-GB"/>
        </w:rPr>
        <w:t xml:space="preserve">for </w:t>
      </w:r>
      <w:proofErr w:type="spellStart"/>
      <w:r w:rsidRPr="00F938D5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Pr="00F938D5"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2C18A814" w14:textId="77777777" w:rsidR="00B80A98" w:rsidRPr="00015581" w:rsidRDefault="00B80A98" w:rsidP="00B80A9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015581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We have agreement to define the same requirements for 1RX and 2RX for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for TDD.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015581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</w:p>
    <w:p w14:paraId="48F4E41A" w14:textId="77777777" w:rsidR="00B80A98" w:rsidRDefault="00B80A98" w:rsidP="00B80A9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PMI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for either 1RX or 2RX.</w:t>
      </w:r>
    </w:p>
    <w:p w14:paraId="1D6FC5B4" w14:textId="77777777" w:rsidR="00B80A98" w:rsidRPr="00B80A98" w:rsidRDefault="00B80A98" w:rsidP="00B80A9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Do not define RI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4CF47872" w:rsidR="00C94AC7" w:rsidRPr="00C0654D" w:rsidRDefault="00C0654D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0654D">
        <w:rPr>
          <w:rFonts w:ascii="Times New Roman" w:hAnsi="Times New Roman" w:cs="Times New Roman"/>
          <w:sz w:val="20"/>
          <w:szCs w:val="20"/>
          <w:lang w:val="en-GB"/>
        </w:rPr>
        <w:t>R4-2203032</w:t>
      </w:r>
      <w:r w:rsidR="00C94AC7" w:rsidRPr="00C0654D">
        <w:rPr>
          <w:rFonts w:ascii="Times New Roman" w:hAnsi="Times New Roman" w:cs="Times New Roman"/>
          <w:sz w:val="20"/>
          <w:szCs w:val="20"/>
        </w:rPr>
        <w:t>, “</w:t>
      </w:r>
      <w:r w:rsidRPr="00C0654D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0654D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0654D">
        <w:rPr>
          <w:rFonts w:ascii="Times New Roman" w:hAnsi="Times New Roman" w:cs="Times New Roman"/>
          <w:sz w:val="20"/>
          <w:szCs w:val="20"/>
        </w:rPr>
        <w:t xml:space="preserve"> demodulation and CQI reporting requirements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”, </w:t>
      </w:r>
      <w:r w:rsidRPr="00C0654D">
        <w:rPr>
          <w:rFonts w:ascii="Times New Roman" w:hAnsi="Times New Roman" w:cs="Times New Roman"/>
          <w:sz w:val="20"/>
          <w:szCs w:val="20"/>
        </w:rPr>
        <w:t>Ericsson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1519"/>
    <w:multiLevelType w:val="hybridMultilevel"/>
    <w:tmpl w:val="0712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7967"/>
    <w:multiLevelType w:val="hybridMultilevel"/>
    <w:tmpl w:val="6DFE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5581"/>
    <w:rsid w:val="00121828"/>
    <w:rsid w:val="00177147"/>
    <w:rsid w:val="001A5DDE"/>
    <w:rsid w:val="001B5D0A"/>
    <w:rsid w:val="001C663E"/>
    <w:rsid w:val="001E3DA1"/>
    <w:rsid w:val="002870EA"/>
    <w:rsid w:val="002F4FA3"/>
    <w:rsid w:val="003A0A54"/>
    <w:rsid w:val="0045042E"/>
    <w:rsid w:val="004D1584"/>
    <w:rsid w:val="004E4869"/>
    <w:rsid w:val="005061B4"/>
    <w:rsid w:val="0057184D"/>
    <w:rsid w:val="005B410D"/>
    <w:rsid w:val="005D1B1F"/>
    <w:rsid w:val="00626BDE"/>
    <w:rsid w:val="007775F6"/>
    <w:rsid w:val="007A23C4"/>
    <w:rsid w:val="007A3BE1"/>
    <w:rsid w:val="007C626C"/>
    <w:rsid w:val="008B5C20"/>
    <w:rsid w:val="00924CB2"/>
    <w:rsid w:val="00932C93"/>
    <w:rsid w:val="00951300"/>
    <w:rsid w:val="009D596C"/>
    <w:rsid w:val="009F52D7"/>
    <w:rsid w:val="00A211CC"/>
    <w:rsid w:val="00AB42D5"/>
    <w:rsid w:val="00B80A98"/>
    <w:rsid w:val="00B8567C"/>
    <w:rsid w:val="00C0654D"/>
    <w:rsid w:val="00C759B1"/>
    <w:rsid w:val="00C94AC7"/>
    <w:rsid w:val="00CD0F63"/>
    <w:rsid w:val="00DB6943"/>
    <w:rsid w:val="00DD024C"/>
    <w:rsid w:val="00DF1ED2"/>
    <w:rsid w:val="00E30995"/>
    <w:rsid w:val="00E5586A"/>
    <w:rsid w:val="00E9138B"/>
    <w:rsid w:val="00E927A8"/>
    <w:rsid w:val="00F441E8"/>
    <w:rsid w:val="00F938D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E9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2022-02-12T03:07:00Z</dcterms:created>
  <dcterms:modified xsi:type="dcterms:W3CDTF">2022-02-12T03:07:00Z</dcterms:modified>
</cp:coreProperties>
</file>