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D1411" w14:textId="35406C02" w:rsidR="00981714" w:rsidRPr="00841BCD" w:rsidRDefault="00981714" w:rsidP="00981714">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End w:id="0"/>
      <w:r w:rsidRPr="00841BCD">
        <w:rPr>
          <w:rFonts w:ascii="Arial" w:eastAsia="SimSun" w:hAnsi="Arial"/>
          <w:b/>
          <w:bCs/>
          <w:sz w:val="24"/>
        </w:rPr>
        <w:t>3GPP T</w:t>
      </w:r>
      <w:bookmarkStart w:id="3" w:name="_Ref452454252"/>
      <w:bookmarkEnd w:id="3"/>
      <w:r w:rsidRPr="00841BCD">
        <w:rPr>
          <w:rFonts w:ascii="Arial" w:eastAsia="SimSun" w:hAnsi="Arial"/>
          <w:b/>
          <w:bCs/>
          <w:sz w:val="24"/>
        </w:rPr>
        <w:t xml:space="preserve">SG-RAN </w:t>
      </w:r>
      <w:r>
        <w:rPr>
          <w:rFonts w:ascii="Arial" w:eastAsia="SimSun" w:hAnsi="Arial"/>
          <w:b/>
          <w:sz w:val="24"/>
        </w:rPr>
        <w:t>WG4 Meeting#10</w:t>
      </w:r>
      <w:r w:rsidR="00EB077C">
        <w:rPr>
          <w:rFonts w:ascii="Arial" w:eastAsia="SimSun" w:hAnsi="Arial"/>
          <w:b/>
          <w:sz w:val="24"/>
        </w:rPr>
        <w:t>2</w:t>
      </w:r>
      <w:r w:rsidR="00C41008">
        <w:rPr>
          <w:rFonts w:ascii="Arial" w:eastAsia="SimSun" w:hAnsi="Arial"/>
          <w:b/>
          <w:sz w:val="24"/>
        </w:rPr>
        <w:t>-e</w:t>
      </w:r>
      <w:r w:rsidRPr="00841BCD">
        <w:rPr>
          <w:rFonts w:ascii="Arial" w:eastAsia="SimSun" w:hAnsi="Arial"/>
          <w:b/>
          <w:sz w:val="24"/>
        </w:rPr>
        <w:t xml:space="preserve">      </w:t>
      </w:r>
      <w:r w:rsidRPr="00841BCD">
        <w:rPr>
          <w:rFonts w:ascii="Arial" w:eastAsia="SimSun" w:hAnsi="Arial"/>
          <w:b/>
          <w:bCs/>
          <w:sz w:val="24"/>
        </w:rPr>
        <w:tab/>
      </w:r>
      <w:r w:rsidRPr="008A1851">
        <w:rPr>
          <w:rFonts w:ascii="Arial" w:eastAsia="SimSun" w:hAnsi="Arial"/>
          <w:b/>
          <w:bCs/>
          <w:sz w:val="24"/>
          <w:highlight w:val="yellow"/>
          <w:lang w:eastAsia="ja-JP"/>
        </w:rPr>
        <w:t>R4-210</w:t>
      </w:r>
    </w:p>
    <w:p w14:paraId="2007BA0D" w14:textId="2CD65C48" w:rsidR="00981714" w:rsidRPr="00841BCD" w:rsidRDefault="00981714" w:rsidP="00981714">
      <w:pPr>
        <w:widowControl w:val="0"/>
        <w:tabs>
          <w:tab w:val="right" w:pos="9639"/>
        </w:tabs>
        <w:spacing w:after="0"/>
        <w:rPr>
          <w:rFonts w:ascii="Arial" w:eastAsia="SimSun" w:hAnsi="Arial"/>
          <w:b/>
          <w:bCs/>
          <w:sz w:val="24"/>
        </w:rPr>
      </w:pPr>
      <w:r>
        <w:rPr>
          <w:rFonts w:ascii="Arial" w:eastAsia="SimSun" w:hAnsi="Arial"/>
          <w:b/>
          <w:sz w:val="24"/>
        </w:rPr>
        <w:t xml:space="preserve">E-meeting, </w:t>
      </w:r>
      <w:r w:rsidR="00EB077C">
        <w:rPr>
          <w:rFonts w:ascii="Arial" w:eastAsia="SimSun" w:hAnsi="Arial"/>
          <w:b/>
          <w:sz w:val="24"/>
        </w:rPr>
        <w:t>21 Feb</w:t>
      </w:r>
      <w:r>
        <w:rPr>
          <w:rFonts w:ascii="Arial" w:eastAsia="SimSun" w:hAnsi="Arial"/>
          <w:b/>
          <w:sz w:val="24"/>
        </w:rPr>
        <w:t xml:space="preserve"> – </w:t>
      </w:r>
      <w:r w:rsidR="00EB077C">
        <w:rPr>
          <w:rFonts w:ascii="Arial" w:eastAsia="SimSun" w:hAnsi="Arial"/>
          <w:b/>
          <w:sz w:val="24"/>
        </w:rPr>
        <w:t>3</w:t>
      </w:r>
      <w:r>
        <w:rPr>
          <w:rFonts w:ascii="Arial" w:eastAsia="SimSun" w:hAnsi="Arial"/>
          <w:b/>
          <w:sz w:val="24"/>
        </w:rPr>
        <w:t xml:space="preserve"> </w:t>
      </w:r>
      <w:proofErr w:type="gramStart"/>
      <w:r w:rsidR="00EB077C">
        <w:rPr>
          <w:rFonts w:ascii="Arial" w:eastAsia="SimSun" w:hAnsi="Arial"/>
          <w:b/>
          <w:sz w:val="24"/>
        </w:rPr>
        <w:t>Mar</w:t>
      </w:r>
      <w:r w:rsidRPr="009C576E">
        <w:rPr>
          <w:rFonts w:ascii="Arial" w:eastAsia="SimSun" w:hAnsi="Arial"/>
          <w:b/>
          <w:sz w:val="24"/>
        </w:rPr>
        <w:t>,</w:t>
      </w:r>
      <w:proofErr w:type="gramEnd"/>
      <w:r>
        <w:rPr>
          <w:rFonts w:ascii="Arial" w:eastAsia="SimSun" w:hAnsi="Arial"/>
          <w:b/>
          <w:sz w:val="24"/>
        </w:rPr>
        <w:t xml:space="preserve"> </w:t>
      </w:r>
      <w:r w:rsidRPr="00841BCD">
        <w:rPr>
          <w:rFonts w:ascii="Arial" w:eastAsia="SimSun" w:hAnsi="Arial"/>
          <w:b/>
          <w:bCs/>
          <w:noProof/>
          <w:sz w:val="24"/>
          <w:lang w:eastAsia="zh-CN"/>
        </w:rPr>
        <w:t>20</w:t>
      </w:r>
      <w:r>
        <w:rPr>
          <w:rFonts w:ascii="Arial" w:eastAsia="SimSun" w:hAnsi="Arial"/>
          <w:b/>
          <w:bCs/>
          <w:noProof/>
          <w:sz w:val="24"/>
          <w:lang w:eastAsia="zh-CN"/>
        </w:rPr>
        <w:t>2</w:t>
      </w:r>
      <w:r w:rsidR="00C41008">
        <w:rPr>
          <w:rFonts w:ascii="Arial" w:eastAsia="SimSun" w:hAnsi="Arial"/>
          <w:b/>
          <w:bCs/>
          <w:noProof/>
          <w:sz w:val="24"/>
          <w:lang w:eastAsia="zh-CN"/>
        </w:rPr>
        <w:t>2</w:t>
      </w:r>
    </w:p>
    <w:bookmarkEnd w:id="1"/>
    <w:bookmarkEnd w:id="2"/>
    <w:p w14:paraId="4E5C2001" w14:textId="77777777" w:rsidR="00B97703" w:rsidRDefault="00B97703">
      <w:pPr>
        <w:rPr>
          <w:rFonts w:ascii="Arial" w:hAnsi="Arial" w:cs="Arial"/>
        </w:rPr>
      </w:pPr>
    </w:p>
    <w:p w14:paraId="0910A0FF" w14:textId="7C0D8600" w:rsidR="00F6297A" w:rsidRDefault="00F6297A" w:rsidP="00D27D6D">
      <w:pPr>
        <w:spacing w:after="60"/>
        <w:ind w:left="1985" w:hanging="1985"/>
        <w:rPr>
          <w:rFonts w:ascii="Arial" w:hAnsi="Arial" w:cs="Arial"/>
          <w:b/>
          <w:sz w:val="22"/>
          <w:szCs w:val="22"/>
        </w:rPr>
      </w:pPr>
      <w:r w:rsidRPr="004E3939">
        <w:rPr>
          <w:rFonts w:ascii="Arial" w:hAnsi="Arial" w:cs="Arial"/>
          <w:b/>
          <w:sz w:val="22"/>
          <w:szCs w:val="22"/>
        </w:rPr>
        <w:t>Title:</w:t>
      </w:r>
      <w:r>
        <w:rPr>
          <w:rFonts w:ascii="Arial" w:hAnsi="Arial" w:cs="Arial"/>
          <w:b/>
          <w:sz w:val="22"/>
          <w:szCs w:val="22"/>
        </w:rPr>
        <w:tab/>
      </w:r>
      <w:r w:rsidR="00C3357B">
        <w:rPr>
          <w:rFonts w:ascii="Arial" w:hAnsi="Arial" w:cs="Arial"/>
          <w:b/>
          <w:sz w:val="22"/>
          <w:szCs w:val="22"/>
        </w:rPr>
        <w:t xml:space="preserve">GTW session material for </w:t>
      </w:r>
      <w:r w:rsidR="00021A52" w:rsidRPr="00021A52">
        <w:rPr>
          <w:rFonts w:ascii="Arial" w:hAnsi="Arial" w:cs="Arial"/>
          <w:b/>
          <w:sz w:val="22"/>
          <w:szCs w:val="22"/>
        </w:rPr>
        <w:t xml:space="preserve">[102-e][125] NR_RF_FR2_enh2_Part_1 </w:t>
      </w:r>
      <w:r w:rsidR="00C3357B">
        <w:rPr>
          <w:rFonts w:ascii="Arial" w:hAnsi="Arial" w:cs="Arial"/>
          <w:b/>
          <w:sz w:val="22"/>
          <w:szCs w:val="22"/>
        </w:rPr>
        <w:t>on 23 of Feb.</w:t>
      </w:r>
    </w:p>
    <w:p w14:paraId="3155ED9A" w14:textId="33768D3E" w:rsidR="00D27D6D" w:rsidRDefault="00D27D6D" w:rsidP="00D27D6D">
      <w:pPr>
        <w:spacing w:after="60"/>
        <w:ind w:left="1985" w:hanging="1985"/>
        <w:rPr>
          <w:rFonts w:ascii="Arial" w:hAnsi="Arial" w:cs="Arial"/>
          <w:b/>
          <w:sz w:val="22"/>
          <w:szCs w:val="22"/>
        </w:rPr>
      </w:pPr>
      <w:r w:rsidRPr="00DA53A0">
        <w:rPr>
          <w:rFonts w:ascii="Arial" w:hAnsi="Arial" w:cs="Arial"/>
          <w:b/>
          <w:sz w:val="22"/>
          <w:szCs w:val="22"/>
        </w:rPr>
        <w:t>Source:</w:t>
      </w:r>
      <w:r w:rsidR="00330EDF">
        <w:rPr>
          <w:rFonts w:ascii="Arial" w:hAnsi="Arial" w:cs="Arial"/>
          <w:b/>
          <w:sz w:val="22"/>
          <w:szCs w:val="22"/>
        </w:rPr>
        <w:tab/>
      </w:r>
      <w:r w:rsidR="00330EDF" w:rsidRPr="00330EDF">
        <w:rPr>
          <w:rFonts w:ascii="Arial" w:hAnsi="Arial" w:cs="Arial"/>
          <w:b/>
          <w:sz w:val="22"/>
          <w:szCs w:val="22"/>
        </w:rPr>
        <w:t>Nokia</w:t>
      </w:r>
    </w:p>
    <w:p w14:paraId="6FC2501C" w14:textId="59867F7E" w:rsidR="00D27D6D" w:rsidRPr="00335D84" w:rsidRDefault="00D27D6D" w:rsidP="00335D84">
      <w:pPr>
        <w:spacing w:after="60"/>
        <w:ind w:left="1985" w:hanging="1985"/>
        <w:rPr>
          <w:rFonts w:ascii="Arial" w:hAnsi="Arial" w:cs="Arial"/>
          <w:b/>
          <w:sz w:val="22"/>
          <w:szCs w:val="22"/>
        </w:rPr>
      </w:pPr>
      <w:r w:rsidRPr="00335D84">
        <w:rPr>
          <w:rFonts w:ascii="Arial" w:hAnsi="Arial" w:cs="Arial"/>
          <w:b/>
          <w:sz w:val="22"/>
          <w:szCs w:val="22"/>
        </w:rPr>
        <w:t>Agenda item:</w:t>
      </w:r>
      <w:r w:rsidRPr="00335D84">
        <w:rPr>
          <w:rFonts w:ascii="Arial" w:hAnsi="Arial" w:cs="Arial"/>
          <w:b/>
          <w:sz w:val="22"/>
          <w:szCs w:val="22"/>
        </w:rPr>
        <w:tab/>
      </w:r>
      <w:r w:rsidR="00021A52" w:rsidRPr="00021A52">
        <w:rPr>
          <w:rFonts w:ascii="Arial" w:hAnsi="Arial" w:cs="Arial"/>
          <w:b/>
          <w:sz w:val="22"/>
          <w:szCs w:val="22"/>
        </w:rPr>
        <w:t>10.4.1, 10.4.2</w:t>
      </w:r>
    </w:p>
    <w:p w14:paraId="0C883BB6" w14:textId="6FD12117" w:rsidR="00D27D6D" w:rsidRPr="00335D84" w:rsidRDefault="00D27D6D" w:rsidP="0FAF5B7A">
      <w:pPr>
        <w:spacing w:after="60"/>
        <w:ind w:left="1985" w:hanging="1985"/>
        <w:rPr>
          <w:rFonts w:ascii="Arial" w:hAnsi="Arial" w:cs="Arial"/>
          <w:b/>
          <w:bCs/>
          <w:sz w:val="22"/>
          <w:szCs w:val="22"/>
        </w:rPr>
      </w:pPr>
      <w:r w:rsidRPr="0FAF5B7A">
        <w:rPr>
          <w:rFonts w:ascii="Arial" w:hAnsi="Arial" w:cs="Arial"/>
          <w:b/>
          <w:bCs/>
          <w:sz w:val="22"/>
          <w:szCs w:val="22"/>
        </w:rPr>
        <w:t>Document for:</w:t>
      </w:r>
      <w:r>
        <w:tab/>
      </w:r>
      <w:r w:rsidR="00980406">
        <w:rPr>
          <w:rFonts w:ascii="Arial" w:hAnsi="Arial" w:cs="Arial"/>
          <w:b/>
          <w:bCs/>
          <w:sz w:val="22"/>
          <w:szCs w:val="22"/>
        </w:rPr>
        <w:t>Discussion</w:t>
      </w:r>
    </w:p>
    <w:p w14:paraId="06D046F4" w14:textId="332A9B82" w:rsidR="00B97703" w:rsidRDefault="000F6242" w:rsidP="00B97703">
      <w:pPr>
        <w:pStyle w:val="Heading1"/>
      </w:pPr>
      <w:r>
        <w:t>1</w:t>
      </w:r>
      <w:r w:rsidR="002F1940">
        <w:tab/>
      </w:r>
      <w:r w:rsidR="00AA7654">
        <w:t>Introduction</w:t>
      </w:r>
    </w:p>
    <w:p w14:paraId="009A8878" w14:textId="77777777" w:rsidR="00DD0E17" w:rsidRDefault="00DD0E17" w:rsidP="00DD0E17">
      <w:pPr>
        <w:pStyle w:val="Heading3"/>
        <w:rPr>
          <w:bCs/>
          <w:sz w:val="24"/>
          <w:szCs w:val="16"/>
          <w:lang w:val="en-US"/>
        </w:rPr>
      </w:pPr>
      <w:r>
        <w:rPr>
          <w:sz w:val="24"/>
          <w:szCs w:val="16"/>
          <w:lang w:val="en-US"/>
        </w:rPr>
        <w:t>Sub-topic 2-1: REFSENS</w:t>
      </w:r>
    </w:p>
    <w:p w14:paraId="43720503" w14:textId="77777777" w:rsidR="00DD0E17" w:rsidRDefault="00DD0E17" w:rsidP="00DD0E17">
      <w:pPr>
        <w:rPr>
          <w:bCs/>
          <w:color w:val="0070C0"/>
          <w:lang w:eastAsia="ko-KR"/>
        </w:rPr>
      </w:pPr>
      <w:r>
        <w:rPr>
          <w:bCs/>
          <w:color w:val="0070C0"/>
          <w:lang w:eastAsia="ko-KR"/>
        </w:rPr>
        <w:t>Issue 2-1-1: EIS spherical coverage</w:t>
      </w:r>
    </w:p>
    <w:p w14:paraId="08371E62" w14:textId="77777777" w:rsidR="00DD0E17" w:rsidRDefault="00DD0E17" w:rsidP="00DD0E17">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Proposals</w:t>
      </w:r>
      <w:r>
        <w:rPr>
          <w:i/>
          <w:iCs/>
          <w:color w:val="0070C0"/>
          <w:lang w:eastAsia="zh-CN"/>
        </w:rPr>
        <w:t xml:space="preserve"> (Can support more than one)</w:t>
      </w:r>
    </w:p>
    <w:p w14:paraId="45954FD2"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1: REFSENS requirements is specified based on normalized equal PSD. The requirements on each CC do not have to be met simultaneously at single direction.</w:t>
      </w:r>
      <w:r>
        <w:t xml:space="preserve"> </w:t>
      </w:r>
      <w:r>
        <w:rPr>
          <w:rFonts w:eastAsia="SimSun"/>
          <w:color w:val="0070C0"/>
          <w:szCs w:val="24"/>
          <w:lang w:eastAsia="zh-CN"/>
        </w:rPr>
        <w:t>R4-2204361, R4-2204575</w:t>
      </w:r>
    </w:p>
    <w:p w14:paraId="0C240A4D"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 xml:space="preserve">Option 2: It is proposed to differentiate PSD based on different UE architectures, </w:t>
      </w:r>
      <w:proofErr w:type="gramStart"/>
      <w:r>
        <w:rPr>
          <w:rFonts w:eastAsia="SimSun"/>
          <w:color w:val="0070C0"/>
          <w:szCs w:val="24"/>
          <w:lang w:eastAsia="zh-CN"/>
        </w:rPr>
        <w:t>i.e.</w:t>
      </w:r>
      <w:proofErr w:type="gramEnd"/>
      <w:r>
        <w:rPr>
          <w:rFonts w:eastAsia="SimSun"/>
          <w:color w:val="0070C0"/>
          <w:szCs w:val="24"/>
          <w:lang w:eastAsia="zh-CN"/>
        </w:rPr>
        <w:t xml:space="preserve"> 6dB PSD difference for UE implemented with single RF chain, and requirements including PSD difference similar to IBM for inter-band CA with CBM for different frequency group.</w:t>
      </w:r>
    </w:p>
    <w:p w14:paraId="5DABEBBC"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lang w:val="en-US"/>
        </w:rPr>
      </w:pPr>
      <w:r>
        <w:rPr>
          <w:rFonts w:eastAsia="SimSun"/>
          <w:color w:val="0070C0"/>
          <w:szCs w:val="24"/>
          <w:lang w:eastAsia="zh-CN"/>
        </w:rPr>
        <w:t xml:space="preserve">Option 3: </w:t>
      </w:r>
      <w:r>
        <w:rPr>
          <w:lang w:val="en-US"/>
        </w:rPr>
        <w:t>specify sensitivity verification rule for inter-band CA supporting ‘both’ beam management capability as following:</w:t>
      </w:r>
    </w:p>
    <w:p w14:paraId="277F7B3E" w14:textId="77777777" w:rsidR="00DD0E17" w:rsidRDefault="00DD0E17" w:rsidP="00DD0E17">
      <w:pPr>
        <w:pStyle w:val="ListParagraph"/>
        <w:numPr>
          <w:ilvl w:val="1"/>
          <w:numId w:val="16"/>
        </w:numPr>
        <w:overflowPunct/>
        <w:autoSpaceDE/>
        <w:autoSpaceDN/>
        <w:adjustRightInd/>
        <w:spacing w:after="120" w:line="259" w:lineRule="auto"/>
        <w:contextualSpacing w:val="0"/>
        <w:textAlignment w:val="auto"/>
      </w:pPr>
      <w:r>
        <w:t xml:space="preserve">Peak EIS should be verified with both IBM and CBM </w:t>
      </w:r>
    </w:p>
    <w:p w14:paraId="60A7BB3C" w14:textId="77777777" w:rsidR="00DD0E17" w:rsidRDefault="00DD0E17" w:rsidP="00DD0E17">
      <w:pPr>
        <w:pStyle w:val="ListParagraph"/>
        <w:numPr>
          <w:ilvl w:val="1"/>
          <w:numId w:val="16"/>
        </w:numPr>
        <w:overflowPunct/>
        <w:autoSpaceDE/>
        <w:autoSpaceDN/>
        <w:adjustRightInd/>
        <w:spacing w:after="120" w:line="259" w:lineRule="auto"/>
        <w:contextualSpacing w:val="0"/>
        <w:textAlignment w:val="auto"/>
        <w:rPr>
          <w:rFonts w:eastAsia="SimSun"/>
          <w:color w:val="0070C0"/>
          <w:szCs w:val="24"/>
          <w:lang w:eastAsia="zh-CN"/>
        </w:rPr>
      </w:pPr>
      <w:r>
        <w:t>if the measured EIS spherical coverage of CBM has already satisfied the requirements of IBM, then the IBM EIS spherical coverage verification is not necessary</w:t>
      </w:r>
    </w:p>
    <w:p w14:paraId="1DC6D21A" w14:textId="77777777" w:rsidR="00DD0E17" w:rsidRDefault="00DD0E17" w:rsidP="00DD0E17">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Recommended WF</w:t>
      </w:r>
    </w:p>
    <w:p w14:paraId="6F76F919" w14:textId="31D8BEB1" w:rsidR="00DD0E17" w:rsidRDefault="00DD0E17" w:rsidP="00DD0E17">
      <w:pPr>
        <w:pStyle w:val="ListParagraph"/>
        <w:numPr>
          <w:ilvl w:val="1"/>
          <w:numId w:val="16"/>
        </w:numPr>
        <w:overflowPunct/>
        <w:autoSpaceDE/>
        <w:autoSpaceDN/>
        <w:adjustRightInd/>
        <w:spacing w:after="120" w:line="259" w:lineRule="auto"/>
        <w:contextualSpacing w:val="0"/>
        <w:textAlignment w:val="auto"/>
        <w:rPr>
          <w:rFonts w:eastAsia="SimSun"/>
          <w:color w:val="0070C0"/>
          <w:szCs w:val="24"/>
          <w:lang w:eastAsia="zh-CN"/>
        </w:rPr>
      </w:pPr>
      <w:r w:rsidRPr="00DF7330">
        <w:rPr>
          <w:rFonts w:eastAsia="SimSun"/>
          <w:color w:val="0070C0"/>
          <w:szCs w:val="24"/>
          <w:highlight w:val="yellow"/>
          <w:lang w:eastAsia="zh-CN"/>
        </w:rPr>
        <w:t xml:space="preserve">Option 1 to </w:t>
      </w:r>
      <w:r w:rsidR="00DF7330" w:rsidRPr="00DF7330">
        <w:rPr>
          <w:rFonts w:eastAsia="SimSun"/>
          <w:color w:val="0070C0"/>
          <w:szCs w:val="24"/>
          <w:highlight w:val="yellow"/>
          <w:lang w:eastAsia="zh-CN"/>
        </w:rPr>
        <w:t xml:space="preserve">be </w:t>
      </w:r>
      <w:r w:rsidRPr="00DF7330">
        <w:rPr>
          <w:rFonts w:eastAsia="SimSun"/>
          <w:color w:val="0070C0"/>
          <w:szCs w:val="24"/>
          <w:highlight w:val="yellow"/>
          <w:lang w:eastAsia="zh-CN"/>
        </w:rPr>
        <w:t>discussed</w:t>
      </w:r>
      <w:r w:rsidR="00DF7330">
        <w:rPr>
          <w:rFonts w:eastAsia="SimSun"/>
          <w:color w:val="0070C0"/>
          <w:szCs w:val="24"/>
          <w:highlight w:val="yellow"/>
          <w:lang w:eastAsia="zh-CN"/>
        </w:rPr>
        <w:t xml:space="preserve"> and agreed </w:t>
      </w:r>
      <w:r w:rsidRPr="00DF7330">
        <w:rPr>
          <w:rFonts w:eastAsia="SimSun"/>
          <w:color w:val="0070C0"/>
          <w:szCs w:val="24"/>
          <w:highlight w:val="yellow"/>
          <w:lang w:eastAsia="zh-CN"/>
        </w:rPr>
        <w:t>in GTW.</w:t>
      </w:r>
    </w:p>
    <w:p w14:paraId="423F2320" w14:textId="77777777" w:rsidR="00DD0E17" w:rsidRDefault="00DD0E17" w:rsidP="00DD0E17">
      <w:pPr>
        <w:spacing w:after="120"/>
        <w:rPr>
          <w:color w:val="0070C0"/>
          <w:szCs w:val="24"/>
          <w:lang w:eastAsia="zh-CN"/>
        </w:rPr>
      </w:pPr>
    </w:p>
    <w:p w14:paraId="3DD15BB5" w14:textId="77777777" w:rsidR="00DD0E17" w:rsidRDefault="00DD0E17" w:rsidP="00DD0E17">
      <w:pPr>
        <w:rPr>
          <w:bCs/>
          <w:color w:val="0070C0"/>
          <w:lang w:eastAsia="ko-KR"/>
        </w:rPr>
      </w:pPr>
      <w:r>
        <w:rPr>
          <w:bCs/>
          <w:color w:val="0070C0"/>
          <w:lang w:eastAsia="ko-KR"/>
        </w:rPr>
        <w:t>Issue 2-1-3: peak EIS</w:t>
      </w:r>
    </w:p>
    <w:p w14:paraId="23B80E84" w14:textId="77777777" w:rsidR="00DD0E17" w:rsidRDefault="00DD0E17" w:rsidP="00DD0E17">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Proposals</w:t>
      </w:r>
    </w:p>
    <w:p w14:paraId="671196AC"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1: Use simultaneous sensitivity with different beam direction of each band approach to define the peak EIS requirements for inter-band DL CA CBM.</w:t>
      </w:r>
      <w:r>
        <w:t xml:space="preserve"> </w:t>
      </w:r>
      <w:r>
        <w:rPr>
          <w:rFonts w:eastAsia="SimSun"/>
          <w:color w:val="0070C0"/>
          <w:szCs w:val="24"/>
          <w:lang w:eastAsia="zh-CN"/>
        </w:rPr>
        <w:t>R4-2204927</w:t>
      </w:r>
    </w:p>
    <w:p w14:paraId="28CE3195"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 xml:space="preserve">Option 2: It is proposed to differentiate PSD based on different UE architectures, </w:t>
      </w:r>
      <w:proofErr w:type="gramStart"/>
      <w:r>
        <w:rPr>
          <w:rFonts w:eastAsia="SimSun"/>
          <w:color w:val="0070C0"/>
          <w:szCs w:val="24"/>
          <w:lang w:eastAsia="zh-CN"/>
        </w:rPr>
        <w:t>i.e.</w:t>
      </w:r>
      <w:proofErr w:type="gramEnd"/>
      <w:r>
        <w:rPr>
          <w:rFonts w:eastAsia="SimSun"/>
          <w:color w:val="0070C0"/>
          <w:szCs w:val="24"/>
          <w:lang w:eastAsia="zh-CN"/>
        </w:rPr>
        <w:t xml:space="preserve"> 6dB PSD difference for UE implemented with single RF chain, and requirements including PSD difference similar to IBM for inter-band CA with CBM for different frequency group.</w:t>
      </w:r>
    </w:p>
    <w:p w14:paraId="0950E697"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3: REFSENS requirements is specified based on normalized equal PSD. The requirements on each CC do not have to be met simultaneously at single direction.</w:t>
      </w:r>
      <w:r>
        <w:t xml:space="preserve"> </w:t>
      </w:r>
      <w:r>
        <w:rPr>
          <w:rFonts w:eastAsia="SimSun"/>
          <w:color w:val="0070C0"/>
          <w:szCs w:val="24"/>
          <w:lang w:eastAsia="zh-CN"/>
        </w:rPr>
        <w:t>R4-2204361, R4-2204575</w:t>
      </w:r>
    </w:p>
    <w:p w14:paraId="7FAAF0F0" w14:textId="77777777" w:rsidR="00DD0E17" w:rsidRDefault="00DD0E17" w:rsidP="00DD0E17">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Recommended WF</w:t>
      </w:r>
    </w:p>
    <w:p w14:paraId="13FE5D07" w14:textId="17D82139" w:rsidR="00DF7330" w:rsidRDefault="00DF7330" w:rsidP="00DF7330">
      <w:pPr>
        <w:pStyle w:val="ListParagraph"/>
        <w:numPr>
          <w:ilvl w:val="1"/>
          <w:numId w:val="16"/>
        </w:numPr>
        <w:overflowPunct/>
        <w:autoSpaceDE/>
        <w:autoSpaceDN/>
        <w:adjustRightInd/>
        <w:spacing w:after="120" w:line="259" w:lineRule="auto"/>
        <w:contextualSpacing w:val="0"/>
        <w:textAlignment w:val="auto"/>
        <w:rPr>
          <w:rFonts w:eastAsia="SimSun"/>
          <w:color w:val="0070C0"/>
          <w:szCs w:val="24"/>
          <w:lang w:eastAsia="zh-CN"/>
        </w:rPr>
      </w:pPr>
      <w:r w:rsidRPr="00DF7330">
        <w:rPr>
          <w:rFonts w:eastAsia="SimSun"/>
          <w:color w:val="0070C0"/>
          <w:szCs w:val="24"/>
          <w:highlight w:val="yellow"/>
          <w:lang w:eastAsia="zh-CN"/>
        </w:rPr>
        <w:t xml:space="preserve">Option 1 to be discussed </w:t>
      </w:r>
      <w:r>
        <w:rPr>
          <w:rFonts w:eastAsia="SimSun"/>
          <w:color w:val="0070C0"/>
          <w:szCs w:val="24"/>
          <w:highlight w:val="yellow"/>
          <w:lang w:eastAsia="zh-CN"/>
        </w:rPr>
        <w:t xml:space="preserve">and agreed </w:t>
      </w:r>
      <w:r w:rsidRPr="00DF7330">
        <w:rPr>
          <w:rFonts w:eastAsia="SimSun"/>
          <w:color w:val="0070C0"/>
          <w:szCs w:val="24"/>
          <w:highlight w:val="yellow"/>
          <w:lang w:eastAsia="zh-CN"/>
        </w:rPr>
        <w:t>in GTW.</w:t>
      </w:r>
    </w:p>
    <w:p w14:paraId="4226AB5E" w14:textId="77777777" w:rsidR="00DD0E17" w:rsidRDefault="00DD0E17" w:rsidP="00DD0E17">
      <w:pPr>
        <w:spacing w:after="120"/>
        <w:rPr>
          <w:color w:val="0070C0"/>
          <w:szCs w:val="24"/>
          <w:lang w:eastAsia="zh-CN"/>
        </w:rPr>
      </w:pPr>
    </w:p>
    <w:p w14:paraId="530D64DB" w14:textId="77777777" w:rsidR="00DD0E17" w:rsidRDefault="00DD0E17" w:rsidP="00DD0E17">
      <w:pPr>
        <w:pStyle w:val="Heading3"/>
        <w:rPr>
          <w:sz w:val="24"/>
          <w:szCs w:val="16"/>
          <w:lang w:val="en-US"/>
        </w:rPr>
      </w:pPr>
      <w:r>
        <w:rPr>
          <w:sz w:val="24"/>
          <w:szCs w:val="16"/>
          <w:lang w:val="en-US"/>
        </w:rPr>
        <w:t xml:space="preserve">Sub-topic 2-2: </w:t>
      </w:r>
      <w:proofErr w:type="spellStart"/>
      <w:r>
        <w:rPr>
          <w:sz w:val="24"/>
          <w:szCs w:val="16"/>
          <w:lang w:val="en-US"/>
        </w:rPr>
        <w:t>Fs_inter</w:t>
      </w:r>
      <w:proofErr w:type="spellEnd"/>
    </w:p>
    <w:p w14:paraId="43E2F941" w14:textId="77777777" w:rsidR="00DD0E17" w:rsidRDefault="00DD0E17" w:rsidP="00DD0E17">
      <w:pPr>
        <w:rPr>
          <w:bCs/>
          <w:color w:val="0070C0"/>
          <w:lang w:eastAsia="ko-KR"/>
        </w:rPr>
      </w:pPr>
      <w:r>
        <w:rPr>
          <w:bCs/>
          <w:color w:val="0070C0"/>
          <w:lang w:eastAsia="ko-KR"/>
        </w:rPr>
        <w:t xml:space="preserve">Issue 2-2-1: </w:t>
      </w:r>
      <w:proofErr w:type="spellStart"/>
      <w:r>
        <w:rPr>
          <w:bCs/>
          <w:color w:val="0070C0"/>
          <w:lang w:eastAsia="ko-KR"/>
        </w:rPr>
        <w:t>Fs_inter</w:t>
      </w:r>
      <w:proofErr w:type="spellEnd"/>
    </w:p>
    <w:p w14:paraId="75810854" w14:textId="77777777" w:rsidR="00DD0E17" w:rsidRDefault="00DD0E17" w:rsidP="00DD0E17">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Proposals</w:t>
      </w:r>
      <w:r>
        <w:rPr>
          <w:i/>
          <w:iCs/>
          <w:color w:val="0070C0"/>
          <w:lang w:eastAsia="zh-CN"/>
        </w:rPr>
        <w:t xml:space="preserve"> (Can support more than one)</w:t>
      </w:r>
    </w:p>
    <w:p w14:paraId="722976EC"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1: Define the minimum requirement based on the largest frequency separation between two CCs. R4-2204035</w:t>
      </w:r>
    </w:p>
    <w:p w14:paraId="3BC4380A"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lastRenderedPageBreak/>
        <w:t xml:space="preserve">Option 2: For REFSENS requirements for CA within same frequency group, </w:t>
      </w:r>
      <w:proofErr w:type="spellStart"/>
      <w:r>
        <w:rPr>
          <w:rFonts w:eastAsia="SimSun"/>
          <w:color w:val="0070C0"/>
          <w:szCs w:val="24"/>
          <w:lang w:eastAsia="zh-CN"/>
        </w:rPr>
        <w:t>Fs_Inter</w:t>
      </w:r>
      <w:proofErr w:type="spellEnd"/>
      <w:r>
        <w:rPr>
          <w:rFonts w:eastAsia="SimSun"/>
          <w:color w:val="0070C0"/>
          <w:szCs w:val="24"/>
          <w:lang w:eastAsia="zh-CN"/>
        </w:rPr>
        <w:t xml:space="preserve"> capability is introduced for performance functional separation.</w:t>
      </w:r>
      <w:r>
        <w:t xml:space="preserve"> </w:t>
      </w:r>
      <w:r>
        <w:rPr>
          <w:rFonts w:eastAsia="SimSun"/>
          <w:color w:val="0070C0"/>
          <w:szCs w:val="24"/>
          <w:lang w:eastAsia="zh-CN"/>
        </w:rPr>
        <w:t>R4-2204361, No additional EIS relaxation specific for frequency separation factor is acceptable R4-2204229, R4-2204940 .</w:t>
      </w:r>
    </w:p>
    <w:p w14:paraId="71A6BEA8"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 xml:space="preserve">Option 3: </w:t>
      </w:r>
      <w:proofErr w:type="spellStart"/>
      <w:r>
        <w:rPr>
          <w:rFonts w:eastAsia="SimSun"/>
          <w:color w:val="0070C0"/>
          <w:szCs w:val="24"/>
          <w:lang w:eastAsia="zh-CN"/>
        </w:rPr>
        <w:t>Fs_inter</w:t>
      </w:r>
      <w:proofErr w:type="spellEnd"/>
      <w:r>
        <w:rPr>
          <w:rFonts w:eastAsia="SimSun"/>
          <w:color w:val="0070C0"/>
          <w:szCs w:val="24"/>
          <w:lang w:eastAsia="zh-CN"/>
        </w:rPr>
        <w:t xml:space="preserve"> capability is optionally reported by UE, and should be considered by NW, but to keep both NW scheduling and UE implementation flexibility, it is proposed to agree that once configured CCs exceed this capability then UE </w:t>
      </w:r>
      <w:proofErr w:type="spellStart"/>
      <w:r>
        <w:rPr>
          <w:rFonts w:eastAsia="SimSun"/>
          <w:color w:val="0070C0"/>
          <w:szCs w:val="24"/>
          <w:lang w:eastAsia="zh-CN"/>
        </w:rPr>
        <w:t>behavior</w:t>
      </w:r>
      <w:proofErr w:type="spellEnd"/>
      <w:r>
        <w:rPr>
          <w:rFonts w:eastAsia="SimSun"/>
          <w:color w:val="0070C0"/>
          <w:szCs w:val="24"/>
          <w:lang w:eastAsia="zh-CN"/>
        </w:rPr>
        <w:t xml:space="preserve"> </w:t>
      </w:r>
      <w:proofErr w:type="gramStart"/>
      <w:r>
        <w:rPr>
          <w:rFonts w:eastAsia="SimSun"/>
          <w:color w:val="0070C0"/>
          <w:szCs w:val="24"/>
          <w:lang w:eastAsia="zh-CN"/>
        </w:rPr>
        <w:t>is considered to be</w:t>
      </w:r>
      <w:proofErr w:type="gramEnd"/>
      <w:r>
        <w:rPr>
          <w:rFonts w:eastAsia="SimSun"/>
          <w:color w:val="0070C0"/>
          <w:szCs w:val="24"/>
          <w:lang w:eastAsia="zh-CN"/>
        </w:rPr>
        <w:t xml:space="preserve"> undefined.</w:t>
      </w:r>
    </w:p>
    <w:p w14:paraId="24ED29DF"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 xml:space="preserve">Option 4: If </w:t>
      </w:r>
      <w:proofErr w:type="spellStart"/>
      <w:r>
        <w:rPr>
          <w:rFonts w:eastAsia="SimSun"/>
          <w:color w:val="0070C0"/>
          <w:szCs w:val="24"/>
          <w:lang w:eastAsia="zh-CN"/>
        </w:rPr>
        <w:t>Fs_inter</w:t>
      </w:r>
      <w:proofErr w:type="spellEnd"/>
      <w:r>
        <w:rPr>
          <w:rFonts w:eastAsia="SimSun"/>
          <w:color w:val="0070C0"/>
          <w:szCs w:val="24"/>
          <w:lang w:eastAsia="zh-CN"/>
        </w:rPr>
        <w:t xml:space="preserve"> is to be introduced, it is proposed to refine previous agreement of Max input level, ACS and IBB verification rules as following:</w:t>
      </w:r>
    </w:p>
    <w:p w14:paraId="396C06C9" w14:textId="77777777" w:rsidR="00DD0E17" w:rsidRDefault="00DD0E17" w:rsidP="00DD0E17">
      <w:pPr>
        <w:pStyle w:val="ListParagraph"/>
        <w:numPr>
          <w:ilvl w:val="2"/>
          <w:numId w:val="16"/>
        </w:numPr>
        <w:overflowPunct/>
        <w:autoSpaceDE/>
        <w:autoSpaceDN/>
        <w:adjustRightInd/>
        <w:spacing w:after="120" w:line="259" w:lineRule="auto"/>
        <w:contextualSpacing w:val="0"/>
        <w:textAlignment w:val="auto"/>
        <w:rPr>
          <w:rFonts w:eastAsia="SimSun"/>
          <w:color w:val="0070C0"/>
          <w:szCs w:val="24"/>
          <w:lang w:eastAsia="zh-CN"/>
        </w:rPr>
      </w:pPr>
      <w:r>
        <w:rPr>
          <w:rFonts w:eastAsia="SimSun"/>
          <w:color w:val="0070C0"/>
          <w:szCs w:val="24"/>
          <w:lang w:eastAsia="zh-CN"/>
        </w:rPr>
        <w:t>if the measured Max input level, ACS and IBB has already satisfied the requirements with IBM, then the verification with CBM is not necessary</w:t>
      </w:r>
    </w:p>
    <w:p w14:paraId="004D1E65" w14:textId="77777777" w:rsidR="00DD0E17" w:rsidRDefault="00DD0E17" w:rsidP="00DD0E17">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Recommended WF</w:t>
      </w:r>
    </w:p>
    <w:p w14:paraId="2993C636" w14:textId="72259882" w:rsidR="00DD0E17" w:rsidRDefault="00DF7330" w:rsidP="00DD0E17">
      <w:pPr>
        <w:pStyle w:val="ListParagraph"/>
        <w:numPr>
          <w:ilvl w:val="1"/>
          <w:numId w:val="16"/>
        </w:numPr>
        <w:overflowPunct/>
        <w:autoSpaceDE/>
        <w:autoSpaceDN/>
        <w:adjustRightInd/>
        <w:spacing w:after="120" w:line="259" w:lineRule="auto"/>
        <w:contextualSpacing w:val="0"/>
        <w:textAlignment w:val="auto"/>
        <w:rPr>
          <w:rFonts w:eastAsia="SimSun"/>
          <w:color w:val="0070C0"/>
          <w:szCs w:val="24"/>
          <w:lang w:eastAsia="zh-CN"/>
        </w:rPr>
      </w:pPr>
      <w:r>
        <w:rPr>
          <w:rFonts w:eastAsia="SimSun"/>
          <w:color w:val="0070C0"/>
          <w:szCs w:val="24"/>
          <w:lang w:eastAsia="zh-CN"/>
        </w:rPr>
        <w:t>None as compromise CR seems not acceptable</w:t>
      </w:r>
    </w:p>
    <w:p w14:paraId="74944119" w14:textId="77777777" w:rsidR="00DD0E17" w:rsidRDefault="00DD0E17" w:rsidP="00DD0E17">
      <w:pPr>
        <w:spacing w:after="120"/>
        <w:rPr>
          <w:color w:val="0070C0"/>
          <w:szCs w:val="24"/>
          <w:lang w:eastAsia="zh-CN"/>
        </w:rPr>
      </w:pPr>
    </w:p>
    <w:p w14:paraId="769260C7" w14:textId="77777777" w:rsidR="00DD0E17" w:rsidRDefault="00DD0E17" w:rsidP="00DD0E17">
      <w:pPr>
        <w:pStyle w:val="Heading3"/>
        <w:rPr>
          <w:bCs/>
          <w:sz w:val="24"/>
          <w:szCs w:val="16"/>
          <w:lang w:val="en-US"/>
        </w:rPr>
      </w:pPr>
      <w:r>
        <w:rPr>
          <w:sz w:val="24"/>
          <w:szCs w:val="16"/>
          <w:lang w:val="en-US"/>
        </w:rPr>
        <w:t>Sub-topic 2-3: BMRS configuration</w:t>
      </w:r>
    </w:p>
    <w:p w14:paraId="6897A681" w14:textId="77777777" w:rsidR="00DD0E17" w:rsidRDefault="00DD0E17" w:rsidP="00DD0E17">
      <w:pPr>
        <w:rPr>
          <w:bCs/>
          <w:color w:val="0070C0"/>
          <w:lang w:eastAsia="ko-KR"/>
        </w:rPr>
      </w:pPr>
      <w:r>
        <w:rPr>
          <w:bCs/>
          <w:color w:val="0070C0"/>
          <w:lang w:eastAsia="ko-KR"/>
        </w:rPr>
        <w:t xml:space="preserve">Issue 2-3-1: </w:t>
      </w:r>
    </w:p>
    <w:p w14:paraId="1CDB9894" w14:textId="77777777" w:rsidR="00DD0E17" w:rsidRDefault="00DD0E17" w:rsidP="00DD0E17">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Proposals</w:t>
      </w:r>
      <w:r>
        <w:rPr>
          <w:i/>
          <w:iCs/>
          <w:color w:val="0070C0"/>
          <w:lang w:eastAsia="zh-CN"/>
        </w:rPr>
        <w:t xml:space="preserve"> (Can support more than one)</w:t>
      </w:r>
    </w:p>
    <w:p w14:paraId="2F7926F4"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1: Use SSB+CSI RS as the BMRS and use DMRS at the other band as the QCL-D target reference signal.</w:t>
      </w:r>
    </w:p>
    <w:p w14:paraId="55D83987"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2: The REFSENSE and spherical coverage will only be tested with worst case of BMRS side condition, i.e., the BMRS is only located in the untested band, to reduce the test complexity.</w:t>
      </w:r>
    </w:p>
    <w:p w14:paraId="6323D68B"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3: If no consensus reached for the BMRS conditions, leave it to RAN5 as a measurement issue.</w:t>
      </w:r>
    </w:p>
    <w:p w14:paraId="70EA7EEA"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 xml:space="preserve">Option 4: For CBM, all the reference signals in </w:t>
      </w:r>
      <w:proofErr w:type="spellStart"/>
      <w:r>
        <w:rPr>
          <w:rFonts w:eastAsia="SimSun"/>
          <w:color w:val="0070C0"/>
          <w:szCs w:val="24"/>
          <w:lang w:eastAsia="zh-CN"/>
        </w:rPr>
        <w:t>Band_without_BMRS</w:t>
      </w:r>
      <w:proofErr w:type="spellEnd"/>
      <w:r>
        <w:rPr>
          <w:rFonts w:eastAsia="SimSun"/>
          <w:color w:val="0070C0"/>
          <w:szCs w:val="24"/>
          <w:lang w:eastAsia="zh-CN"/>
        </w:rPr>
        <w:t xml:space="preserve"> shall traces its QCL type-D dependence to SSB and/or CSI-RS in </w:t>
      </w:r>
      <w:proofErr w:type="spellStart"/>
      <w:r>
        <w:rPr>
          <w:rFonts w:eastAsia="SimSun"/>
          <w:color w:val="0070C0"/>
          <w:szCs w:val="24"/>
          <w:lang w:eastAsia="zh-CN"/>
        </w:rPr>
        <w:t>Band_with_BMRS</w:t>
      </w:r>
      <w:proofErr w:type="spellEnd"/>
      <w:r>
        <w:rPr>
          <w:rFonts w:eastAsia="SimSun"/>
          <w:color w:val="0070C0"/>
          <w:szCs w:val="24"/>
          <w:lang w:eastAsia="zh-CN"/>
        </w:rPr>
        <w:t xml:space="preserve"> by certain manner and </w:t>
      </w:r>
      <w:proofErr w:type="gramStart"/>
      <w:r>
        <w:rPr>
          <w:rFonts w:eastAsia="SimSun"/>
          <w:color w:val="0070C0"/>
          <w:szCs w:val="24"/>
          <w:lang w:eastAsia="zh-CN"/>
        </w:rPr>
        <w:t>For</w:t>
      </w:r>
      <w:proofErr w:type="gramEnd"/>
      <w:r>
        <w:rPr>
          <w:rFonts w:eastAsia="SimSun"/>
          <w:color w:val="0070C0"/>
          <w:szCs w:val="24"/>
          <w:lang w:eastAsia="zh-CN"/>
        </w:rPr>
        <w:t xml:space="preserve"> CBM.</w:t>
      </w:r>
      <w:r>
        <w:t xml:space="preserve"> </w:t>
      </w:r>
      <w:r>
        <w:rPr>
          <w:rFonts w:eastAsia="SimSun"/>
          <w:color w:val="0070C0"/>
          <w:szCs w:val="24"/>
          <w:lang w:eastAsia="zh-CN"/>
        </w:rPr>
        <w:t xml:space="preserve">Be more specific, DMRS in </w:t>
      </w:r>
      <w:proofErr w:type="spellStart"/>
      <w:r>
        <w:rPr>
          <w:rFonts w:eastAsia="SimSun"/>
          <w:color w:val="0070C0"/>
          <w:szCs w:val="24"/>
          <w:lang w:eastAsia="zh-CN"/>
        </w:rPr>
        <w:t>Band_without_BMRS</w:t>
      </w:r>
      <w:proofErr w:type="spellEnd"/>
      <w:r>
        <w:rPr>
          <w:rFonts w:eastAsia="SimSun"/>
          <w:color w:val="0070C0"/>
          <w:szCs w:val="24"/>
          <w:lang w:eastAsia="zh-CN"/>
        </w:rPr>
        <w:t xml:space="preserve"> traces TRS of </w:t>
      </w:r>
      <w:proofErr w:type="spellStart"/>
      <w:r>
        <w:rPr>
          <w:rFonts w:eastAsia="SimSun"/>
          <w:color w:val="0070C0"/>
          <w:szCs w:val="24"/>
          <w:lang w:eastAsia="zh-CN"/>
        </w:rPr>
        <w:t>Band_without_BMRS</w:t>
      </w:r>
      <w:proofErr w:type="spellEnd"/>
      <w:r>
        <w:rPr>
          <w:rFonts w:eastAsia="SimSun"/>
          <w:color w:val="0070C0"/>
          <w:szCs w:val="24"/>
          <w:lang w:eastAsia="zh-CN"/>
        </w:rPr>
        <w:t xml:space="preserve">, and then traces its QCL type-D dependence to SSB and/or CSI-RS in </w:t>
      </w:r>
      <w:proofErr w:type="spellStart"/>
      <w:r>
        <w:rPr>
          <w:rFonts w:eastAsia="SimSun"/>
          <w:color w:val="0070C0"/>
          <w:szCs w:val="24"/>
          <w:lang w:eastAsia="zh-CN"/>
        </w:rPr>
        <w:t>Band_with_BMRS</w:t>
      </w:r>
      <w:proofErr w:type="spellEnd"/>
      <w:r>
        <w:rPr>
          <w:rFonts w:eastAsia="SimSun"/>
          <w:color w:val="0070C0"/>
          <w:szCs w:val="24"/>
          <w:lang w:eastAsia="zh-CN"/>
        </w:rPr>
        <w:t>, R4-2204230.</w:t>
      </w:r>
    </w:p>
    <w:p w14:paraId="6F13D0D7" w14:textId="77777777" w:rsidR="00DD0E17" w:rsidRDefault="00DD0E17" w:rsidP="00DD0E17">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Recommended WF</w:t>
      </w:r>
    </w:p>
    <w:p w14:paraId="663FAF6E" w14:textId="05A1BA8F" w:rsidR="00DD0E17" w:rsidRDefault="00DF7330" w:rsidP="00DD0E17">
      <w:pPr>
        <w:pStyle w:val="ListParagraph"/>
        <w:numPr>
          <w:ilvl w:val="1"/>
          <w:numId w:val="16"/>
        </w:numPr>
        <w:overflowPunct/>
        <w:autoSpaceDE/>
        <w:autoSpaceDN/>
        <w:adjustRightInd/>
        <w:spacing w:after="120" w:line="259" w:lineRule="auto"/>
        <w:contextualSpacing w:val="0"/>
        <w:textAlignment w:val="auto"/>
        <w:rPr>
          <w:rFonts w:eastAsia="SimSun"/>
          <w:color w:val="0070C0"/>
          <w:szCs w:val="24"/>
          <w:lang w:eastAsia="zh-CN"/>
        </w:rPr>
      </w:pPr>
      <w:r>
        <w:rPr>
          <w:rFonts w:eastAsia="SimSun"/>
          <w:color w:val="0070C0"/>
          <w:szCs w:val="24"/>
          <w:lang w:eastAsia="zh-CN"/>
        </w:rPr>
        <w:t xml:space="preserve">None </w:t>
      </w:r>
    </w:p>
    <w:p w14:paraId="3439FB62" w14:textId="77777777" w:rsidR="00DD0E17" w:rsidRDefault="00DD0E17" w:rsidP="00DD0E17">
      <w:pPr>
        <w:spacing w:after="120"/>
        <w:rPr>
          <w:color w:val="0070C0"/>
          <w:szCs w:val="24"/>
          <w:lang w:eastAsia="zh-CN"/>
        </w:rPr>
      </w:pPr>
    </w:p>
    <w:p w14:paraId="2A385ED3" w14:textId="77777777" w:rsidR="00DD0E17" w:rsidRDefault="00DD0E17" w:rsidP="00DD0E17">
      <w:pPr>
        <w:spacing w:after="120"/>
        <w:rPr>
          <w:color w:val="0070C0"/>
          <w:szCs w:val="24"/>
          <w:lang w:eastAsia="zh-CN"/>
        </w:rPr>
      </w:pPr>
    </w:p>
    <w:p w14:paraId="4F9A8DA2" w14:textId="77777777" w:rsidR="00DD0E17" w:rsidRDefault="00DD0E17" w:rsidP="00DD0E17">
      <w:pPr>
        <w:pStyle w:val="Heading3"/>
        <w:rPr>
          <w:bCs/>
          <w:sz w:val="24"/>
          <w:szCs w:val="16"/>
          <w:lang w:val="en-US"/>
        </w:rPr>
      </w:pPr>
      <w:r>
        <w:rPr>
          <w:sz w:val="24"/>
          <w:szCs w:val="16"/>
          <w:lang w:val="en-US"/>
        </w:rPr>
        <w:t>Sub-topic 2-4: Band combination</w:t>
      </w:r>
    </w:p>
    <w:p w14:paraId="7738568A" w14:textId="77777777" w:rsidR="00DD0E17" w:rsidRDefault="00DD0E17" w:rsidP="00DD0E17">
      <w:pPr>
        <w:rPr>
          <w:bCs/>
          <w:color w:val="0070C0"/>
          <w:lang w:eastAsia="ko-KR"/>
        </w:rPr>
      </w:pPr>
      <w:r>
        <w:rPr>
          <w:bCs/>
          <w:color w:val="0070C0"/>
          <w:lang w:eastAsia="ko-KR"/>
        </w:rPr>
        <w:t xml:space="preserve">Issue 2-4-1: </w:t>
      </w:r>
    </w:p>
    <w:p w14:paraId="475CF267" w14:textId="77777777" w:rsidR="00DD0E17" w:rsidRDefault="00DD0E17" w:rsidP="00DD0E17">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Proposals</w:t>
      </w:r>
    </w:p>
    <w:p w14:paraId="53CC4670"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1: Wait for the operator demands before defining requirements for specific band combinations within same frequency group.</w:t>
      </w:r>
      <w:r>
        <w:t xml:space="preserve"> </w:t>
      </w:r>
      <w:r>
        <w:rPr>
          <w:rFonts w:eastAsia="SimSun"/>
          <w:color w:val="0070C0"/>
          <w:szCs w:val="24"/>
          <w:lang w:eastAsia="zh-CN"/>
        </w:rPr>
        <w:t>R4-2205122</w:t>
      </w:r>
    </w:p>
    <w:p w14:paraId="5EB71B8A"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2: If an example band combination, i.e., CA_n258-n261, is required strongly, the requirements for both CBM and IBM should be introduced.</w:t>
      </w:r>
      <w:r>
        <w:t xml:space="preserve"> </w:t>
      </w:r>
      <w:r>
        <w:rPr>
          <w:rFonts w:eastAsia="SimSun"/>
          <w:color w:val="0070C0"/>
          <w:szCs w:val="24"/>
          <w:lang w:eastAsia="zh-CN"/>
        </w:rPr>
        <w:t>R4-2205122</w:t>
      </w:r>
    </w:p>
    <w:p w14:paraId="31A869B5"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 xml:space="preserve">Option 3: it is preferred not to explicitly introduce band combination, </w:t>
      </w:r>
      <w:proofErr w:type="gramStart"/>
      <w:r>
        <w:rPr>
          <w:rFonts w:eastAsia="SimSun"/>
          <w:color w:val="0070C0"/>
          <w:szCs w:val="24"/>
          <w:lang w:eastAsia="zh-CN"/>
        </w:rPr>
        <w:t>e.g.</w:t>
      </w:r>
      <w:proofErr w:type="gramEnd"/>
      <w:r>
        <w:rPr>
          <w:rFonts w:eastAsia="SimSun"/>
          <w:color w:val="0070C0"/>
          <w:szCs w:val="24"/>
          <w:lang w:eastAsia="zh-CN"/>
        </w:rPr>
        <w:t xml:space="preserve"> n258+n261into core specification without operator request, but to define CBM requirements in such manner that both same frequency group and different frequency group are applicable.</w:t>
      </w:r>
      <w:r>
        <w:t xml:space="preserve"> </w:t>
      </w:r>
      <w:r>
        <w:rPr>
          <w:rFonts w:eastAsia="SimSun"/>
          <w:color w:val="0070C0"/>
          <w:szCs w:val="24"/>
          <w:lang w:eastAsia="zh-CN"/>
        </w:rPr>
        <w:t>R4-2204575</w:t>
      </w:r>
    </w:p>
    <w:p w14:paraId="24EBFFCD"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 xml:space="preserve">Option 4: Proposal 3: Introduce requirement of n258-n261 as an example band combination in TR and with note as follows: Note: the </w:t>
      </w:r>
      <w:proofErr w:type="spellStart"/>
      <w:r>
        <w:rPr>
          <w:rFonts w:eastAsia="SimSun"/>
          <w:color w:val="0070C0"/>
          <w:szCs w:val="24"/>
          <w:lang w:eastAsia="zh-CN"/>
        </w:rPr>
        <w:t>ΔRIB,S,n</w:t>
      </w:r>
      <w:proofErr w:type="spellEnd"/>
      <w:r>
        <w:rPr>
          <w:rFonts w:eastAsia="SimSun"/>
          <w:color w:val="0070C0"/>
          <w:szCs w:val="24"/>
          <w:lang w:eastAsia="zh-CN"/>
        </w:rPr>
        <w:t xml:space="preserve"> and </w:t>
      </w:r>
      <w:proofErr w:type="spellStart"/>
      <w:r>
        <w:rPr>
          <w:rFonts w:eastAsia="SimSun"/>
          <w:color w:val="0070C0"/>
          <w:szCs w:val="24"/>
          <w:lang w:eastAsia="zh-CN"/>
        </w:rPr>
        <w:t>ΔRIB,P,n</w:t>
      </w:r>
      <w:proofErr w:type="spellEnd"/>
      <w:r>
        <w:rPr>
          <w:rFonts w:eastAsia="SimSun"/>
          <w:color w:val="0070C0"/>
          <w:szCs w:val="24"/>
          <w:lang w:eastAsia="zh-CN"/>
        </w:rPr>
        <w:t xml:space="preserve"> can be revised with sufficient technical justification when the band combination is request by operator.</w:t>
      </w:r>
      <w:r>
        <w:t xml:space="preserve"> </w:t>
      </w:r>
      <w:r>
        <w:rPr>
          <w:rFonts w:eastAsia="SimSun"/>
          <w:color w:val="0070C0"/>
          <w:szCs w:val="24"/>
          <w:lang w:eastAsia="zh-CN"/>
        </w:rPr>
        <w:t>R4-2204940</w:t>
      </w:r>
    </w:p>
    <w:p w14:paraId="0CC1140C" w14:textId="77777777" w:rsidR="00DD0E17" w:rsidRDefault="00DD0E17" w:rsidP="00DD0E17">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Recommended WF</w:t>
      </w:r>
    </w:p>
    <w:p w14:paraId="662AC927" w14:textId="2FA6B272" w:rsidR="00DD0E17" w:rsidRDefault="00A036E8" w:rsidP="00DD0E17">
      <w:pPr>
        <w:pStyle w:val="ListParagraph"/>
        <w:numPr>
          <w:ilvl w:val="1"/>
          <w:numId w:val="16"/>
        </w:numPr>
        <w:overflowPunct/>
        <w:autoSpaceDE/>
        <w:autoSpaceDN/>
        <w:adjustRightInd/>
        <w:spacing w:after="120" w:line="259" w:lineRule="auto"/>
        <w:contextualSpacing w:val="0"/>
        <w:textAlignment w:val="auto"/>
        <w:rPr>
          <w:rFonts w:eastAsia="SimSun"/>
          <w:color w:val="0070C0"/>
          <w:szCs w:val="24"/>
          <w:lang w:eastAsia="zh-CN"/>
        </w:rPr>
      </w:pPr>
      <w:r>
        <w:rPr>
          <w:rFonts w:eastAsia="SimSun"/>
          <w:color w:val="0070C0"/>
          <w:szCs w:val="24"/>
          <w:lang w:eastAsia="zh-CN"/>
        </w:rPr>
        <w:t xml:space="preserve">Go with </w:t>
      </w:r>
      <w:r w:rsidRPr="00A036E8">
        <w:rPr>
          <w:rFonts w:eastAsia="SimSun"/>
          <w:color w:val="0070C0"/>
          <w:szCs w:val="24"/>
          <w:lang w:eastAsia="zh-CN"/>
        </w:rPr>
        <w:t>CA_n258-n261</w:t>
      </w:r>
      <w:r>
        <w:rPr>
          <w:rFonts w:eastAsia="SimSun"/>
          <w:color w:val="0070C0"/>
          <w:szCs w:val="24"/>
          <w:lang w:eastAsia="zh-CN"/>
        </w:rPr>
        <w:t xml:space="preserve"> for band combination within same f-group pointed out by </w:t>
      </w:r>
      <w:proofErr w:type="gramStart"/>
      <w:r>
        <w:rPr>
          <w:rFonts w:eastAsia="SimSun"/>
          <w:color w:val="0070C0"/>
          <w:szCs w:val="24"/>
          <w:lang w:eastAsia="zh-CN"/>
        </w:rPr>
        <w:t>ZTE, and</w:t>
      </w:r>
      <w:proofErr w:type="gramEnd"/>
      <w:r>
        <w:rPr>
          <w:rFonts w:eastAsia="SimSun"/>
          <w:color w:val="0070C0"/>
          <w:szCs w:val="24"/>
          <w:lang w:eastAsia="zh-CN"/>
        </w:rPr>
        <w:t xml:space="preserve"> requested by USC</w:t>
      </w:r>
      <w:r w:rsidRPr="00A036E8">
        <w:rPr>
          <w:rFonts w:eastAsia="SimSun"/>
          <w:color w:val="0070C0"/>
          <w:szCs w:val="24"/>
          <w:lang w:eastAsia="zh-CN"/>
        </w:rPr>
        <w:t xml:space="preserve"> in WID </w:t>
      </w:r>
      <w:r w:rsidRPr="00A036E8">
        <w:rPr>
          <w:rFonts w:eastAsia="SimSun"/>
          <w:color w:val="0070C0"/>
          <w:szCs w:val="24"/>
          <w:lang w:eastAsia="zh-CN"/>
        </w:rPr>
        <w:t>R4-2118205</w:t>
      </w:r>
      <w:r>
        <w:rPr>
          <w:rFonts w:eastAsia="SimSun"/>
          <w:color w:val="0070C0"/>
          <w:szCs w:val="24"/>
          <w:lang w:eastAsia="zh-CN"/>
        </w:rPr>
        <w:t xml:space="preserve"> .</w:t>
      </w:r>
    </w:p>
    <w:p w14:paraId="1273D13C" w14:textId="77777777" w:rsidR="00DD0E17" w:rsidRDefault="00DD0E17" w:rsidP="00DD0E17">
      <w:pPr>
        <w:spacing w:after="120"/>
        <w:rPr>
          <w:color w:val="0070C0"/>
          <w:szCs w:val="24"/>
          <w:lang w:eastAsia="zh-CN"/>
        </w:rPr>
      </w:pPr>
    </w:p>
    <w:p w14:paraId="28FEE5BC" w14:textId="77777777" w:rsidR="00DD0E17" w:rsidRDefault="00DD0E17" w:rsidP="00DD0E17">
      <w:pPr>
        <w:spacing w:after="120"/>
        <w:rPr>
          <w:color w:val="0070C0"/>
          <w:szCs w:val="24"/>
          <w:lang w:eastAsia="zh-CN"/>
        </w:rPr>
      </w:pPr>
    </w:p>
    <w:p w14:paraId="55C01EDC" w14:textId="77777777" w:rsidR="00DD0E17" w:rsidRDefault="00DD0E17" w:rsidP="00DD0E17">
      <w:pPr>
        <w:pStyle w:val="Heading3"/>
        <w:rPr>
          <w:bCs/>
          <w:sz w:val="24"/>
          <w:szCs w:val="16"/>
          <w:lang w:val="en-US"/>
        </w:rPr>
      </w:pPr>
      <w:r>
        <w:rPr>
          <w:sz w:val="24"/>
          <w:szCs w:val="16"/>
          <w:lang w:val="en-US"/>
        </w:rPr>
        <w:t>Sub-topic 2-5: in-gap exemption for ACS and IBB</w:t>
      </w:r>
    </w:p>
    <w:p w14:paraId="466CB54A" w14:textId="77777777" w:rsidR="00DD0E17" w:rsidRDefault="00DD0E17" w:rsidP="00DD0E17">
      <w:pPr>
        <w:rPr>
          <w:bCs/>
          <w:color w:val="0070C0"/>
          <w:lang w:eastAsia="ko-KR"/>
        </w:rPr>
      </w:pPr>
      <w:r>
        <w:rPr>
          <w:bCs/>
          <w:color w:val="0070C0"/>
          <w:lang w:eastAsia="ko-KR"/>
        </w:rPr>
        <w:t xml:space="preserve">Issue 2-5-1: </w:t>
      </w:r>
    </w:p>
    <w:p w14:paraId="5373A9C7" w14:textId="77777777" w:rsidR="00DD0E17" w:rsidRDefault="00DD0E17" w:rsidP="00DD0E17">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Proposals</w:t>
      </w:r>
    </w:p>
    <w:p w14:paraId="17452597"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1: for adjacent or overlapped band combinations, in-gap exemption for ACS and IBB apply for FR2 inter-band CA no matter IBM or CBM. R4-2204575</w:t>
      </w:r>
    </w:p>
    <w:p w14:paraId="52BFD3B7" w14:textId="77777777" w:rsidR="00DD0E17" w:rsidRDefault="00DD0E17" w:rsidP="00DD0E17">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2: Other</w:t>
      </w:r>
    </w:p>
    <w:p w14:paraId="242A06B9" w14:textId="77777777" w:rsidR="00DD0E17" w:rsidRDefault="00DD0E17" w:rsidP="00DD0E17">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Recommended WF</w:t>
      </w:r>
    </w:p>
    <w:p w14:paraId="7B50A89E" w14:textId="7935E877" w:rsidR="00DD0E17" w:rsidRDefault="00A036E8" w:rsidP="00DD0E17">
      <w:pPr>
        <w:pStyle w:val="ListParagraph"/>
        <w:numPr>
          <w:ilvl w:val="1"/>
          <w:numId w:val="16"/>
        </w:numPr>
        <w:overflowPunct/>
        <w:autoSpaceDE/>
        <w:autoSpaceDN/>
        <w:adjustRightInd/>
        <w:spacing w:after="120" w:line="259" w:lineRule="auto"/>
        <w:contextualSpacing w:val="0"/>
        <w:textAlignment w:val="auto"/>
        <w:rPr>
          <w:rFonts w:eastAsia="SimSun"/>
          <w:color w:val="0070C0"/>
          <w:szCs w:val="24"/>
          <w:lang w:eastAsia="zh-CN"/>
        </w:rPr>
      </w:pPr>
      <w:r>
        <w:rPr>
          <w:rFonts w:eastAsia="SimSun"/>
          <w:color w:val="0070C0"/>
          <w:szCs w:val="24"/>
          <w:lang w:eastAsia="zh-CN"/>
        </w:rPr>
        <w:t>None</w:t>
      </w:r>
    </w:p>
    <w:p w14:paraId="6061A531" w14:textId="77777777" w:rsidR="00DD0E17" w:rsidRDefault="00DD0E17" w:rsidP="00DD0E17">
      <w:pPr>
        <w:spacing w:after="120"/>
        <w:rPr>
          <w:color w:val="0070C0"/>
          <w:szCs w:val="24"/>
          <w:lang w:eastAsia="zh-CN"/>
        </w:rPr>
      </w:pPr>
    </w:p>
    <w:p w14:paraId="7CA3F702" w14:textId="77777777" w:rsidR="00A036E8" w:rsidRDefault="00A036E8" w:rsidP="00A036E8">
      <w:pPr>
        <w:pStyle w:val="Heading3"/>
        <w:rPr>
          <w:sz w:val="24"/>
          <w:szCs w:val="16"/>
          <w:lang w:val="en-US"/>
        </w:rPr>
      </w:pPr>
      <w:r>
        <w:rPr>
          <w:sz w:val="24"/>
          <w:szCs w:val="16"/>
          <w:lang w:val="en-US"/>
        </w:rPr>
        <w:t>Sub-topic 3-1: Requirement setting for CBM between frequency groups</w:t>
      </w:r>
    </w:p>
    <w:p w14:paraId="394809BA" w14:textId="77777777" w:rsidR="00A036E8" w:rsidRDefault="00A036E8" w:rsidP="00A036E8">
      <w:pPr>
        <w:rPr>
          <w:b/>
          <w:color w:val="0070C0"/>
          <w:u w:val="single"/>
          <w:lang w:eastAsia="ko-KR"/>
        </w:rPr>
      </w:pPr>
      <w:r>
        <w:rPr>
          <w:b/>
          <w:color w:val="0070C0"/>
          <w:u w:val="single"/>
          <w:lang w:eastAsia="ko-KR"/>
        </w:rPr>
        <w:t>Issue 3-1-1: Requirement setting for CBM between frequency groups</w:t>
      </w:r>
    </w:p>
    <w:p w14:paraId="1BAA041B" w14:textId="77777777" w:rsidR="00A036E8" w:rsidRDefault="00A036E8" w:rsidP="00A036E8">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Proposals</w:t>
      </w:r>
    </w:p>
    <w:p w14:paraId="646C49FC" w14:textId="77777777" w:rsidR="00A036E8" w:rsidRDefault="00A036E8" w:rsidP="00A036E8">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1: For CBM between different band groups is not feasible with single-chain architecture. The requirement definition for inter-band DL CA between different band groups should only be based on multi-chain architecture, R4-2203699 and R4-2204941 partly. And Sensitivity requirements for CBM UEs in an H+L combination shall be based on a multi-chain architecture. R4-2206056</w:t>
      </w:r>
    </w:p>
    <w:p w14:paraId="295F4202" w14:textId="77777777" w:rsidR="00A036E8" w:rsidRDefault="00A036E8" w:rsidP="00A036E8">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2: For UEs indicating IBM and ‘both’ capability for a BC across different frequency groups, then unequal PSD is used, while for UEs indicating CBM-only the input levels resembling an equal PSD are used, R4-2204036.</w:t>
      </w:r>
    </w:p>
    <w:p w14:paraId="46740B10" w14:textId="77777777" w:rsidR="00A036E8" w:rsidRDefault="00A036E8" w:rsidP="00A036E8">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3: CBM requirement shall NOT imply additional request on beam peak direction of each band compared to IBM; and  CBM requirement shall NOT imply additional request on untested band EIS at specific AoA of tested band. R4-2204230</w:t>
      </w:r>
    </w:p>
    <w:p w14:paraId="6CD93176" w14:textId="77777777" w:rsidR="00A036E8" w:rsidRDefault="00A036E8" w:rsidP="00A036E8">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4: Sensitivity requirements for CBM UEs in an H+L combination shall be based on a multi-chain architecture. R4-2206056</w:t>
      </w:r>
    </w:p>
    <w:p w14:paraId="634B7519" w14:textId="77777777" w:rsidR="00A036E8" w:rsidRDefault="00A036E8" w:rsidP="00A036E8">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Recommended WF</w:t>
      </w:r>
    </w:p>
    <w:p w14:paraId="33FF505F" w14:textId="05320CBC" w:rsidR="00A036E8" w:rsidRPr="00C3357B" w:rsidRDefault="00C3357B" w:rsidP="009C0886">
      <w:pPr>
        <w:pStyle w:val="ListParagraph"/>
        <w:numPr>
          <w:ilvl w:val="0"/>
          <w:numId w:val="16"/>
        </w:numPr>
        <w:spacing w:after="120"/>
        <w:rPr>
          <w:color w:val="0070C0"/>
          <w:szCs w:val="24"/>
          <w:lang w:eastAsia="zh-CN"/>
        </w:rPr>
      </w:pPr>
      <w:r w:rsidRPr="00C3357B">
        <w:rPr>
          <w:rFonts w:eastAsia="SimSun"/>
          <w:color w:val="0070C0"/>
          <w:szCs w:val="24"/>
          <w:lang w:eastAsia="zh-CN"/>
        </w:rPr>
        <w:t>Option 1</w:t>
      </w:r>
      <w:r w:rsidRPr="00C3357B">
        <w:rPr>
          <w:rFonts w:eastAsia="SimSun"/>
          <w:color w:val="0070C0"/>
          <w:szCs w:val="24"/>
          <w:lang w:eastAsia="zh-CN"/>
        </w:rPr>
        <w:t xml:space="preserve"> and 4</w:t>
      </w:r>
      <w:r w:rsidRPr="00C3357B">
        <w:rPr>
          <w:rFonts w:eastAsia="SimSun"/>
          <w:color w:val="0070C0"/>
          <w:szCs w:val="24"/>
          <w:lang w:eastAsia="zh-CN"/>
        </w:rPr>
        <w:t xml:space="preserve"> to be discussed and agreed in GTW.</w:t>
      </w:r>
    </w:p>
    <w:p w14:paraId="6C1F2CA2" w14:textId="2E557E46" w:rsidR="00C3357B" w:rsidRDefault="00C3357B" w:rsidP="00C3357B">
      <w:pPr>
        <w:spacing w:after="120"/>
        <w:rPr>
          <w:color w:val="0070C0"/>
          <w:szCs w:val="24"/>
          <w:lang w:eastAsia="zh-CN"/>
        </w:rPr>
      </w:pPr>
    </w:p>
    <w:p w14:paraId="2BE95964" w14:textId="47E0CEA0" w:rsidR="00C3357B" w:rsidRDefault="00C3357B" w:rsidP="00C3357B">
      <w:pPr>
        <w:pStyle w:val="Heading3"/>
        <w:rPr>
          <w:sz w:val="24"/>
          <w:szCs w:val="16"/>
          <w:lang w:val="en-US"/>
        </w:rPr>
      </w:pPr>
      <w:r>
        <w:rPr>
          <w:sz w:val="24"/>
          <w:szCs w:val="16"/>
          <w:lang w:val="en-US"/>
        </w:rPr>
        <w:t xml:space="preserve">Sub-topic 4-1: </w:t>
      </w:r>
      <w:r w:rsidRPr="00C3357B">
        <w:rPr>
          <w:sz w:val="24"/>
          <w:szCs w:val="16"/>
          <w:lang w:val="en-US"/>
        </w:rPr>
        <w:t>Rx beam switch value</w:t>
      </w:r>
    </w:p>
    <w:p w14:paraId="32172AA5" w14:textId="77777777" w:rsidR="00C3357B" w:rsidRDefault="00C3357B" w:rsidP="00C3357B">
      <w:pPr>
        <w:rPr>
          <w:b/>
          <w:color w:val="0070C0"/>
          <w:u w:val="single"/>
          <w:lang w:eastAsia="ko-KR"/>
        </w:rPr>
      </w:pPr>
      <w:r>
        <w:rPr>
          <w:b/>
          <w:color w:val="0070C0"/>
          <w:u w:val="single"/>
          <w:lang w:eastAsia="ko-KR"/>
        </w:rPr>
        <w:t xml:space="preserve">Issue 4-1-1: </w:t>
      </w:r>
    </w:p>
    <w:p w14:paraId="3DCBC333" w14:textId="77777777" w:rsidR="00C3357B" w:rsidRDefault="00C3357B" w:rsidP="00C3357B">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Proposals</w:t>
      </w:r>
    </w:p>
    <w:p w14:paraId="4D0C4B67" w14:textId="77777777" w:rsidR="00C3357B" w:rsidRDefault="00C3357B" w:rsidP="00C3357B">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1: 60 ns</w:t>
      </w:r>
    </w:p>
    <w:p w14:paraId="6BB57A05" w14:textId="77777777" w:rsidR="00C3357B" w:rsidRDefault="00C3357B" w:rsidP="00C3357B">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2: 200n s</w:t>
      </w:r>
    </w:p>
    <w:p w14:paraId="2C16F639" w14:textId="77777777" w:rsidR="00C3357B" w:rsidRDefault="00C3357B" w:rsidP="00C3357B">
      <w:pPr>
        <w:pStyle w:val="ListParagraph"/>
        <w:numPr>
          <w:ilvl w:val="1"/>
          <w:numId w:val="16"/>
        </w:numPr>
        <w:overflowPunct/>
        <w:autoSpaceDE/>
        <w:autoSpaceDN/>
        <w:adjustRightInd/>
        <w:spacing w:after="120" w:line="259" w:lineRule="auto"/>
        <w:ind w:left="1440"/>
        <w:contextualSpacing w:val="0"/>
        <w:textAlignment w:val="auto"/>
        <w:rPr>
          <w:rFonts w:eastAsia="SimSun"/>
          <w:color w:val="0070C0"/>
          <w:szCs w:val="24"/>
          <w:lang w:eastAsia="zh-CN"/>
        </w:rPr>
      </w:pPr>
      <w:r>
        <w:rPr>
          <w:rFonts w:eastAsia="SimSun"/>
          <w:color w:val="0070C0"/>
          <w:szCs w:val="24"/>
          <w:lang w:eastAsia="zh-CN"/>
        </w:rPr>
        <w:t>Option 3: Other</w:t>
      </w:r>
    </w:p>
    <w:p w14:paraId="07F0AB79" w14:textId="77777777" w:rsidR="00C3357B" w:rsidRDefault="00C3357B" w:rsidP="00C3357B">
      <w:pPr>
        <w:pStyle w:val="ListParagraph"/>
        <w:numPr>
          <w:ilvl w:val="0"/>
          <w:numId w:val="16"/>
        </w:numPr>
        <w:overflowPunct/>
        <w:autoSpaceDE/>
        <w:autoSpaceDN/>
        <w:adjustRightInd/>
        <w:spacing w:after="120" w:line="259" w:lineRule="auto"/>
        <w:ind w:left="720"/>
        <w:contextualSpacing w:val="0"/>
        <w:textAlignment w:val="auto"/>
        <w:rPr>
          <w:rFonts w:eastAsia="SimSun"/>
          <w:color w:val="0070C0"/>
          <w:szCs w:val="24"/>
          <w:lang w:eastAsia="zh-CN"/>
        </w:rPr>
      </w:pPr>
      <w:r>
        <w:rPr>
          <w:rFonts w:eastAsia="SimSun"/>
          <w:color w:val="0070C0"/>
          <w:szCs w:val="24"/>
          <w:lang w:eastAsia="zh-CN"/>
        </w:rPr>
        <w:t>Recommended WF</w:t>
      </w:r>
    </w:p>
    <w:p w14:paraId="36EEEE5D" w14:textId="77777777" w:rsidR="00C3357B" w:rsidRDefault="00C3357B" w:rsidP="00C3357B">
      <w:pPr>
        <w:pStyle w:val="ListParagraph"/>
        <w:numPr>
          <w:ilvl w:val="1"/>
          <w:numId w:val="16"/>
        </w:numPr>
        <w:overflowPunct/>
        <w:autoSpaceDE/>
        <w:autoSpaceDN/>
        <w:adjustRightInd/>
        <w:spacing w:after="120" w:line="259" w:lineRule="auto"/>
        <w:contextualSpacing w:val="0"/>
        <w:textAlignment w:val="auto"/>
        <w:rPr>
          <w:rFonts w:eastAsia="SimSun"/>
          <w:color w:val="0070C0"/>
          <w:szCs w:val="24"/>
          <w:lang w:eastAsia="zh-CN"/>
        </w:rPr>
      </w:pPr>
      <w:r>
        <w:rPr>
          <w:rFonts w:eastAsia="SimSun"/>
          <w:color w:val="0070C0"/>
          <w:szCs w:val="24"/>
          <w:lang w:eastAsia="zh-CN"/>
        </w:rPr>
        <w:t>Yes</w:t>
      </w:r>
    </w:p>
    <w:p w14:paraId="20DA12DB" w14:textId="3A426CE5" w:rsidR="00C3357B" w:rsidRPr="00C3357B" w:rsidRDefault="00C3357B" w:rsidP="00C3357B">
      <w:pPr>
        <w:spacing w:after="120"/>
        <w:rPr>
          <w:color w:val="0070C0"/>
          <w:szCs w:val="24"/>
          <w:lang w:eastAsia="zh-CN"/>
        </w:rPr>
      </w:pPr>
      <w:r>
        <w:rPr>
          <w:color w:val="0070C0"/>
          <w:szCs w:val="24"/>
          <w:lang w:eastAsia="zh-CN"/>
        </w:rPr>
        <w:t>UL CA:</w:t>
      </w:r>
    </w:p>
    <w:p w14:paraId="0A49FE89" w14:textId="77777777" w:rsidR="00C3357B" w:rsidRDefault="00C3357B" w:rsidP="00C3357B">
      <w:pPr>
        <w:rPr>
          <w:b/>
          <w:u w:val="single"/>
          <w:lang w:eastAsia="ko-KR"/>
        </w:rPr>
      </w:pPr>
      <w:r>
        <w:rPr>
          <w:b/>
          <w:u w:val="single"/>
          <w:lang w:eastAsia="ko-KR"/>
        </w:rPr>
        <w:t>Issue 5-1: Band combo</w:t>
      </w:r>
    </w:p>
    <w:p w14:paraId="53B68165" w14:textId="77777777" w:rsidR="00C3357B" w:rsidRDefault="00C3357B" w:rsidP="00C3357B">
      <w:pPr>
        <w:pStyle w:val="ListParagraph"/>
        <w:numPr>
          <w:ilvl w:val="0"/>
          <w:numId w:val="16"/>
        </w:numPr>
        <w:overflowPunct/>
        <w:autoSpaceDE/>
        <w:adjustRightInd/>
        <w:spacing w:after="120" w:line="259" w:lineRule="auto"/>
        <w:ind w:left="720"/>
        <w:contextualSpacing w:val="0"/>
        <w:textAlignment w:val="auto"/>
        <w:rPr>
          <w:rFonts w:eastAsia="SimSun"/>
          <w:szCs w:val="24"/>
          <w:lang w:eastAsia="zh-CN"/>
        </w:rPr>
      </w:pPr>
      <w:r>
        <w:rPr>
          <w:rFonts w:eastAsia="SimSun"/>
          <w:szCs w:val="24"/>
          <w:lang w:eastAsia="zh-CN"/>
        </w:rPr>
        <w:t>Proposals</w:t>
      </w:r>
    </w:p>
    <w:p w14:paraId="1B8EDF4D"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Option 1: UL CA_n260-n261 is included in this WI in addition to CA_n257-n259.</w:t>
      </w:r>
    </w:p>
    <w:p w14:paraId="53195E1F"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lastRenderedPageBreak/>
        <w:t>Option 2: Specify only CA_n257-n259.</w:t>
      </w:r>
    </w:p>
    <w:p w14:paraId="0F3C9A3D" w14:textId="77777777" w:rsidR="00C3357B" w:rsidRDefault="00C3357B" w:rsidP="00C3357B">
      <w:pPr>
        <w:pStyle w:val="ListParagraph"/>
        <w:numPr>
          <w:ilvl w:val="0"/>
          <w:numId w:val="16"/>
        </w:numPr>
        <w:overflowPunct/>
        <w:autoSpaceDE/>
        <w:autoSpaceDN/>
        <w:adjustRightInd/>
        <w:spacing w:after="120" w:line="259" w:lineRule="auto"/>
        <w:contextualSpacing w:val="0"/>
        <w:textAlignment w:val="auto"/>
        <w:rPr>
          <w:rFonts w:eastAsia="SimSun"/>
          <w:szCs w:val="24"/>
          <w:lang w:eastAsia="zh-CN"/>
        </w:rPr>
      </w:pPr>
      <w:r>
        <w:rPr>
          <w:rFonts w:eastAsia="SimSun"/>
          <w:szCs w:val="24"/>
          <w:lang w:eastAsia="zh-CN"/>
        </w:rPr>
        <w:t>Recommended WF</w:t>
      </w:r>
    </w:p>
    <w:p w14:paraId="22F5DADF" w14:textId="77777777" w:rsidR="00C3357B" w:rsidRDefault="00C3357B" w:rsidP="00C3357B">
      <w:pPr>
        <w:pStyle w:val="ListParagraph"/>
        <w:numPr>
          <w:ilvl w:val="1"/>
          <w:numId w:val="16"/>
        </w:numPr>
        <w:overflowPunct/>
        <w:autoSpaceDE/>
        <w:autoSpaceDN/>
        <w:adjustRightInd/>
        <w:spacing w:after="120" w:line="259" w:lineRule="auto"/>
        <w:contextualSpacing w:val="0"/>
        <w:textAlignment w:val="auto"/>
        <w:rPr>
          <w:rFonts w:eastAsia="SimSun"/>
          <w:szCs w:val="24"/>
          <w:lang w:eastAsia="zh-CN"/>
        </w:rPr>
      </w:pPr>
      <w:r>
        <w:rPr>
          <w:rFonts w:eastAsia="SimSun"/>
          <w:szCs w:val="24"/>
          <w:lang w:eastAsia="zh-CN"/>
        </w:rPr>
        <w:t>Option 1</w:t>
      </w:r>
    </w:p>
    <w:p w14:paraId="67ACA5E1" w14:textId="77777777" w:rsidR="00A036E8" w:rsidRDefault="00A036E8" w:rsidP="00A036E8">
      <w:pPr>
        <w:spacing w:after="120"/>
        <w:rPr>
          <w:color w:val="0070C0"/>
          <w:szCs w:val="24"/>
          <w:lang w:eastAsia="zh-CN"/>
        </w:rPr>
      </w:pPr>
    </w:p>
    <w:p w14:paraId="7F1D6F99" w14:textId="77777777" w:rsidR="00C3357B" w:rsidRDefault="00C3357B" w:rsidP="00C3357B">
      <w:pPr>
        <w:rPr>
          <w:b/>
          <w:u w:val="single"/>
          <w:lang w:eastAsia="ko-KR"/>
        </w:rPr>
      </w:pPr>
      <w:r>
        <w:rPr>
          <w:b/>
          <w:u w:val="single"/>
          <w:lang w:eastAsia="ko-KR"/>
        </w:rPr>
        <w:t>Issue 5-2: power class</w:t>
      </w:r>
    </w:p>
    <w:p w14:paraId="274F370C" w14:textId="77777777" w:rsidR="00C3357B" w:rsidRDefault="00C3357B" w:rsidP="00C3357B">
      <w:pPr>
        <w:pStyle w:val="ListParagraph"/>
        <w:numPr>
          <w:ilvl w:val="0"/>
          <w:numId w:val="16"/>
        </w:numPr>
        <w:overflowPunct/>
        <w:autoSpaceDE/>
        <w:adjustRightInd/>
        <w:spacing w:after="120" w:line="259" w:lineRule="auto"/>
        <w:ind w:left="720"/>
        <w:contextualSpacing w:val="0"/>
        <w:textAlignment w:val="auto"/>
        <w:rPr>
          <w:rFonts w:eastAsia="SimSun"/>
          <w:szCs w:val="24"/>
          <w:lang w:eastAsia="zh-CN"/>
        </w:rPr>
      </w:pPr>
      <w:r>
        <w:rPr>
          <w:rFonts w:eastAsia="SimSun"/>
          <w:szCs w:val="24"/>
          <w:lang w:eastAsia="zh-CN"/>
        </w:rPr>
        <w:t>Proposals</w:t>
      </w:r>
    </w:p>
    <w:p w14:paraId="24FF8195"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Option 1: PC3 is specified</w:t>
      </w:r>
    </w:p>
    <w:p w14:paraId="791AE9C6"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Option 2: PC5 is specified.</w:t>
      </w:r>
    </w:p>
    <w:p w14:paraId="1887370F"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Option 3: Both PC3 and PC5 are specified.</w:t>
      </w:r>
    </w:p>
    <w:p w14:paraId="1658041B" w14:textId="77777777" w:rsidR="00C3357B" w:rsidRDefault="00C3357B" w:rsidP="00C3357B">
      <w:pPr>
        <w:pStyle w:val="ListParagraph"/>
        <w:numPr>
          <w:ilvl w:val="0"/>
          <w:numId w:val="16"/>
        </w:numPr>
        <w:overflowPunct/>
        <w:autoSpaceDE/>
        <w:autoSpaceDN/>
        <w:adjustRightInd/>
        <w:spacing w:after="120" w:line="259" w:lineRule="auto"/>
        <w:contextualSpacing w:val="0"/>
        <w:textAlignment w:val="auto"/>
        <w:rPr>
          <w:rFonts w:eastAsia="SimSun"/>
          <w:szCs w:val="24"/>
          <w:lang w:eastAsia="zh-CN"/>
        </w:rPr>
      </w:pPr>
      <w:r>
        <w:rPr>
          <w:rFonts w:eastAsia="SimSun"/>
          <w:szCs w:val="24"/>
          <w:lang w:eastAsia="zh-CN"/>
        </w:rPr>
        <w:t>Recommended WF</w:t>
      </w:r>
    </w:p>
    <w:p w14:paraId="49A2487D" w14:textId="77777777" w:rsidR="00C3357B" w:rsidRDefault="00C3357B" w:rsidP="00C3357B">
      <w:pPr>
        <w:pStyle w:val="ListParagraph"/>
        <w:numPr>
          <w:ilvl w:val="1"/>
          <w:numId w:val="16"/>
        </w:numPr>
        <w:overflowPunct/>
        <w:autoSpaceDE/>
        <w:adjustRightInd/>
        <w:spacing w:after="120" w:line="259" w:lineRule="auto"/>
        <w:contextualSpacing w:val="0"/>
        <w:textAlignment w:val="auto"/>
        <w:rPr>
          <w:rFonts w:eastAsia="SimSun"/>
          <w:szCs w:val="24"/>
          <w:lang w:eastAsia="zh-CN"/>
        </w:rPr>
      </w:pPr>
      <w:r>
        <w:rPr>
          <w:rFonts w:eastAsia="SimSun"/>
          <w:szCs w:val="24"/>
          <w:lang w:eastAsia="zh-CN"/>
        </w:rPr>
        <w:t xml:space="preserve">As there are concerns about total power for PC3, Moderator propose to exclude </w:t>
      </w:r>
      <w:r>
        <w:rPr>
          <w:szCs w:val="24"/>
          <w:lang w:eastAsia="zh-CN"/>
        </w:rPr>
        <w:t xml:space="preserve">PC3 and focus on non-handheld device types such as PC1/PC2/PC4/PC5 and a possible new power class </w:t>
      </w:r>
      <w:proofErr w:type="gramStart"/>
      <w:r>
        <w:rPr>
          <w:szCs w:val="24"/>
          <w:lang w:eastAsia="zh-CN"/>
        </w:rPr>
        <w:t>similar to</w:t>
      </w:r>
      <w:proofErr w:type="gramEnd"/>
      <w:r>
        <w:rPr>
          <w:szCs w:val="24"/>
          <w:lang w:eastAsia="zh-CN"/>
        </w:rPr>
        <w:t xml:space="preserve"> PC3 but for non-handheld form factor like for laptops. The possible new power class is less affected by thermal/power/MPE issues and thus could maintain the PC3 EIRP/EIS requirement (without power concept but with CA relaxations).</w:t>
      </w:r>
    </w:p>
    <w:p w14:paraId="71C3C497" w14:textId="1C5BE322" w:rsidR="00C3357B" w:rsidRDefault="00C3357B" w:rsidP="00C3357B">
      <w:pPr>
        <w:pStyle w:val="ListParagraph"/>
        <w:numPr>
          <w:ilvl w:val="1"/>
          <w:numId w:val="16"/>
        </w:numPr>
        <w:overflowPunct/>
        <w:autoSpaceDE/>
        <w:adjustRightInd/>
        <w:spacing w:after="120" w:line="259" w:lineRule="auto"/>
        <w:contextualSpacing w:val="0"/>
        <w:textAlignment w:val="auto"/>
        <w:rPr>
          <w:rFonts w:eastAsia="SimSun"/>
          <w:szCs w:val="24"/>
          <w:lang w:eastAsia="zh-CN"/>
        </w:rPr>
      </w:pPr>
      <w:r>
        <w:rPr>
          <w:rFonts w:eastAsia="SimSun"/>
          <w:szCs w:val="24"/>
          <w:lang w:eastAsia="zh-CN"/>
        </w:rPr>
        <w:t>Is it acceptable to specify PC1, PC2, PC4, PC5 and the new power class?</w:t>
      </w:r>
    </w:p>
    <w:p w14:paraId="0C254FA5" w14:textId="77777777" w:rsidR="00C3357B" w:rsidRDefault="00C3357B" w:rsidP="00C3357B">
      <w:pPr>
        <w:pStyle w:val="ListParagraph"/>
        <w:overflowPunct/>
        <w:autoSpaceDE/>
        <w:adjustRightInd/>
        <w:spacing w:after="120" w:line="259" w:lineRule="auto"/>
        <w:ind w:left="1656"/>
        <w:contextualSpacing w:val="0"/>
        <w:textAlignment w:val="auto"/>
        <w:rPr>
          <w:rFonts w:eastAsia="SimSun"/>
          <w:szCs w:val="24"/>
          <w:lang w:eastAsia="zh-CN"/>
        </w:rPr>
      </w:pPr>
    </w:p>
    <w:p w14:paraId="7680DD66" w14:textId="77777777" w:rsidR="00C3357B" w:rsidRDefault="00C3357B" w:rsidP="00C3357B">
      <w:pPr>
        <w:rPr>
          <w:b/>
          <w:u w:val="single"/>
          <w:lang w:eastAsia="ko-KR"/>
        </w:rPr>
      </w:pPr>
      <w:r>
        <w:rPr>
          <w:b/>
          <w:u w:val="single"/>
          <w:lang w:eastAsia="ko-KR"/>
        </w:rPr>
        <w:t>Issue 5-3: total power concept for PC3</w:t>
      </w:r>
    </w:p>
    <w:p w14:paraId="48BA9687" w14:textId="77777777" w:rsidR="00C3357B" w:rsidRDefault="00C3357B" w:rsidP="00C3357B">
      <w:pPr>
        <w:pStyle w:val="ListParagraph"/>
        <w:numPr>
          <w:ilvl w:val="0"/>
          <w:numId w:val="16"/>
        </w:numPr>
        <w:overflowPunct/>
        <w:autoSpaceDE/>
        <w:adjustRightInd/>
        <w:spacing w:after="120" w:line="259" w:lineRule="auto"/>
        <w:ind w:left="720"/>
        <w:contextualSpacing w:val="0"/>
        <w:textAlignment w:val="auto"/>
        <w:rPr>
          <w:rFonts w:eastAsia="SimSun"/>
          <w:szCs w:val="24"/>
          <w:lang w:eastAsia="zh-CN"/>
        </w:rPr>
      </w:pPr>
      <w:r>
        <w:rPr>
          <w:rFonts w:eastAsia="SimSun"/>
          <w:szCs w:val="24"/>
          <w:lang w:eastAsia="zh-CN"/>
        </w:rPr>
        <w:t>Proposals</w:t>
      </w:r>
    </w:p>
    <w:p w14:paraId="392D9847"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Option 1: not needed</w:t>
      </w:r>
    </w:p>
    <w:p w14:paraId="2537B077"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Option 2: 1 dB</w:t>
      </w:r>
    </w:p>
    <w:p w14:paraId="64798272"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Option 3: 2 dB</w:t>
      </w:r>
    </w:p>
    <w:p w14:paraId="248E389E"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Option 3: 3 dB or more</w:t>
      </w:r>
    </w:p>
    <w:p w14:paraId="7F1EB9C5"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Option 4: TRP power for inter-band UL CA should not exceed the level for single band</w:t>
      </w:r>
    </w:p>
    <w:p w14:paraId="58C9B97E"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Option 5: Others (please specify)</w:t>
      </w:r>
    </w:p>
    <w:p w14:paraId="4DDE0B96" w14:textId="77777777" w:rsidR="00C3357B" w:rsidRDefault="00C3357B" w:rsidP="00C3357B">
      <w:pPr>
        <w:pStyle w:val="ListParagraph"/>
        <w:numPr>
          <w:ilvl w:val="0"/>
          <w:numId w:val="16"/>
        </w:numPr>
        <w:overflowPunct/>
        <w:autoSpaceDE/>
        <w:autoSpaceDN/>
        <w:adjustRightInd/>
        <w:spacing w:after="120" w:line="259" w:lineRule="auto"/>
        <w:contextualSpacing w:val="0"/>
        <w:textAlignment w:val="auto"/>
        <w:rPr>
          <w:rFonts w:eastAsia="SimSun"/>
          <w:szCs w:val="24"/>
          <w:lang w:eastAsia="zh-CN"/>
        </w:rPr>
      </w:pPr>
      <w:r>
        <w:rPr>
          <w:rFonts w:eastAsia="SimSun"/>
          <w:szCs w:val="24"/>
          <w:lang w:eastAsia="zh-CN"/>
        </w:rPr>
        <w:t>Recommended WF</w:t>
      </w:r>
    </w:p>
    <w:p w14:paraId="5A6F5A26" w14:textId="77777777" w:rsidR="00C3357B" w:rsidRDefault="00C3357B" w:rsidP="00C3357B">
      <w:pPr>
        <w:pStyle w:val="ListParagraph"/>
        <w:numPr>
          <w:ilvl w:val="1"/>
          <w:numId w:val="16"/>
        </w:numPr>
        <w:overflowPunct/>
        <w:autoSpaceDE/>
        <w:autoSpaceDN/>
        <w:adjustRightInd/>
        <w:spacing w:after="120" w:line="259" w:lineRule="auto"/>
        <w:contextualSpacing w:val="0"/>
        <w:textAlignment w:val="auto"/>
        <w:rPr>
          <w:rFonts w:eastAsia="SimSun"/>
          <w:szCs w:val="24"/>
          <w:lang w:eastAsia="zh-CN"/>
        </w:rPr>
      </w:pPr>
      <w:r>
        <w:rPr>
          <w:rFonts w:eastAsia="SimSun"/>
          <w:szCs w:val="24"/>
          <w:lang w:eastAsia="zh-CN"/>
        </w:rPr>
        <w:t>Moderator suggests focussing on non-hand-held power classes. Is it acceptable to skip PC3 issues 5-3, 5-5, 5-6, and 5-7?</w:t>
      </w:r>
    </w:p>
    <w:p w14:paraId="2F9E2B2F" w14:textId="77777777" w:rsidR="00C3357B" w:rsidRDefault="00C3357B" w:rsidP="00C3357B">
      <w:pPr>
        <w:rPr>
          <w:b/>
          <w:u w:val="single"/>
          <w:lang w:eastAsia="ko-KR"/>
        </w:rPr>
      </w:pPr>
      <w:r>
        <w:rPr>
          <w:b/>
          <w:u w:val="single"/>
          <w:lang w:eastAsia="ko-KR"/>
        </w:rPr>
        <w:t>Issue 5-4: total power concept for other than handheld device types (i.e., such as PC1/2/4/5 and a new PC)</w:t>
      </w:r>
    </w:p>
    <w:p w14:paraId="61EB76F3" w14:textId="77777777" w:rsidR="00C3357B" w:rsidRDefault="00C3357B" w:rsidP="00C3357B">
      <w:pPr>
        <w:pStyle w:val="ListParagraph"/>
        <w:numPr>
          <w:ilvl w:val="0"/>
          <w:numId w:val="16"/>
        </w:numPr>
        <w:overflowPunct/>
        <w:autoSpaceDE/>
        <w:adjustRightInd/>
        <w:spacing w:after="120" w:line="259" w:lineRule="auto"/>
        <w:ind w:left="720"/>
        <w:contextualSpacing w:val="0"/>
        <w:textAlignment w:val="auto"/>
        <w:rPr>
          <w:rFonts w:eastAsia="SimSun"/>
          <w:szCs w:val="24"/>
          <w:lang w:eastAsia="zh-CN"/>
        </w:rPr>
      </w:pPr>
      <w:r>
        <w:rPr>
          <w:rFonts w:eastAsia="SimSun"/>
          <w:szCs w:val="24"/>
          <w:lang w:eastAsia="zh-CN"/>
        </w:rPr>
        <w:t>Proposals</w:t>
      </w:r>
    </w:p>
    <w:p w14:paraId="213F300E"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Option 1: not needed</w:t>
      </w:r>
    </w:p>
    <w:p w14:paraId="10235285"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Option 2: still needed</w:t>
      </w:r>
    </w:p>
    <w:p w14:paraId="36216C18"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Option 3: Others (please specify)</w:t>
      </w:r>
    </w:p>
    <w:p w14:paraId="3B3C9BE7" w14:textId="77777777" w:rsidR="00C3357B" w:rsidRDefault="00C3357B" w:rsidP="00C3357B">
      <w:pPr>
        <w:pStyle w:val="ListParagraph"/>
        <w:numPr>
          <w:ilvl w:val="0"/>
          <w:numId w:val="16"/>
        </w:numPr>
        <w:overflowPunct/>
        <w:autoSpaceDE/>
        <w:autoSpaceDN/>
        <w:adjustRightInd/>
        <w:spacing w:after="120" w:line="259" w:lineRule="auto"/>
        <w:contextualSpacing w:val="0"/>
        <w:textAlignment w:val="auto"/>
        <w:rPr>
          <w:rFonts w:eastAsia="SimSun"/>
          <w:szCs w:val="24"/>
          <w:lang w:eastAsia="zh-CN"/>
        </w:rPr>
      </w:pPr>
      <w:r>
        <w:rPr>
          <w:rFonts w:eastAsia="SimSun"/>
          <w:szCs w:val="24"/>
          <w:lang w:eastAsia="zh-CN"/>
        </w:rPr>
        <w:t>Recommended WF</w:t>
      </w:r>
    </w:p>
    <w:p w14:paraId="1F35B5D3" w14:textId="77777777" w:rsidR="00C3357B" w:rsidRDefault="00C3357B" w:rsidP="00C3357B">
      <w:pPr>
        <w:pStyle w:val="ListParagraph"/>
        <w:numPr>
          <w:ilvl w:val="1"/>
          <w:numId w:val="16"/>
        </w:numPr>
        <w:overflowPunct/>
        <w:autoSpaceDE/>
        <w:autoSpaceDN/>
        <w:adjustRightInd/>
        <w:spacing w:after="120" w:line="259" w:lineRule="auto"/>
        <w:contextualSpacing w:val="0"/>
        <w:textAlignment w:val="auto"/>
        <w:rPr>
          <w:rFonts w:eastAsia="SimSun"/>
          <w:szCs w:val="24"/>
          <w:lang w:eastAsia="zh-CN"/>
        </w:rPr>
      </w:pPr>
      <w:r>
        <w:rPr>
          <w:rFonts w:eastAsia="SimSun"/>
          <w:szCs w:val="24"/>
          <w:lang w:eastAsia="zh-CN"/>
        </w:rPr>
        <w:t>Moderator suggests Option 1</w:t>
      </w:r>
    </w:p>
    <w:p w14:paraId="620F1014" w14:textId="77777777" w:rsidR="00C3357B" w:rsidRDefault="00C3357B" w:rsidP="00C3357B">
      <w:pPr>
        <w:rPr>
          <w:b/>
          <w:u w:val="single"/>
          <w:lang w:eastAsia="ko-KR"/>
        </w:rPr>
      </w:pPr>
      <w:r>
        <w:rPr>
          <w:b/>
          <w:u w:val="single"/>
          <w:lang w:eastAsia="ko-KR"/>
        </w:rPr>
        <w:t>Issue 5-11: Power Control</w:t>
      </w:r>
    </w:p>
    <w:p w14:paraId="76E8A8BA" w14:textId="77777777" w:rsidR="00C3357B" w:rsidRDefault="00C3357B" w:rsidP="00C3357B">
      <w:pPr>
        <w:pStyle w:val="ListParagraph"/>
        <w:numPr>
          <w:ilvl w:val="0"/>
          <w:numId w:val="16"/>
        </w:numPr>
        <w:overflowPunct/>
        <w:autoSpaceDE/>
        <w:adjustRightInd/>
        <w:spacing w:after="120" w:line="259" w:lineRule="auto"/>
        <w:ind w:left="720"/>
        <w:contextualSpacing w:val="0"/>
        <w:textAlignment w:val="auto"/>
        <w:rPr>
          <w:rFonts w:eastAsia="SimSun"/>
          <w:szCs w:val="24"/>
          <w:lang w:eastAsia="zh-CN"/>
        </w:rPr>
      </w:pPr>
      <w:r>
        <w:rPr>
          <w:rFonts w:eastAsia="SimSun"/>
          <w:szCs w:val="24"/>
          <w:lang w:eastAsia="zh-CN"/>
        </w:rPr>
        <w:t>Proposals</w:t>
      </w:r>
    </w:p>
    <w:p w14:paraId="569DE320"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 xml:space="preserve">Option 1: </w:t>
      </w:r>
      <w:r>
        <w:rPr>
          <w:b/>
          <w:bCs/>
          <w:lang w:val="en-US"/>
        </w:rPr>
        <w:t xml:space="preserve">for UL inter-band CA power control in FR2, the existing behavior in 38.213 is assumed: the UE configures a </w:t>
      </w:r>
      <w:r>
        <w:rPr>
          <w:b/>
          <w:bCs/>
        </w:rPr>
        <w:t>P</w:t>
      </w:r>
      <w:r>
        <w:rPr>
          <w:b/>
          <w:bCs/>
          <w:vertAlign w:val="subscript"/>
        </w:rPr>
        <w:t>CMAX</w:t>
      </w:r>
      <w:r>
        <w:rPr>
          <w:b/>
          <w:bCs/>
        </w:rPr>
        <w:t xml:space="preserve"> in an implementation-specific manner like for the intra-band case and relative power limits are used for controlling the power on the serving cells. P</w:t>
      </w:r>
      <w:r>
        <w:rPr>
          <w:b/>
          <w:bCs/>
          <w:vertAlign w:val="subscript"/>
        </w:rPr>
        <w:t xml:space="preserve">CMAX </w:t>
      </w:r>
      <w:r>
        <w:rPr>
          <w:b/>
          <w:bCs/>
        </w:rPr>
        <w:t xml:space="preserve">≥ </w:t>
      </w:r>
      <w:proofErr w:type="spellStart"/>
      <w:r>
        <w:rPr>
          <w:b/>
          <w:bCs/>
        </w:rPr>
        <w:t>P</w:t>
      </w:r>
      <w:r>
        <w:rPr>
          <w:b/>
          <w:bCs/>
          <w:vertAlign w:val="subscript"/>
        </w:rPr>
        <w:t>CMAX,f,c</w:t>
      </w:r>
      <w:proofErr w:type="spellEnd"/>
      <w:r>
        <w:rPr>
          <w:b/>
          <w:bCs/>
        </w:rPr>
        <w:t xml:space="preserve"> for each configured serving cell </w:t>
      </w:r>
      <w:r>
        <w:rPr>
          <w:b/>
          <w:bCs/>
          <w:i/>
          <w:iCs/>
        </w:rPr>
        <w:t>c</w:t>
      </w:r>
      <w:r>
        <w:rPr>
          <w:b/>
          <w:bCs/>
        </w:rPr>
        <w:t xml:space="preserve"> with </w:t>
      </w:r>
      <w:proofErr w:type="spellStart"/>
      <w:r>
        <w:rPr>
          <w:b/>
          <w:bCs/>
        </w:rPr>
        <w:t>P</w:t>
      </w:r>
      <w:r>
        <w:rPr>
          <w:b/>
          <w:bCs/>
          <w:vertAlign w:val="subscript"/>
        </w:rPr>
        <w:t>CMAX,f,c</w:t>
      </w:r>
      <w:proofErr w:type="spellEnd"/>
      <w:r>
        <w:rPr>
          <w:b/>
          <w:bCs/>
        </w:rPr>
        <w:t xml:space="preserve"> as specified in clause 6.2.4 with parameters MPR and A-MPR as specified per serving cell or modified as needed for the band combination (CA MPR). (Ericsson)</w:t>
      </w:r>
    </w:p>
    <w:p w14:paraId="021F30B3"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lastRenderedPageBreak/>
        <w:t xml:space="preserve">Option 2: </w:t>
      </w:r>
      <w:r>
        <w:rPr>
          <w:b/>
          <w:i/>
          <w:lang w:val="en-US"/>
        </w:rPr>
        <w:t xml:space="preserve">Before conclusion of </w:t>
      </w:r>
      <w:proofErr w:type="spellStart"/>
      <w:r>
        <w:rPr>
          <w:b/>
          <w:i/>
          <w:lang w:val="en-US"/>
        </w:rPr>
        <w:t>SCell</w:t>
      </w:r>
      <w:proofErr w:type="spellEnd"/>
      <w:r>
        <w:rPr>
          <w:b/>
          <w:i/>
          <w:lang w:val="en-US"/>
        </w:rPr>
        <w:t xml:space="preserve"> dropping solution for intra-band CA, no need to have further discussion on power control for FR2 UL inter-band CA case. (Huawei)</w:t>
      </w:r>
    </w:p>
    <w:p w14:paraId="019BEFFD"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 xml:space="preserve">Option 3: </w:t>
      </w:r>
      <w:r>
        <w:rPr>
          <w:b/>
          <w:bCs/>
          <w:lang w:val="en-US"/>
        </w:rPr>
        <w:t>For FR2+FR2 inter-band ULCA, the configured power requirement shall be independent and per-FR2 band. (Qualcomm)</w:t>
      </w:r>
    </w:p>
    <w:p w14:paraId="56526FCA"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rPr>
          <w:rFonts w:eastAsia="SimSun"/>
          <w:szCs w:val="24"/>
          <w:lang w:eastAsia="zh-CN"/>
        </w:rPr>
        <w:t>Option 4: Others (Please specify)</w:t>
      </w:r>
    </w:p>
    <w:p w14:paraId="33976FAB" w14:textId="77777777" w:rsidR="00C3357B" w:rsidRDefault="00C3357B" w:rsidP="00C3357B">
      <w:pPr>
        <w:pStyle w:val="ListParagraph"/>
        <w:numPr>
          <w:ilvl w:val="0"/>
          <w:numId w:val="16"/>
        </w:numPr>
        <w:overflowPunct/>
        <w:autoSpaceDE/>
        <w:adjustRightInd/>
        <w:spacing w:after="120" w:line="259" w:lineRule="auto"/>
        <w:ind w:left="720"/>
        <w:contextualSpacing w:val="0"/>
        <w:textAlignment w:val="auto"/>
        <w:rPr>
          <w:rFonts w:eastAsia="SimSun"/>
          <w:szCs w:val="24"/>
          <w:lang w:eastAsia="zh-CN"/>
        </w:rPr>
      </w:pPr>
      <w:r>
        <w:rPr>
          <w:rFonts w:eastAsia="SimSun"/>
          <w:szCs w:val="24"/>
          <w:lang w:eastAsia="zh-CN"/>
        </w:rPr>
        <w:t>Recommended WF</w:t>
      </w:r>
    </w:p>
    <w:p w14:paraId="53A3D14E" w14:textId="77777777" w:rsidR="00C3357B" w:rsidRDefault="00C3357B" w:rsidP="00C3357B">
      <w:pPr>
        <w:pStyle w:val="ListParagraph"/>
        <w:numPr>
          <w:ilvl w:val="1"/>
          <w:numId w:val="16"/>
        </w:numPr>
        <w:overflowPunct/>
        <w:autoSpaceDE/>
        <w:adjustRightInd/>
        <w:spacing w:after="120" w:line="259" w:lineRule="auto"/>
        <w:ind w:left="1440"/>
        <w:contextualSpacing w:val="0"/>
        <w:textAlignment w:val="auto"/>
        <w:rPr>
          <w:rFonts w:eastAsia="SimSun"/>
          <w:szCs w:val="24"/>
          <w:lang w:eastAsia="zh-CN"/>
        </w:rPr>
      </w:pPr>
      <w:r>
        <w:t>TBD</w:t>
      </w:r>
    </w:p>
    <w:p w14:paraId="12046414" w14:textId="77777777" w:rsidR="00DD0E17" w:rsidRDefault="00DD0E17" w:rsidP="00DD0E17">
      <w:pPr>
        <w:spacing w:after="120"/>
        <w:rPr>
          <w:color w:val="0070C0"/>
          <w:szCs w:val="24"/>
          <w:lang w:eastAsia="zh-CN"/>
        </w:rPr>
      </w:pPr>
    </w:p>
    <w:p w14:paraId="340058C3" w14:textId="2297DBFA" w:rsidR="00F1580A" w:rsidRPr="00DD0E17" w:rsidRDefault="00F1580A" w:rsidP="00290FCD">
      <w:pPr>
        <w:spacing w:after="0"/>
        <w:rPr>
          <w:lang w:eastAsia="fi-FI"/>
        </w:rPr>
      </w:pPr>
    </w:p>
    <w:p w14:paraId="36DECEF4" w14:textId="77777777" w:rsidR="00F1580A" w:rsidRDefault="00F1580A" w:rsidP="00290FCD">
      <w:pPr>
        <w:spacing w:after="0"/>
        <w:rPr>
          <w:lang w:val="en-US" w:eastAsia="fi-FI"/>
        </w:rPr>
      </w:pPr>
    </w:p>
    <w:p w14:paraId="1C2C081F" w14:textId="77777777" w:rsidR="00F1580A" w:rsidRDefault="00F1580A" w:rsidP="00290FCD">
      <w:pPr>
        <w:spacing w:after="0"/>
      </w:pPr>
    </w:p>
    <w:sectPr w:rsidR="00F1580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F93C0" w14:textId="77777777" w:rsidR="00934763" w:rsidRDefault="00934763">
      <w:pPr>
        <w:spacing w:after="0"/>
      </w:pPr>
      <w:r>
        <w:separator/>
      </w:r>
    </w:p>
  </w:endnote>
  <w:endnote w:type="continuationSeparator" w:id="0">
    <w:p w14:paraId="0076464B" w14:textId="77777777" w:rsidR="00934763" w:rsidRDefault="009347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22305" w14:textId="77777777" w:rsidR="00934763" w:rsidRDefault="00934763">
      <w:pPr>
        <w:spacing w:after="0"/>
      </w:pPr>
      <w:r>
        <w:separator/>
      </w:r>
    </w:p>
  </w:footnote>
  <w:footnote w:type="continuationSeparator" w:id="0">
    <w:p w14:paraId="2FD60B9A" w14:textId="77777777" w:rsidR="00934763" w:rsidRDefault="009347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0D95"/>
    <w:multiLevelType w:val="hybridMultilevel"/>
    <w:tmpl w:val="73C493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6D44D8"/>
    <w:multiLevelType w:val="multilevel"/>
    <w:tmpl w:val="096D44D8"/>
    <w:lvl w:ilvl="0">
      <w:start w:val="1"/>
      <w:numFmt w:val="bullet"/>
      <w:lvlText w:val=""/>
      <w:lvlJc w:val="left"/>
      <w:pPr>
        <w:ind w:left="42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840" w:hanging="420"/>
      </w:pPr>
      <w:rPr>
        <w:rFonts w:ascii="Wingdings" w:hAnsi="Wingdings" w:hint="default"/>
      </w:rPr>
    </w:lvl>
    <w:lvl w:ilvl="5">
      <w:start w:val="1"/>
      <w:numFmt w:val="bullet"/>
      <w:lvlText w:val=""/>
      <w:lvlJc w:val="left"/>
      <w:pPr>
        <w:ind w:left="-420" w:hanging="420"/>
      </w:pPr>
      <w:rPr>
        <w:rFonts w:ascii="Wingdings" w:hAnsi="Wingdings" w:hint="default"/>
      </w:rPr>
    </w:lvl>
    <w:lvl w:ilvl="6">
      <w:start w:val="1"/>
      <w:numFmt w:val="bullet"/>
      <w:lvlText w:val=""/>
      <w:lvlJc w:val="left"/>
      <w:pPr>
        <w:ind w:left="0" w:hanging="420"/>
      </w:pPr>
      <w:rPr>
        <w:rFonts w:ascii="Wingdings" w:hAnsi="Wingdings" w:hint="default"/>
      </w:rPr>
    </w:lvl>
    <w:lvl w:ilvl="7">
      <w:start w:val="1"/>
      <w:numFmt w:val="bullet"/>
      <w:lvlText w:val=""/>
      <w:lvlJc w:val="left"/>
      <w:pPr>
        <w:ind w:left="420" w:hanging="420"/>
      </w:pPr>
      <w:rPr>
        <w:rFonts w:ascii="Wingdings" w:hAnsi="Wingdings" w:hint="default"/>
      </w:rPr>
    </w:lvl>
    <w:lvl w:ilvl="8">
      <w:start w:val="1"/>
      <w:numFmt w:val="bullet"/>
      <w:lvlText w:val=""/>
      <w:lvlJc w:val="left"/>
      <w:pPr>
        <w:ind w:left="840" w:hanging="420"/>
      </w:pPr>
      <w:rPr>
        <w:rFonts w:ascii="Wingdings" w:hAnsi="Wingdings" w:hint="default"/>
      </w:rPr>
    </w:lvl>
  </w:abstractNum>
  <w:abstractNum w:abstractNumId="2" w15:restartNumberingAfterBreak="0">
    <w:nsid w:val="0A830668"/>
    <w:multiLevelType w:val="hybridMultilevel"/>
    <w:tmpl w:val="835C06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296B20"/>
    <w:multiLevelType w:val="hybridMultilevel"/>
    <w:tmpl w:val="D4FA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17E92"/>
    <w:multiLevelType w:val="multilevel"/>
    <w:tmpl w:val="F77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8D3FD3"/>
    <w:multiLevelType w:val="hybridMultilevel"/>
    <w:tmpl w:val="9502F3D2"/>
    <w:lvl w:ilvl="0" w:tplc="73748A46">
      <w:start w:val="1"/>
      <w:numFmt w:val="bullet"/>
      <w:lvlText w:val=""/>
      <w:lvlJc w:val="left"/>
      <w:pPr>
        <w:ind w:left="720" w:hanging="360"/>
      </w:pPr>
      <w:rPr>
        <w:rFonts w:ascii="Symbol" w:hAnsi="Symbol" w:hint="default"/>
      </w:rPr>
    </w:lvl>
    <w:lvl w:ilvl="1" w:tplc="17765AA0">
      <w:start w:val="1"/>
      <w:numFmt w:val="bullet"/>
      <w:lvlText w:val="o"/>
      <w:lvlJc w:val="left"/>
      <w:pPr>
        <w:ind w:left="1440" w:hanging="360"/>
      </w:pPr>
      <w:rPr>
        <w:rFonts w:ascii="Courier New" w:hAnsi="Courier New" w:hint="default"/>
      </w:rPr>
    </w:lvl>
    <w:lvl w:ilvl="2" w:tplc="2C285EF2">
      <w:start w:val="1"/>
      <w:numFmt w:val="bullet"/>
      <w:lvlText w:val=""/>
      <w:lvlJc w:val="left"/>
      <w:pPr>
        <w:ind w:left="2160" w:hanging="360"/>
      </w:pPr>
      <w:rPr>
        <w:rFonts w:ascii="Wingdings" w:hAnsi="Wingdings" w:hint="default"/>
      </w:rPr>
    </w:lvl>
    <w:lvl w:ilvl="3" w:tplc="E1668466">
      <w:start w:val="1"/>
      <w:numFmt w:val="bullet"/>
      <w:lvlText w:val=""/>
      <w:lvlJc w:val="left"/>
      <w:pPr>
        <w:ind w:left="2880" w:hanging="360"/>
      </w:pPr>
      <w:rPr>
        <w:rFonts w:ascii="Symbol" w:hAnsi="Symbol" w:hint="default"/>
      </w:rPr>
    </w:lvl>
    <w:lvl w:ilvl="4" w:tplc="D3A629DC">
      <w:start w:val="1"/>
      <w:numFmt w:val="bullet"/>
      <w:lvlText w:val="o"/>
      <w:lvlJc w:val="left"/>
      <w:pPr>
        <w:ind w:left="3600" w:hanging="360"/>
      </w:pPr>
      <w:rPr>
        <w:rFonts w:ascii="Courier New" w:hAnsi="Courier New" w:hint="default"/>
      </w:rPr>
    </w:lvl>
    <w:lvl w:ilvl="5" w:tplc="6BA0470E">
      <w:start w:val="1"/>
      <w:numFmt w:val="bullet"/>
      <w:lvlText w:val=""/>
      <w:lvlJc w:val="left"/>
      <w:pPr>
        <w:ind w:left="4320" w:hanging="360"/>
      </w:pPr>
      <w:rPr>
        <w:rFonts w:ascii="Wingdings" w:hAnsi="Wingdings" w:hint="default"/>
      </w:rPr>
    </w:lvl>
    <w:lvl w:ilvl="6" w:tplc="3494A282">
      <w:start w:val="1"/>
      <w:numFmt w:val="bullet"/>
      <w:lvlText w:val=""/>
      <w:lvlJc w:val="left"/>
      <w:pPr>
        <w:ind w:left="5040" w:hanging="360"/>
      </w:pPr>
      <w:rPr>
        <w:rFonts w:ascii="Symbol" w:hAnsi="Symbol" w:hint="default"/>
      </w:rPr>
    </w:lvl>
    <w:lvl w:ilvl="7" w:tplc="F79EEF5C">
      <w:start w:val="1"/>
      <w:numFmt w:val="bullet"/>
      <w:lvlText w:val="o"/>
      <w:lvlJc w:val="left"/>
      <w:pPr>
        <w:ind w:left="5760" w:hanging="360"/>
      </w:pPr>
      <w:rPr>
        <w:rFonts w:ascii="Courier New" w:hAnsi="Courier New" w:hint="default"/>
      </w:rPr>
    </w:lvl>
    <w:lvl w:ilvl="8" w:tplc="5A840690">
      <w:start w:val="1"/>
      <w:numFmt w:val="bullet"/>
      <w:lvlText w:val=""/>
      <w:lvlJc w:val="left"/>
      <w:pPr>
        <w:ind w:left="6480" w:hanging="360"/>
      </w:pPr>
      <w:rPr>
        <w:rFonts w:ascii="Wingdings" w:hAnsi="Wingdings" w:hint="default"/>
      </w:rPr>
    </w:lvl>
  </w:abstractNum>
  <w:abstractNum w:abstractNumId="8" w15:restartNumberingAfterBreak="0">
    <w:nsid w:val="36692ADD"/>
    <w:multiLevelType w:val="hybridMultilevel"/>
    <w:tmpl w:val="097C591C"/>
    <w:lvl w:ilvl="0" w:tplc="0409000F">
      <w:start w:val="1"/>
      <w:numFmt w:val="decimal"/>
      <w:lvlText w:val="%1."/>
      <w:lvlJc w:val="left"/>
      <w:pPr>
        <w:ind w:left="1527" w:hanging="360"/>
      </w:pPr>
    </w:lvl>
    <w:lvl w:ilvl="1" w:tplc="04090019">
      <w:start w:val="1"/>
      <w:numFmt w:val="lowerLetter"/>
      <w:lvlText w:val="%2."/>
      <w:lvlJc w:val="left"/>
      <w:pPr>
        <w:ind w:left="2247" w:hanging="360"/>
      </w:pPr>
    </w:lvl>
    <w:lvl w:ilvl="2" w:tplc="0409001B">
      <w:start w:val="1"/>
      <w:numFmt w:val="lowerRoman"/>
      <w:lvlText w:val="%3."/>
      <w:lvlJc w:val="right"/>
      <w:pPr>
        <w:ind w:left="2967" w:hanging="180"/>
      </w:pPr>
    </w:lvl>
    <w:lvl w:ilvl="3" w:tplc="0409000F">
      <w:start w:val="1"/>
      <w:numFmt w:val="decimal"/>
      <w:lvlText w:val="%4."/>
      <w:lvlJc w:val="left"/>
      <w:pPr>
        <w:ind w:left="3687" w:hanging="360"/>
      </w:pPr>
    </w:lvl>
    <w:lvl w:ilvl="4" w:tplc="04090019">
      <w:start w:val="1"/>
      <w:numFmt w:val="lowerLetter"/>
      <w:lvlText w:val="%5."/>
      <w:lvlJc w:val="left"/>
      <w:pPr>
        <w:ind w:left="4407" w:hanging="360"/>
      </w:pPr>
    </w:lvl>
    <w:lvl w:ilvl="5" w:tplc="0409001B">
      <w:start w:val="1"/>
      <w:numFmt w:val="lowerRoman"/>
      <w:lvlText w:val="%6."/>
      <w:lvlJc w:val="right"/>
      <w:pPr>
        <w:ind w:left="5127" w:hanging="180"/>
      </w:pPr>
    </w:lvl>
    <w:lvl w:ilvl="6" w:tplc="0409000F">
      <w:start w:val="1"/>
      <w:numFmt w:val="decimal"/>
      <w:lvlText w:val="%7."/>
      <w:lvlJc w:val="left"/>
      <w:pPr>
        <w:ind w:left="5847" w:hanging="360"/>
      </w:pPr>
    </w:lvl>
    <w:lvl w:ilvl="7" w:tplc="04090019">
      <w:start w:val="1"/>
      <w:numFmt w:val="lowerLetter"/>
      <w:lvlText w:val="%8."/>
      <w:lvlJc w:val="left"/>
      <w:pPr>
        <w:ind w:left="6567" w:hanging="360"/>
      </w:pPr>
    </w:lvl>
    <w:lvl w:ilvl="8" w:tplc="0409001B">
      <w:start w:val="1"/>
      <w:numFmt w:val="lowerRoman"/>
      <w:lvlText w:val="%9."/>
      <w:lvlJc w:val="right"/>
      <w:pPr>
        <w:ind w:left="7287" w:hanging="180"/>
      </w:pPr>
    </w:lvl>
  </w:abstractNum>
  <w:abstractNum w:abstractNumId="9" w15:restartNumberingAfterBreak="0">
    <w:nsid w:val="37DA60E6"/>
    <w:multiLevelType w:val="multilevel"/>
    <w:tmpl w:val="52BA2F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C52BDC"/>
    <w:multiLevelType w:val="hybridMultilevel"/>
    <w:tmpl w:val="0484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871284E"/>
    <w:multiLevelType w:val="hybridMultilevel"/>
    <w:tmpl w:val="C054D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702624C0"/>
    <w:multiLevelType w:val="hybridMultilevel"/>
    <w:tmpl w:val="33F0D8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440179A"/>
    <w:multiLevelType w:val="multilevel"/>
    <w:tmpl w:val="744017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num>
  <w:num w:numId="3">
    <w:abstractNumId w:val="12"/>
  </w:num>
  <w:num w:numId="4">
    <w:abstractNumId w:val="11"/>
  </w:num>
  <w:num w:numId="5">
    <w:abstractNumId w:val="5"/>
  </w:num>
  <w:num w:numId="6">
    <w:abstractNumId w:val="9"/>
  </w:num>
  <w:num w:numId="7">
    <w:abstractNumId w:val="4"/>
  </w:num>
  <w:num w:numId="8">
    <w:abstractNumId w:val="0"/>
  </w:num>
  <w:num w:numId="9">
    <w:abstractNumId w:val="2"/>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
  </w:num>
  <w:num w:numId="14">
    <w:abstractNumId w:val="10"/>
  </w:num>
  <w:num w:numId="15">
    <w:abstractNumId w:val="13"/>
  </w:num>
  <w:num w:numId="16">
    <w:abstractNumId w:val="14"/>
  </w:num>
  <w:num w:numId="17">
    <w:abstractNumId w:val="1"/>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3D7B"/>
    <w:rsid w:val="00013828"/>
    <w:rsid w:val="00017F23"/>
    <w:rsid w:val="0002061C"/>
    <w:rsid w:val="00021A52"/>
    <w:rsid w:val="00083D4C"/>
    <w:rsid w:val="00097E6A"/>
    <w:rsid w:val="000A3A69"/>
    <w:rsid w:val="000D64DA"/>
    <w:rsid w:val="000F6242"/>
    <w:rsid w:val="00125E41"/>
    <w:rsid w:val="00130FC6"/>
    <w:rsid w:val="00145F43"/>
    <w:rsid w:val="00184661"/>
    <w:rsid w:val="00185A66"/>
    <w:rsid w:val="00191E56"/>
    <w:rsid w:val="001C0474"/>
    <w:rsid w:val="001E1D88"/>
    <w:rsid w:val="001E4A46"/>
    <w:rsid w:val="002256B7"/>
    <w:rsid w:val="00245706"/>
    <w:rsid w:val="00282820"/>
    <w:rsid w:val="00283DE9"/>
    <w:rsid w:val="00290FCD"/>
    <w:rsid w:val="002F1940"/>
    <w:rsid w:val="00322F82"/>
    <w:rsid w:val="00330EDF"/>
    <w:rsid w:val="00335D84"/>
    <w:rsid w:val="00335F01"/>
    <w:rsid w:val="00341F51"/>
    <w:rsid w:val="00345878"/>
    <w:rsid w:val="0037077B"/>
    <w:rsid w:val="00371E8B"/>
    <w:rsid w:val="003825AC"/>
    <w:rsid w:val="00383545"/>
    <w:rsid w:val="003C02B7"/>
    <w:rsid w:val="00404567"/>
    <w:rsid w:val="00433500"/>
    <w:rsid w:val="00433F71"/>
    <w:rsid w:val="00440D43"/>
    <w:rsid w:val="00470A62"/>
    <w:rsid w:val="004866C4"/>
    <w:rsid w:val="004976F8"/>
    <w:rsid w:val="004D28B1"/>
    <w:rsid w:val="004E3939"/>
    <w:rsid w:val="00516F11"/>
    <w:rsid w:val="005577FD"/>
    <w:rsid w:val="00583F00"/>
    <w:rsid w:val="005B22E2"/>
    <w:rsid w:val="005B5B24"/>
    <w:rsid w:val="005C1F2D"/>
    <w:rsid w:val="005F5F41"/>
    <w:rsid w:val="00603206"/>
    <w:rsid w:val="006115FB"/>
    <w:rsid w:val="006162E0"/>
    <w:rsid w:val="00687B49"/>
    <w:rsid w:val="00690824"/>
    <w:rsid w:val="00692082"/>
    <w:rsid w:val="006A1870"/>
    <w:rsid w:val="006A54D5"/>
    <w:rsid w:val="007120E6"/>
    <w:rsid w:val="00726F38"/>
    <w:rsid w:val="00760D8D"/>
    <w:rsid w:val="00763CC3"/>
    <w:rsid w:val="00772612"/>
    <w:rsid w:val="007737A5"/>
    <w:rsid w:val="00775EC5"/>
    <w:rsid w:val="007850E1"/>
    <w:rsid w:val="007910A7"/>
    <w:rsid w:val="007A7019"/>
    <w:rsid w:val="007B2FB8"/>
    <w:rsid w:val="007F4F92"/>
    <w:rsid w:val="00821D70"/>
    <w:rsid w:val="0083385F"/>
    <w:rsid w:val="008659DB"/>
    <w:rsid w:val="008830CA"/>
    <w:rsid w:val="008A1851"/>
    <w:rsid w:val="008C1A8F"/>
    <w:rsid w:val="008D772F"/>
    <w:rsid w:val="00914506"/>
    <w:rsid w:val="00934763"/>
    <w:rsid w:val="00951280"/>
    <w:rsid w:val="00957F6C"/>
    <w:rsid w:val="00975356"/>
    <w:rsid w:val="00980406"/>
    <w:rsid w:val="00981714"/>
    <w:rsid w:val="00990F72"/>
    <w:rsid w:val="0099764C"/>
    <w:rsid w:val="009D1A1C"/>
    <w:rsid w:val="009F047D"/>
    <w:rsid w:val="00A036E8"/>
    <w:rsid w:val="00A138D6"/>
    <w:rsid w:val="00A74629"/>
    <w:rsid w:val="00A91D71"/>
    <w:rsid w:val="00AA7654"/>
    <w:rsid w:val="00AC67A6"/>
    <w:rsid w:val="00AD76AA"/>
    <w:rsid w:val="00AD79A1"/>
    <w:rsid w:val="00B51583"/>
    <w:rsid w:val="00B56B9A"/>
    <w:rsid w:val="00B66A7B"/>
    <w:rsid w:val="00B83FC7"/>
    <w:rsid w:val="00B87E60"/>
    <w:rsid w:val="00B97333"/>
    <w:rsid w:val="00B97703"/>
    <w:rsid w:val="00BD1D1C"/>
    <w:rsid w:val="00C03A97"/>
    <w:rsid w:val="00C3357B"/>
    <w:rsid w:val="00C41008"/>
    <w:rsid w:val="00C507A6"/>
    <w:rsid w:val="00CB71C4"/>
    <w:rsid w:val="00CC07B6"/>
    <w:rsid w:val="00CC4C20"/>
    <w:rsid w:val="00CD0013"/>
    <w:rsid w:val="00CF6087"/>
    <w:rsid w:val="00D27D6D"/>
    <w:rsid w:val="00D4385C"/>
    <w:rsid w:val="00D55F7A"/>
    <w:rsid w:val="00DA08B2"/>
    <w:rsid w:val="00DB1E50"/>
    <w:rsid w:val="00DD0E17"/>
    <w:rsid w:val="00DE1B56"/>
    <w:rsid w:val="00DF22A4"/>
    <w:rsid w:val="00DF68AB"/>
    <w:rsid w:val="00DF7330"/>
    <w:rsid w:val="00E117E5"/>
    <w:rsid w:val="00E326AA"/>
    <w:rsid w:val="00E46562"/>
    <w:rsid w:val="00E77B19"/>
    <w:rsid w:val="00EB077C"/>
    <w:rsid w:val="00EB2A17"/>
    <w:rsid w:val="00EE2A47"/>
    <w:rsid w:val="00F14ECC"/>
    <w:rsid w:val="00F1580A"/>
    <w:rsid w:val="00F17B25"/>
    <w:rsid w:val="00F35373"/>
    <w:rsid w:val="00F40395"/>
    <w:rsid w:val="00F41C10"/>
    <w:rsid w:val="00F42B43"/>
    <w:rsid w:val="00F53259"/>
    <w:rsid w:val="00F6297A"/>
    <w:rsid w:val="00F63BF9"/>
    <w:rsid w:val="00F71B30"/>
    <w:rsid w:val="00F72ECA"/>
    <w:rsid w:val="00F74C53"/>
    <w:rsid w:val="00F93BB7"/>
    <w:rsid w:val="00F94048"/>
    <w:rsid w:val="00F96B44"/>
    <w:rsid w:val="00FE482F"/>
    <w:rsid w:val="00FF44E5"/>
    <w:rsid w:val="0423B80C"/>
    <w:rsid w:val="08F7292F"/>
    <w:rsid w:val="0A49FD77"/>
    <w:rsid w:val="0C6CB7ED"/>
    <w:rsid w:val="0D003314"/>
    <w:rsid w:val="0FAF5B7A"/>
    <w:rsid w:val="10E912B7"/>
    <w:rsid w:val="112B31EF"/>
    <w:rsid w:val="1249089F"/>
    <w:rsid w:val="18458B69"/>
    <w:rsid w:val="1A26EA31"/>
    <w:rsid w:val="1BEB324C"/>
    <w:rsid w:val="1C24704B"/>
    <w:rsid w:val="1EA180FF"/>
    <w:rsid w:val="225EF0FF"/>
    <w:rsid w:val="28F3C93E"/>
    <w:rsid w:val="298BEB70"/>
    <w:rsid w:val="2B7BBD00"/>
    <w:rsid w:val="2C86B031"/>
    <w:rsid w:val="3249EBB0"/>
    <w:rsid w:val="33CA4E83"/>
    <w:rsid w:val="355A8FEC"/>
    <w:rsid w:val="36C4C7C5"/>
    <w:rsid w:val="3C1F9E69"/>
    <w:rsid w:val="3E01A772"/>
    <w:rsid w:val="40590D73"/>
    <w:rsid w:val="42C92B4F"/>
    <w:rsid w:val="43A9D692"/>
    <w:rsid w:val="503B51B0"/>
    <w:rsid w:val="592502F3"/>
    <w:rsid w:val="5953AA03"/>
    <w:rsid w:val="5C383B55"/>
    <w:rsid w:val="5DF1E1F6"/>
    <w:rsid w:val="663261F0"/>
    <w:rsid w:val="673AD910"/>
    <w:rsid w:val="67C7DC0E"/>
    <w:rsid w:val="67E9BB3F"/>
    <w:rsid w:val="69185E3E"/>
    <w:rsid w:val="6D131C15"/>
    <w:rsid w:val="6F17A1DD"/>
    <w:rsid w:val="728BA9F8"/>
    <w:rsid w:val="74B5A1AF"/>
    <w:rsid w:val="798912D2"/>
    <w:rsid w:val="7CDE30B8"/>
    <w:rsid w:val="7D1D782D"/>
    <w:rsid w:val="7DB47687"/>
    <w:rsid w:val="7E41B2D1"/>
    <w:rsid w:val="7EE413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5A1C42"/>
  <w15:chartTrackingRefBased/>
  <w15:docId w15:val="{A9CA5CA9-6420-45E0-BA69-A9D2EDC7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2"/>
      </w:numPr>
      <w:spacing w:before="120" w:after="120"/>
      <w:ind w:left="0" w:firstLine="0"/>
      <w:jc w:val="both"/>
    </w:pPr>
    <w:rPr>
      <w:rFonts w:ascii="Arial" w:hAnsi="Arial"/>
      <w:b/>
      <w:color w:val="0000FF"/>
      <w:u w:val="single"/>
      <w:lang w:eastAsia="en-US"/>
    </w:rPr>
  </w:style>
  <w:style w:type="paragraph" w:customStyle="1" w:styleId="ACTION">
    <w:name w:val="ACTION"/>
    <w:basedOn w:val="Normal"/>
    <w:pPr>
      <w:keepNext/>
      <w:keepLines/>
      <w:widowControl w:val="0"/>
      <w:numPr>
        <w:numId w:val="4"/>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5"/>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link w:val="TAHCar"/>
    <w:qFormat/>
    <w:rsid w:val="00CF6087"/>
    <w:rPr>
      <w:b/>
    </w:rPr>
  </w:style>
  <w:style w:type="paragraph" w:customStyle="1" w:styleId="TAC">
    <w:name w:val="TAC"/>
    <w:basedOn w:val="TAL"/>
    <w:link w:val="TACChar"/>
    <w:qFormat/>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link w:val="THChar"/>
    <w:qFormat/>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qFormat/>
    <w:rsid w:val="00383545"/>
    <w:rPr>
      <w:color w:val="0000FF"/>
      <w:u w:val="single"/>
    </w:rPr>
  </w:style>
  <w:style w:type="paragraph" w:styleId="NormalWeb">
    <w:name w:val="Normal (Web)"/>
    <w:basedOn w:val="Normal"/>
    <w:uiPriority w:val="99"/>
    <w:semiHidden/>
    <w:unhideWhenUsed/>
    <w:rsid w:val="00F35373"/>
    <w:pPr>
      <w:overflowPunct/>
      <w:autoSpaceDE/>
      <w:autoSpaceDN/>
      <w:adjustRightInd/>
      <w:spacing w:before="100" w:beforeAutospacing="1" w:after="100" w:afterAutospacing="1"/>
      <w:textAlignment w:val="auto"/>
    </w:pPr>
    <w:rPr>
      <w:sz w:val="24"/>
      <w:szCs w:val="24"/>
      <w:lang w:val="fi-FI" w:eastAsia="fi-FI"/>
    </w:rPr>
  </w:style>
  <w:style w:type="character" w:customStyle="1" w:styleId="TACChar">
    <w:name w:val="TAC Char"/>
    <w:link w:val="TAC"/>
    <w:qFormat/>
    <w:rsid w:val="00DF68AB"/>
    <w:rPr>
      <w:rFonts w:ascii="Arial" w:hAnsi="Arial"/>
      <w:sz w:val="18"/>
    </w:rPr>
  </w:style>
  <w:style w:type="character" w:customStyle="1" w:styleId="THChar">
    <w:name w:val="TH Char"/>
    <w:link w:val="TH"/>
    <w:qFormat/>
    <w:rsid w:val="00DF68AB"/>
    <w:rPr>
      <w:rFonts w:ascii="Arial" w:hAnsi="Arial"/>
      <w:b/>
    </w:rPr>
  </w:style>
  <w:style w:type="character" w:customStyle="1" w:styleId="TAHCar">
    <w:name w:val="TAH Car"/>
    <w:link w:val="TAH"/>
    <w:qFormat/>
    <w:rsid w:val="00DF68AB"/>
    <w:rPr>
      <w:rFonts w:ascii="Arial" w:hAnsi="Arial"/>
      <w:b/>
      <w:sz w:val="18"/>
    </w:rPr>
  </w:style>
  <w:style w:type="paragraph" w:styleId="ListParagraph">
    <w:name w:val="List Paragraph"/>
    <w:aliases w:val="- Bullets,목록 단락,リスト段落,列出段落,?? ??,?????,????,Lista1,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DA08B2"/>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列表段落 Char,Paragrafo elenco Char"/>
    <w:link w:val="ListParagraph"/>
    <w:uiPriority w:val="34"/>
    <w:qFormat/>
    <w:locked/>
    <w:rsid w:val="00290FCD"/>
  </w:style>
  <w:style w:type="character" w:customStyle="1" w:styleId="normaltextrun">
    <w:name w:val="normaltextrun"/>
    <w:basedOn w:val="DefaultParagraphFont"/>
    <w:rsid w:val="00DE1B56"/>
  </w:style>
  <w:style w:type="paragraph" w:customStyle="1" w:styleId="paragraph">
    <w:name w:val="paragraph"/>
    <w:basedOn w:val="Normal"/>
    <w:rsid w:val="00DE1B56"/>
    <w:pPr>
      <w:overflowPunct/>
      <w:autoSpaceDE/>
      <w:autoSpaceDN/>
      <w:adjustRightInd/>
      <w:spacing w:before="100" w:beforeAutospacing="1" w:after="100" w:afterAutospacing="1"/>
      <w:textAlignment w:val="auto"/>
    </w:pPr>
    <w:rPr>
      <w:sz w:val="24"/>
      <w:szCs w:val="24"/>
    </w:rPr>
  </w:style>
  <w:style w:type="character" w:customStyle="1" w:styleId="eop">
    <w:name w:val="eop"/>
    <w:basedOn w:val="DefaultParagraphFont"/>
    <w:rsid w:val="00DE1B56"/>
  </w:style>
  <w:style w:type="paragraph" w:styleId="CommentSubject">
    <w:name w:val="annotation subject"/>
    <w:basedOn w:val="CommentText"/>
    <w:next w:val="CommentText"/>
    <w:link w:val="CommentSubjectChar"/>
    <w:uiPriority w:val="99"/>
    <w:semiHidden/>
    <w:unhideWhenUsed/>
    <w:rsid w:val="00FE482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E482F"/>
    <w:rPr>
      <w:rFonts w:ascii="Arial" w:hAnsi="Arial"/>
    </w:rPr>
  </w:style>
  <w:style w:type="character" w:customStyle="1" w:styleId="CommentSubjectChar">
    <w:name w:val="Comment Subject Char"/>
    <w:basedOn w:val="CommentTextChar"/>
    <w:link w:val="CommentSubject"/>
    <w:uiPriority w:val="99"/>
    <w:semiHidden/>
    <w:rsid w:val="00FE482F"/>
    <w:rPr>
      <w:rFonts w:ascii="Arial" w:hAnsi="Arial"/>
      <w:b/>
      <w:bCs/>
    </w:rPr>
  </w:style>
  <w:style w:type="character" w:customStyle="1" w:styleId="B1Char">
    <w:name w:val="B1 Char"/>
    <w:link w:val="B1"/>
    <w:rsid w:val="00F1580A"/>
  </w:style>
  <w:style w:type="table" w:styleId="TableGrid">
    <w:name w:val="Table Grid"/>
    <w:basedOn w:val="TableNormal"/>
    <w:uiPriority w:val="39"/>
    <w:qFormat/>
    <w:rsid w:val="00DD0E17"/>
    <w:pPr>
      <w:overflowPunct w:val="0"/>
      <w:autoSpaceDE w:val="0"/>
      <w:autoSpaceDN w:val="0"/>
      <w:adjustRightInd w:val="0"/>
      <w:spacing w:after="180" w:line="259" w:lineRule="auto"/>
      <w:textAlignment w:val="baseline"/>
    </w:pPr>
    <w:rPr>
      <w:rFonts w:eastAsia="Yu Mincho"/>
      <w:lang w:val="sv-S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508497">
      <w:bodyDiv w:val="1"/>
      <w:marLeft w:val="0"/>
      <w:marRight w:val="0"/>
      <w:marTop w:val="0"/>
      <w:marBottom w:val="0"/>
      <w:divBdr>
        <w:top w:val="none" w:sz="0" w:space="0" w:color="auto"/>
        <w:left w:val="none" w:sz="0" w:space="0" w:color="auto"/>
        <w:bottom w:val="none" w:sz="0" w:space="0" w:color="auto"/>
        <w:right w:val="none" w:sz="0" w:space="0" w:color="auto"/>
      </w:divBdr>
      <w:divsChild>
        <w:div w:id="354768366">
          <w:marLeft w:val="0"/>
          <w:marRight w:val="0"/>
          <w:marTop w:val="0"/>
          <w:marBottom w:val="0"/>
          <w:divBdr>
            <w:top w:val="none" w:sz="0" w:space="0" w:color="auto"/>
            <w:left w:val="none" w:sz="0" w:space="0" w:color="auto"/>
            <w:bottom w:val="none" w:sz="0" w:space="0" w:color="auto"/>
            <w:right w:val="none" w:sz="0" w:space="0" w:color="auto"/>
          </w:divBdr>
        </w:div>
        <w:div w:id="1921864798">
          <w:marLeft w:val="0"/>
          <w:marRight w:val="0"/>
          <w:marTop w:val="0"/>
          <w:marBottom w:val="0"/>
          <w:divBdr>
            <w:top w:val="none" w:sz="0" w:space="0" w:color="auto"/>
            <w:left w:val="none" w:sz="0" w:space="0" w:color="auto"/>
            <w:bottom w:val="none" w:sz="0" w:space="0" w:color="auto"/>
            <w:right w:val="none" w:sz="0" w:space="0" w:color="auto"/>
          </w:divBdr>
          <w:divsChild>
            <w:div w:id="1089890915">
              <w:marLeft w:val="0"/>
              <w:marRight w:val="0"/>
              <w:marTop w:val="30"/>
              <w:marBottom w:val="30"/>
              <w:divBdr>
                <w:top w:val="none" w:sz="0" w:space="0" w:color="auto"/>
                <w:left w:val="none" w:sz="0" w:space="0" w:color="auto"/>
                <w:bottom w:val="none" w:sz="0" w:space="0" w:color="auto"/>
                <w:right w:val="none" w:sz="0" w:space="0" w:color="auto"/>
              </w:divBdr>
              <w:divsChild>
                <w:div w:id="308172474">
                  <w:marLeft w:val="0"/>
                  <w:marRight w:val="0"/>
                  <w:marTop w:val="0"/>
                  <w:marBottom w:val="0"/>
                  <w:divBdr>
                    <w:top w:val="none" w:sz="0" w:space="0" w:color="auto"/>
                    <w:left w:val="none" w:sz="0" w:space="0" w:color="auto"/>
                    <w:bottom w:val="none" w:sz="0" w:space="0" w:color="auto"/>
                    <w:right w:val="none" w:sz="0" w:space="0" w:color="auto"/>
                  </w:divBdr>
                  <w:divsChild>
                    <w:div w:id="2086805867">
                      <w:marLeft w:val="0"/>
                      <w:marRight w:val="0"/>
                      <w:marTop w:val="0"/>
                      <w:marBottom w:val="0"/>
                      <w:divBdr>
                        <w:top w:val="none" w:sz="0" w:space="0" w:color="auto"/>
                        <w:left w:val="none" w:sz="0" w:space="0" w:color="auto"/>
                        <w:bottom w:val="none" w:sz="0" w:space="0" w:color="auto"/>
                        <w:right w:val="none" w:sz="0" w:space="0" w:color="auto"/>
                      </w:divBdr>
                    </w:div>
                  </w:divsChild>
                </w:div>
                <w:div w:id="341472645">
                  <w:marLeft w:val="0"/>
                  <w:marRight w:val="0"/>
                  <w:marTop w:val="0"/>
                  <w:marBottom w:val="0"/>
                  <w:divBdr>
                    <w:top w:val="none" w:sz="0" w:space="0" w:color="auto"/>
                    <w:left w:val="none" w:sz="0" w:space="0" w:color="auto"/>
                    <w:bottom w:val="none" w:sz="0" w:space="0" w:color="auto"/>
                    <w:right w:val="none" w:sz="0" w:space="0" w:color="auto"/>
                  </w:divBdr>
                  <w:divsChild>
                    <w:div w:id="1965696984">
                      <w:marLeft w:val="0"/>
                      <w:marRight w:val="0"/>
                      <w:marTop w:val="0"/>
                      <w:marBottom w:val="0"/>
                      <w:divBdr>
                        <w:top w:val="none" w:sz="0" w:space="0" w:color="auto"/>
                        <w:left w:val="none" w:sz="0" w:space="0" w:color="auto"/>
                        <w:bottom w:val="none" w:sz="0" w:space="0" w:color="auto"/>
                        <w:right w:val="none" w:sz="0" w:space="0" w:color="auto"/>
                      </w:divBdr>
                    </w:div>
                  </w:divsChild>
                </w:div>
                <w:div w:id="512379477">
                  <w:marLeft w:val="0"/>
                  <w:marRight w:val="0"/>
                  <w:marTop w:val="0"/>
                  <w:marBottom w:val="0"/>
                  <w:divBdr>
                    <w:top w:val="none" w:sz="0" w:space="0" w:color="auto"/>
                    <w:left w:val="none" w:sz="0" w:space="0" w:color="auto"/>
                    <w:bottom w:val="none" w:sz="0" w:space="0" w:color="auto"/>
                    <w:right w:val="none" w:sz="0" w:space="0" w:color="auto"/>
                  </w:divBdr>
                  <w:divsChild>
                    <w:div w:id="1631323354">
                      <w:marLeft w:val="0"/>
                      <w:marRight w:val="0"/>
                      <w:marTop w:val="0"/>
                      <w:marBottom w:val="0"/>
                      <w:divBdr>
                        <w:top w:val="none" w:sz="0" w:space="0" w:color="auto"/>
                        <w:left w:val="none" w:sz="0" w:space="0" w:color="auto"/>
                        <w:bottom w:val="none" w:sz="0" w:space="0" w:color="auto"/>
                        <w:right w:val="none" w:sz="0" w:space="0" w:color="auto"/>
                      </w:divBdr>
                    </w:div>
                  </w:divsChild>
                </w:div>
                <w:div w:id="561406816">
                  <w:marLeft w:val="0"/>
                  <w:marRight w:val="0"/>
                  <w:marTop w:val="0"/>
                  <w:marBottom w:val="0"/>
                  <w:divBdr>
                    <w:top w:val="none" w:sz="0" w:space="0" w:color="auto"/>
                    <w:left w:val="none" w:sz="0" w:space="0" w:color="auto"/>
                    <w:bottom w:val="none" w:sz="0" w:space="0" w:color="auto"/>
                    <w:right w:val="none" w:sz="0" w:space="0" w:color="auto"/>
                  </w:divBdr>
                  <w:divsChild>
                    <w:div w:id="467673618">
                      <w:marLeft w:val="0"/>
                      <w:marRight w:val="0"/>
                      <w:marTop w:val="0"/>
                      <w:marBottom w:val="0"/>
                      <w:divBdr>
                        <w:top w:val="none" w:sz="0" w:space="0" w:color="auto"/>
                        <w:left w:val="none" w:sz="0" w:space="0" w:color="auto"/>
                        <w:bottom w:val="none" w:sz="0" w:space="0" w:color="auto"/>
                        <w:right w:val="none" w:sz="0" w:space="0" w:color="auto"/>
                      </w:divBdr>
                    </w:div>
                  </w:divsChild>
                </w:div>
                <w:div w:id="575824805">
                  <w:marLeft w:val="0"/>
                  <w:marRight w:val="0"/>
                  <w:marTop w:val="0"/>
                  <w:marBottom w:val="0"/>
                  <w:divBdr>
                    <w:top w:val="none" w:sz="0" w:space="0" w:color="auto"/>
                    <w:left w:val="none" w:sz="0" w:space="0" w:color="auto"/>
                    <w:bottom w:val="none" w:sz="0" w:space="0" w:color="auto"/>
                    <w:right w:val="none" w:sz="0" w:space="0" w:color="auto"/>
                  </w:divBdr>
                  <w:divsChild>
                    <w:div w:id="2091349875">
                      <w:marLeft w:val="0"/>
                      <w:marRight w:val="0"/>
                      <w:marTop w:val="0"/>
                      <w:marBottom w:val="0"/>
                      <w:divBdr>
                        <w:top w:val="none" w:sz="0" w:space="0" w:color="auto"/>
                        <w:left w:val="none" w:sz="0" w:space="0" w:color="auto"/>
                        <w:bottom w:val="none" w:sz="0" w:space="0" w:color="auto"/>
                        <w:right w:val="none" w:sz="0" w:space="0" w:color="auto"/>
                      </w:divBdr>
                    </w:div>
                  </w:divsChild>
                </w:div>
                <w:div w:id="583105391">
                  <w:marLeft w:val="0"/>
                  <w:marRight w:val="0"/>
                  <w:marTop w:val="0"/>
                  <w:marBottom w:val="0"/>
                  <w:divBdr>
                    <w:top w:val="none" w:sz="0" w:space="0" w:color="auto"/>
                    <w:left w:val="none" w:sz="0" w:space="0" w:color="auto"/>
                    <w:bottom w:val="none" w:sz="0" w:space="0" w:color="auto"/>
                    <w:right w:val="none" w:sz="0" w:space="0" w:color="auto"/>
                  </w:divBdr>
                  <w:divsChild>
                    <w:div w:id="143202480">
                      <w:marLeft w:val="0"/>
                      <w:marRight w:val="0"/>
                      <w:marTop w:val="0"/>
                      <w:marBottom w:val="0"/>
                      <w:divBdr>
                        <w:top w:val="none" w:sz="0" w:space="0" w:color="auto"/>
                        <w:left w:val="none" w:sz="0" w:space="0" w:color="auto"/>
                        <w:bottom w:val="none" w:sz="0" w:space="0" w:color="auto"/>
                        <w:right w:val="none" w:sz="0" w:space="0" w:color="auto"/>
                      </w:divBdr>
                    </w:div>
                  </w:divsChild>
                </w:div>
                <w:div w:id="586814301">
                  <w:marLeft w:val="0"/>
                  <w:marRight w:val="0"/>
                  <w:marTop w:val="0"/>
                  <w:marBottom w:val="0"/>
                  <w:divBdr>
                    <w:top w:val="none" w:sz="0" w:space="0" w:color="auto"/>
                    <w:left w:val="none" w:sz="0" w:space="0" w:color="auto"/>
                    <w:bottom w:val="none" w:sz="0" w:space="0" w:color="auto"/>
                    <w:right w:val="none" w:sz="0" w:space="0" w:color="auto"/>
                  </w:divBdr>
                  <w:divsChild>
                    <w:div w:id="1322588279">
                      <w:marLeft w:val="0"/>
                      <w:marRight w:val="0"/>
                      <w:marTop w:val="0"/>
                      <w:marBottom w:val="0"/>
                      <w:divBdr>
                        <w:top w:val="none" w:sz="0" w:space="0" w:color="auto"/>
                        <w:left w:val="none" w:sz="0" w:space="0" w:color="auto"/>
                        <w:bottom w:val="none" w:sz="0" w:space="0" w:color="auto"/>
                        <w:right w:val="none" w:sz="0" w:space="0" w:color="auto"/>
                      </w:divBdr>
                    </w:div>
                  </w:divsChild>
                </w:div>
                <w:div w:id="661155194">
                  <w:marLeft w:val="0"/>
                  <w:marRight w:val="0"/>
                  <w:marTop w:val="0"/>
                  <w:marBottom w:val="0"/>
                  <w:divBdr>
                    <w:top w:val="none" w:sz="0" w:space="0" w:color="auto"/>
                    <w:left w:val="none" w:sz="0" w:space="0" w:color="auto"/>
                    <w:bottom w:val="none" w:sz="0" w:space="0" w:color="auto"/>
                    <w:right w:val="none" w:sz="0" w:space="0" w:color="auto"/>
                  </w:divBdr>
                  <w:divsChild>
                    <w:div w:id="1172258217">
                      <w:marLeft w:val="0"/>
                      <w:marRight w:val="0"/>
                      <w:marTop w:val="0"/>
                      <w:marBottom w:val="0"/>
                      <w:divBdr>
                        <w:top w:val="none" w:sz="0" w:space="0" w:color="auto"/>
                        <w:left w:val="none" w:sz="0" w:space="0" w:color="auto"/>
                        <w:bottom w:val="none" w:sz="0" w:space="0" w:color="auto"/>
                        <w:right w:val="none" w:sz="0" w:space="0" w:color="auto"/>
                      </w:divBdr>
                    </w:div>
                  </w:divsChild>
                </w:div>
                <w:div w:id="720129601">
                  <w:marLeft w:val="0"/>
                  <w:marRight w:val="0"/>
                  <w:marTop w:val="0"/>
                  <w:marBottom w:val="0"/>
                  <w:divBdr>
                    <w:top w:val="none" w:sz="0" w:space="0" w:color="auto"/>
                    <w:left w:val="none" w:sz="0" w:space="0" w:color="auto"/>
                    <w:bottom w:val="none" w:sz="0" w:space="0" w:color="auto"/>
                    <w:right w:val="none" w:sz="0" w:space="0" w:color="auto"/>
                  </w:divBdr>
                  <w:divsChild>
                    <w:div w:id="690834615">
                      <w:marLeft w:val="0"/>
                      <w:marRight w:val="0"/>
                      <w:marTop w:val="0"/>
                      <w:marBottom w:val="0"/>
                      <w:divBdr>
                        <w:top w:val="none" w:sz="0" w:space="0" w:color="auto"/>
                        <w:left w:val="none" w:sz="0" w:space="0" w:color="auto"/>
                        <w:bottom w:val="none" w:sz="0" w:space="0" w:color="auto"/>
                        <w:right w:val="none" w:sz="0" w:space="0" w:color="auto"/>
                      </w:divBdr>
                    </w:div>
                  </w:divsChild>
                </w:div>
                <w:div w:id="772701355">
                  <w:marLeft w:val="0"/>
                  <w:marRight w:val="0"/>
                  <w:marTop w:val="0"/>
                  <w:marBottom w:val="0"/>
                  <w:divBdr>
                    <w:top w:val="none" w:sz="0" w:space="0" w:color="auto"/>
                    <w:left w:val="none" w:sz="0" w:space="0" w:color="auto"/>
                    <w:bottom w:val="none" w:sz="0" w:space="0" w:color="auto"/>
                    <w:right w:val="none" w:sz="0" w:space="0" w:color="auto"/>
                  </w:divBdr>
                  <w:divsChild>
                    <w:div w:id="506482631">
                      <w:marLeft w:val="0"/>
                      <w:marRight w:val="0"/>
                      <w:marTop w:val="0"/>
                      <w:marBottom w:val="0"/>
                      <w:divBdr>
                        <w:top w:val="none" w:sz="0" w:space="0" w:color="auto"/>
                        <w:left w:val="none" w:sz="0" w:space="0" w:color="auto"/>
                        <w:bottom w:val="none" w:sz="0" w:space="0" w:color="auto"/>
                        <w:right w:val="none" w:sz="0" w:space="0" w:color="auto"/>
                      </w:divBdr>
                    </w:div>
                  </w:divsChild>
                </w:div>
                <w:div w:id="786436452">
                  <w:marLeft w:val="0"/>
                  <w:marRight w:val="0"/>
                  <w:marTop w:val="0"/>
                  <w:marBottom w:val="0"/>
                  <w:divBdr>
                    <w:top w:val="none" w:sz="0" w:space="0" w:color="auto"/>
                    <w:left w:val="none" w:sz="0" w:space="0" w:color="auto"/>
                    <w:bottom w:val="none" w:sz="0" w:space="0" w:color="auto"/>
                    <w:right w:val="none" w:sz="0" w:space="0" w:color="auto"/>
                  </w:divBdr>
                  <w:divsChild>
                    <w:div w:id="397824033">
                      <w:marLeft w:val="0"/>
                      <w:marRight w:val="0"/>
                      <w:marTop w:val="0"/>
                      <w:marBottom w:val="0"/>
                      <w:divBdr>
                        <w:top w:val="none" w:sz="0" w:space="0" w:color="auto"/>
                        <w:left w:val="none" w:sz="0" w:space="0" w:color="auto"/>
                        <w:bottom w:val="none" w:sz="0" w:space="0" w:color="auto"/>
                        <w:right w:val="none" w:sz="0" w:space="0" w:color="auto"/>
                      </w:divBdr>
                    </w:div>
                  </w:divsChild>
                </w:div>
                <w:div w:id="1048141903">
                  <w:marLeft w:val="0"/>
                  <w:marRight w:val="0"/>
                  <w:marTop w:val="0"/>
                  <w:marBottom w:val="0"/>
                  <w:divBdr>
                    <w:top w:val="none" w:sz="0" w:space="0" w:color="auto"/>
                    <w:left w:val="none" w:sz="0" w:space="0" w:color="auto"/>
                    <w:bottom w:val="none" w:sz="0" w:space="0" w:color="auto"/>
                    <w:right w:val="none" w:sz="0" w:space="0" w:color="auto"/>
                  </w:divBdr>
                  <w:divsChild>
                    <w:div w:id="919367983">
                      <w:marLeft w:val="0"/>
                      <w:marRight w:val="0"/>
                      <w:marTop w:val="0"/>
                      <w:marBottom w:val="0"/>
                      <w:divBdr>
                        <w:top w:val="none" w:sz="0" w:space="0" w:color="auto"/>
                        <w:left w:val="none" w:sz="0" w:space="0" w:color="auto"/>
                        <w:bottom w:val="none" w:sz="0" w:space="0" w:color="auto"/>
                        <w:right w:val="none" w:sz="0" w:space="0" w:color="auto"/>
                      </w:divBdr>
                    </w:div>
                  </w:divsChild>
                </w:div>
                <w:div w:id="1090009444">
                  <w:marLeft w:val="0"/>
                  <w:marRight w:val="0"/>
                  <w:marTop w:val="0"/>
                  <w:marBottom w:val="0"/>
                  <w:divBdr>
                    <w:top w:val="none" w:sz="0" w:space="0" w:color="auto"/>
                    <w:left w:val="none" w:sz="0" w:space="0" w:color="auto"/>
                    <w:bottom w:val="none" w:sz="0" w:space="0" w:color="auto"/>
                    <w:right w:val="none" w:sz="0" w:space="0" w:color="auto"/>
                  </w:divBdr>
                  <w:divsChild>
                    <w:div w:id="999043214">
                      <w:marLeft w:val="0"/>
                      <w:marRight w:val="0"/>
                      <w:marTop w:val="0"/>
                      <w:marBottom w:val="0"/>
                      <w:divBdr>
                        <w:top w:val="none" w:sz="0" w:space="0" w:color="auto"/>
                        <w:left w:val="none" w:sz="0" w:space="0" w:color="auto"/>
                        <w:bottom w:val="none" w:sz="0" w:space="0" w:color="auto"/>
                        <w:right w:val="none" w:sz="0" w:space="0" w:color="auto"/>
                      </w:divBdr>
                    </w:div>
                  </w:divsChild>
                </w:div>
                <w:div w:id="1110003667">
                  <w:marLeft w:val="0"/>
                  <w:marRight w:val="0"/>
                  <w:marTop w:val="0"/>
                  <w:marBottom w:val="0"/>
                  <w:divBdr>
                    <w:top w:val="none" w:sz="0" w:space="0" w:color="auto"/>
                    <w:left w:val="none" w:sz="0" w:space="0" w:color="auto"/>
                    <w:bottom w:val="none" w:sz="0" w:space="0" w:color="auto"/>
                    <w:right w:val="none" w:sz="0" w:space="0" w:color="auto"/>
                  </w:divBdr>
                  <w:divsChild>
                    <w:div w:id="1708986494">
                      <w:marLeft w:val="0"/>
                      <w:marRight w:val="0"/>
                      <w:marTop w:val="0"/>
                      <w:marBottom w:val="0"/>
                      <w:divBdr>
                        <w:top w:val="none" w:sz="0" w:space="0" w:color="auto"/>
                        <w:left w:val="none" w:sz="0" w:space="0" w:color="auto"/>
                        <w:bottom w:val="none" w:sz="0" w:space="0" w:color="auto"/>
                        <w:right w:val="none" w:sz="0" w:space="0" w:color="auto"/>
                      </w:divBdr>
                    </w:div>
                  </w:divsChild>
                </w:div>
                <w:div w:id="1113552746">
                  <w:marLeft w:val="0"/>
                  <w:marRight w:val="0"/>
                  <w:marTop w:val="0"/>
                  <w:marBottom w:val="0"/>
                  <w:divBdr>
                    <w:top w:val="none" w:sz="0" w:space="0" w:color="auto"/>
                    <w:left w:val="none" w:sz="0" w:space="0" w:color="auto"/>
                    <w:bottom w:val="none" w:sz="0" w:space="0" w:color="auto"/>
                    <w:right w:val="none" w:sz="0" w:space="0" w:color="auto"/>
                  </w:divBdr>
                  <w:divsChild>
                    <w:div w:id="1632057433">
                      <w:marLeft w:val="0"/>
                      <w:marRight w:val="0"/>
                      <w:marTop w:val="0"/>
                      <w:marBottom w:val="0"/>
                      <w:divBdr>
                        <w:top w:val="none" w:sz="0" w:space="0" w:color="auto"/>
                        <w:left w:val="none" w:sz="0" w:space="0" w:color="auto"/>
                        <w:bottom w:val="none" w:sz="0" w:space="0" w:color="auto"/>
                        <w:right w:val="none" w:sz="0" w:space="0" w:color="auto"/>
                      </w:divBdr>
                    </w:div>
                  </w:divsChild>
                </w:div>
                <w:div w:id="1235430267">
                  <w:marLeft w:val="0"/>
                  <w:marRight w:val="0"/>
                  <w:marTop w:val="0"/>
                  <w:marBottom w:val="0"/>
                  <w:divBdr>
                    <w:top w:val="none" w:sz="0" w:space="0" w:color="auto"/>
                    <w:left w:val="none" w:sz="0" w:space="0" w:color="auto"/>
                    <w:bottom w:val="none" w:sz="0" w:space="0" w:color="auto"/>
                    <w:right w:val="none" w:sz="0" w:space="0" w:color="auto"/>
                  </w:divBdr>
                  <w:divsChild>
                    <w:div w:id="640572541">
                      <w:marLeft w:val="0"/>
                      <w:marRight w:val="0"/>
                      <w:marTop w:val="0"/>
                      <w:marBottom w:val="0"/>
                      <w:divBdr>
                        <w:top w:val="none" w:sz="0" w:space="0" w:color="auto"/>
                        <w:left w:val="none" w:sz="0" w:space="0" w:color="auto"/>
                        <w:bottom w:val="none" w:sz="0" w:space="0" w:color="auto"/>
                        <w:right w:val="none" w:sz="0" w:space="0" w:color="auto"/>
                      </w:divBdr>
                    </w:div>
                  </w:divsChild>
                </w:div>
                <w:div w:id="1253734384">
                  <w:marLeft w:val="0"/>
                  <w:marRight w:val="0"/>
                  <w:marTop w:val="0"/>
                  <w:marBottom w:val="0"/>
                  <w:divBdr>
                    <w:top w:val="none" w:sz="0" w:space="0" w:color="auto"/>
                    <w:left w:val="none" w:sz="0" w:space="0" w:color="auto"/>
                    <w:bottom w:val="none" w:sz="0" w:space="0" w:color="auto"/>
                    <w:right w:val="none" w:sz="0" w:space="0" w:color="auto"/>
                  </w:divBdr>
                  <w:divsChild>
                    <w:div w:id="244845007">
                      <w:marLeft w:val="0"/>
                      <w:marRight w:val="0"/>
                      <w:marTop w:val="0"/>
                      <w:marBottom w:val="0"/>
                      <w:divBdr>
                        <w:top w:val="none" w:sz="0" w:space="0" w:color="auto"/>
                        <w:left w:val="none" w:sz="0" w:space="0" w:color="auto"/>
                        <w:bottom w:val="none" w:sz="0" w:space="0" w:color="auto"/>
                        <w:right w:val="none" w:sz="0" w:space="0" w:color="auto"/>
                      </w:divBdr>
                    </w:div>
                  </w:divsChild>
                </w:div>
                <w:div w:id="1323269261">
                  <w:marLeft w:val="0"/>
                  <w:marRight w:val="0"/>
                  <w:marTop w:val="0"/>
                  <w:marBottom w:val="0"/>
                  <w:divBdr>
                    <w:top w:val="none" w:sz="0" w:space="0" w:color="auto"/>
                    <w:left w:val="none" w:sz="0" w:space="0" w:color="auto"/>
                    <w:bottom w:val="none" w:sz="0" w:space="0" w:color="auto"/>
                    <w:right w:val="none" w:sz="0" w:space="0" w:color="auto"/>
                  </w:divBdr>
                  <w:divsChild>
                    <w:div w:id="1297371020">
                      <w:marLeft w:val="0"/>
                      <w:marRight w:val="0"/>
                      <w:marTop w:val="0"/>
                      <w:marBottom w:val="0"/>
                      <w:divBdr>
                        <w:top w:val="none" w:sz="0" w:space="0" w:color="auto"/>
                        <w:left w:val="none" w:sz="0" w:space="0" w:color="auto"/>
                        <w:bottom w:val="none" w:sz="0" w:space="0" w:color="auto"/>
                        <w:right w:val="none" w:sz="0" w:space="0" w:color="auto"/>
                      </w:divBdr>
                    </w:div>
                  </w:divsChild>
                </w:div>
                <w:div w:id="1555921022">
                  <w:marLeft w:val="0"/>
                  <w:marRight w:val="0"/>
                  <w:marTop w:val="0"/>
                  <w:marBottom w:val="0"/>
                  <w:divBdr>
                    <w:top w:val="none" w:sz="0" w:space="0" w:color="auto"/>
                    <w:left w:val="none" w:sz="0" w:space="0" w:color="auto"/>
                    <w:bottom w:val="none" w:sz="0" w:space="0" w:color="auto"/>
                    <w:right w:val="none" w:sz="0" w:space="0" w:color="auto"/>
                  </w:divBdr>
                  <w:divsChild>
                    <w:div w:id="1474637770">
                      <w:marLeft w:val="0"/>
                      <w:marRight w:val="0"/>
                      <w:marTop w:val="0"/>
                      <w:marBottom w:val="0"/>
                      <w:divBdr>
                        <w:top w:val="none" w:sz="0" w:space="0" w:color="auto"/>
                        <w:left w:val="none" w:sz="0" w:space="0" w:color="auto"/>
                        <w:bottom w:val="none" w:sz="0" w:space="0" w:color="auto"/>
                        <w:right w:val="none" w:sz="0" w:space="0" w:color="auto"/>
                      </w:divBdr>
                    </w:div>
                  </w:divsChild>
                </w:div>
                <w:div w:id="1574269084">
                  <w:marLeft w:val="0"/>
                  <w:marRight w:val="0"/>
                  <w:marTop w:val="0"/>
                  <w:marBottom w:val="0"/>
                  <w:divBdr>
                    <w:top w:val="none" w:sz="0" w:space="0" w:color="auto"/>
                    <w:left w:val="none" w:sz="0" w:space="0" w:color="auto"/>
                    <w:bottom w:val="none" w:sz="0" w:space="0" w:color="auto"/>
                    <w:right w:val="none" w:sz="0" w:space="0" w:color="auto"/>
                  </w:divBdr>
                  <w:divsChild>
                    <w:div w:id="1397049778">
                      <w:marLeft w:val="0"/>
                      <w:marRight w:val="0"/>
                      <w:marTop w:val="0"/>
                      <w:marBottom w:val="0"/>
                      <w:divBdr>
                        <w:top w:val="none" w:sz="0" w:space="0" w:color="auto"/>
                        <w:left w:val="none" w:sz="0" w:space="0" w:color="auto"/>
                        <w:bottom w:val="none" w:sz="0" w:space="0" w:color="auto"/>
                        <w:right w:val="none" w:sz="0" w:space="0" w:color="auto"/>
                      </w:divBdr>
                    </w:div>
                  </w:divsChild>
                </w:div>
                <w:div w:id="1642416833">
                  <w:marLeft w:val="0"/>
                  <w:marRight w:val="0"/>
                  <w:marTop w:val="0"/>
                  <w:marBottom w:val="0"/>
                  <w:divBdr>
                    <w:top w:val="none" w:sz="0" w:space="0" w:color="auto"/>
                    <w:left w:val="none" w:sz="0" w:space="0" w:color="auto"/>
                    <w:bottom w:val="none" w:sz="0" w:space="0" w:color="auto"/>
                    <w:right w:val="none" w:sz="0" w:space="0" w:color="auto"/>
                  </w:divBdr>
                  <w:divsChild>
                    <w:div w:id="812718952">
                      <w:marLeft w:val="0"/>
                      <w:marRight w:val="0"/>
                      <w:marTop w:val="0"/>
                      <w:marBottom w:val="0"/>
                      <w:divBdr>
                        <w:top w:val="none" w:sz="0" w:space="0" w:color="auto"/>
                        <w:left w:val="none" w:sz="0" w:space="0" w:color="auto"/>
                        <w:bottom w:val="none" w:sz="0" w:space="0" w:color="auto"/>
                        <w:right w:val="none" w:sz="0" w:space="0" w:color="auto"/>
                      </w:divBdr>
                    </w:div>
                  </w:divsChild>
                </w:div>
                <w:div w:id="1828324689">
                  <w:marLeft w:val="0"/>
                  <w:marRight w:val="0"/>
                  <w:marTop w:val="0"/>
                  <w:marBottom w:val="0"/>
                  <w:divBdr>
                    <w:top w:val="none" w:sz="0" w:space="0" w:color="auto"/>
                    <w:left w:val="none" w:sz="0" w:space="0" w:color="auto"/>
                    <w:bottom w:val="none" w:sz="0" w:space="0" w:color="auto"/>
                    <w:right w:val="none" w:sz="0" w:space="0" w:color="auto"/>
                  </w:divBdr>
                  <w:divsChild>
                    <w:div w:id="358749085">
                      <w:marLeft w:val="0"/>
                      <w:marRight w:val="0"/>
                      <w:marTop w:val="0"/>
                      <w:marBottom w:val="0"/>
                      <w:divBdr>
                        <w:top w:val="none" w:sz="0" w:space="0" w:color="auto"/>
                        <w:left w:val="none" w:sz="0" w:space="0" w:color="auto"/>
                        <w:bottom w:val="none" w:sz="0" w:space="0" w:color="auto"/>
                        <w:right w:val="none" w:sz="0" w:space="0" w:color="auto"/>
                      </w:divBdr>
                    </w:div>
                  </w:divsChild>
                </w:div>
                <w:div w:id="1830050553">
                  <w:marLeft w:val="0"/>
                  <w:marRight w:val="0"/>
                  <w:marTop w:val="0"/>
                  <w:marBottom w:val="0"/>
                  <w:divBdr>
                    <w:top w:val="none" w:sz="0" w:space="0" w:color="auto"/>
                    <w:left w:val="none" w:sz="0" w:space="0" w:color="auto"/>
                    <w:bottom w:val="none" w:sz="0" w:space="0" w:color="auto"/>
                    <w:right w:val="none" w:sz="0" w:space="0" w:color="auto"/>
                  </w:divBdr>
                  <w:divsChild>
                    <w:div w:id="906764990">
                      <w:marLeft w:val="0"/>
                      <w:marRight w:val="0"/>
                      <w:marTop w:val="0"/>
                      <w:marBottom w:val="0"/>
                      <w:divBdr>
                        <w:top w:val="none" w:sz="0" w:space="0" w:color="auto"/>
                        <w:left w:val="none" w:sz="0" w:space="0" w:color="auto"/>
                        <w:bottom w:val="none" w:sz="0" w:space="0" w:color="auto"/>
                        <w:right w:val="none" w:sz="0" w:space="0" w:color="auto"/>
                      </w:divBdr>
                    </w:div>
                  </w:divsChild>
                </w:div>
                <w:div w:id="1856580311">
                  <w:marLeft w:val="0"/>
                  <w:marRight w:val="0"/>
                  <w:marTop w:val="0"/>
                  <w:marBottom w:val="0"/>
                  <w:divBdr>
                    <w:top w:val="none" w:sz="0" w:space="0" w:color="auto"/>
                    <w:left w:val="none" w:sz="0" w:space="0" w:color="auto"/>
                    <w:bottom w:val="none" w:sz="0" w:space="0" w:color="auto"/>
                    <w:right w:val="none" w:sz="0" w:space="0" w:color="auto"/>
                  </w:divBdr>
                  <w:divsChild>
                    <w:div w:id="1499661649">
                      <w:marLeft w:val="0"/>
                      <w:marRight w:val="0"/>
                      <w:marTop w:val="0"/>
                      <w:marBottom w:val="0"/>
                      <w:divBdr>
                        <w:top w:val="none" w:sz="0" w:space="0" w:color="auto"/>
                        <w:left w:val="none" w:sz="0" w:space="0" w:color="auto"/>
                        <w:bottom w:val="none" w:sz="0" w:space="0" w:color="auto"/>
                        <w:right w:val="none" w:sz="0" w:space="0" w:color="auto"/>
                      </w:divBdr>
                    </w:div>
                  </w:divsChild>
                </w:div>
                <w:div w:id="1931234381">
                  <w:marLeft w:val="0"/>
                  <w:marRight w:val="0"/>
                  <w:marTop w:val="0"/>
                  <w:marBottom w:val="0"/>
                  <w:divBdr>
                    <w:top w:val="none" w:sz="0" w:space="0" w:color="auto"/>
                    <w:left w:val="none" w:sz="0" w:space="0" w:color="auto"/>
                    <w:bottom w:val="none" w:sz="0" w:space="0" w:color="auto"/>
                    <w:right w:val="none" w:sz="0" w:space="0" w:color="auto"/>
                  </w:divBdr>
                  <w:divsChild>
                    <w:div w:id="1133522223">
                      <w:marLeft w:val="0"/>
                      <w:marRight w:val="0"/>
                      <w:marTop w:val="0"/>
                      <w:marBottom w:val="0"/>
                      <w:divBdr>
                        <w:top w:val="none" w:sz="0" w:space="0" w:color="auto"/>
                        <w:left w:val="none" w:sz="0" w:space="0" w:color="auto"/>
                        <w:bottom w:val="none" w:sz="0" w:space="0" w:color="auto"/>
                        <w:right w:val="none" w:sz="0" w:space="0" w:color="auto"/>
                      </w:divBdr>
                    </w:div>
                  </w:divsChild>
                </w:div>
                <w:div w:id="1986471078">
                  <w:marLeft w:val="0"/>
                  <w:marRight w:val="0"/>
                  <w:marTop w:val="0"/>
                  <w:marBottom w:val="0"/>
                  <w:divBdr>
                    <w:top w:val="none" w:sz="0" w:space="0" w:color="auto"/>
                    <w:left w:val="none" w:sz="0" w:space="0" w:color="auto"/>
                    <w:bottom w:val="none" w:sz="0" w:space="0" w:color="auto"/>
                    <w:right w:val="none" w:sz="0" w:space="0" w:color="auto"/>
                  </w:divBdr>
                  <w:divsChild>
                    <w:div w:id="1344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4975">
      <w:bodyDiv w:val="1"/>
      <w:marLeft w:val="0"/>
      <w:marRight w:val="0"/>
      <w:marTop w:val="0"/>
      <w:marBottom w:val="0"/>
      <w:divBdr>
        <w:top w:val="none" w:sz="0" w:space="0" w:color="auto"/>
        <w:left w:val="none" w:sz="0" w:space="0" w:color="auto"/>
        <w:bottom w:val="none" w:sz="0" w:space="0" w:color="auto"/>
        <w:right w:val="none" w:sz="0" w:space="0" w:color="auto"/>
      </w:divBdr>
    </w:div>
    <w:div w:id="1627351982">
      <w:bodyDiv w:val="1"/>
      <w:marLeft w:val="0"/>
      <w:marRight w:val="0"/>
      <w:marTop w:val="0"/>
      <w:marBottom w:val="0"/>
      <w:divBdr>
        <w:top w:val="none" w:sz="0" w:space="0" w:color="auto"/>
        <w:left w:val="none" w:sz="0" w:space="0" w:color="auto"/>
        <w:bottom w:val="none" w:sz="0" w:space="0" w:color="auto"/>
        <w:right w:val="none" w:sz="0" w:space="0" w:color="auto"/>
      </w:divBdr>
    </w:div>
    <w:div w:id="1991405131">
      <w:bodyDiv w:val="1"/>
      <w:marLeft w:val="0"/>
      <w:marRight w:val="0"/>
      <w:marTop w:val="0"/>
      <w:marBottom w:val="0"/>
      <w:divBdr>
        <w:top w:val="none" w:sz="0" w:space="0" w:color="auto"/>
        <w:left w:val="none" w:sz="0" w:space="0" w:color="auto"/>
        <w:bottom w:val="none" w:sz="0" w:space="0" w:color="auto"/>
        <w:right w:val="none" w:sz="0" w:space="0" w:color="auto"/>
      </w:divBdr>
    </w:div>
    <w:div w:id="20883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5AIRPNAIUNRU-1328258698-4192</_dlc_DocId>
    <_dlc_DocIdUrl xmlns="71c5aaf6-e6ce-465b-b873-5148d2a4c105">
      <Url>https://nokia.sharepoint.com/sites/c5g/5gradio/_layouts/15/DocIdRedir.aspx?ID=5AIRPNAIUNRU-1328258698-4192</Url>
      <Description>5AIRPNAIUNRU-1328258698-4192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9A751-9B6B-4615-929C-24E91304E62C}">
  <ds:schemaRefs>
    <ds:schemaRef ds:uri="55ae6c15-9962-46ae-a768-8deca3649a6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8d22441-8343-43f8-ac6d-b59b0fa8fca6"/>
    <ds:schemaRef ds:uri="http://www.w3.org/XML/1998/namespace"/>
    <ds:schemaRef ds:uri="http://purl.org/dc/dcmitype/"/>
  </ds:schemaRefs>
</ds:datastoreItem>
</file>

<file path=customXml/itemProps2.xml><?xml version="1.0" encoding="utf-8"?>
<ds:datastoreItem xmlns:ds="http://schemas.openxmlformats.org/officeDocument/2006/customXml" ds:itemID="{84F11485-F53C-46AB-868D-538D09ACD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54D6E-B923-418D-96EE-F78063B692CA}">
  <ds:schemaRefs>
    <ds:schemaRef ds:uri="http://schemas.microsoft.com/sharepoint/events"/>
  </ds:schemaRefs>
</ds:datastoreItem>
</file>

<file path=customXml/itemProps4.xml><?xml version="1.0" encoding="utf-8"?>
<ds:datastoreItem xmlns:ds="http://schemas.openxmlformats.org/officeDocument/2006/customXml" ds:itemID="{B3067C56-80D2-415B-A011-F3AC310ABA80}">
  <ds:schemaRefs>
    <ds:schemaRef ds:uri="Microsoft.SharePoint.Taxonomy.ContentTypeSync"/>
  </ds:schemaRefs>
</ds:datastoreItem>
</file>

<file path=customXml/itemProps5.xml><?xml version="1.0" encoding="utf-8"?>
<ds:datastoreItem xmlns:ds="http://schemas.openxmlformats.org/officeDocument/2006/customXml" ds:itemID="{A9718B02-E310-41B5-AFE7-91A8A8075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561</TotalTime>
  <Pages>5</Pages>
  <Words>958</Words>
  <Characters>7761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Vasenkari, Petri J. (Nokia - FI/Espoo)</cp:lastModifiedBy>
  <cp:revision>2</cp:revision>
  <cp:lastPrinted>2002-04-23T07:10:00Z</cp:lastPrinted>
  <dcterms:created xsi:type="dcterms:W3CDTF">2022-02-23T03:52:00Z</dcterms:created>
  <dcterms:modified xsi:type="dcterms:W3CDTF">2022-02-23T03:52:00Z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c8ee4e05-db8f-472f-b1d9-deb1aad9b517</vt:lpwstr>
  </property>
</Properties>
</file>