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805" w:rsidRPr="00B23518" w:rsidRDefault="00E67A62" w:rsidP="006D2805">
      <w:pPr>
        <w:pStyle w:val="a3"/>
        <w:keepLines/>
        <w:tabs>
          <w:tab w:val="right" w:pos="10440"/>
          <w:tab w:val="right" w:pos="13323"/>
        </w:tabs>
        <w:rPr>
          <w:rFonts w:ascii="Arial" w:eastAsia="宋体" w:hAnsi="Arial" w:cs="Arial"/>
          <w:b/>
          <w:sz w:val="24"/>
          <w:szCs w:val="24"/>
          <w:lang w:eastAsia="zh-CN"/>
        </w:rPr>
      </w:pPr>
      <w:bookmarkStart w:id="0" w:name="OLE_LINK1"/>
      <w:bookmarkStart w:id="1" w:name="OLE_LINK2"/>
      <w:r w:rsidRPr="004E2857">
        <w:rPr>
          <w:rFonts w:ascii="Arial" w:hAnsi="Arial" w:cs="Arial"/>
          <w:b/>
          <w:sz w:val="24"/>
          <w:szCs w:val="24"/>
        </w:rPr>
        <w:t>3GPP TSG-RAN WG4 Meeting #</w:t>
      </w:r>
      <w:r w:rsidRPr="004E2857">
        <w:rPr>
          <w:rFonts w:ascii="Arial" w:hAnsi="Arial" w:cs="Arial"/>
        </w:rPr>
        <w:t xml:space="preserve"> </w:t>
      </w:r>
      <w:r w:rsidRPr="004E2857">
        <w:rPr>
          <w:rFonts w:ascii="Arial" w:hAnsi="Arial" w:cs="Arial"/>
          <w:b/>
          <w:sz w:val="24"/>
          <w:szCs w:val="24"/>
        </w:rPr>
        <w:t>101-bis-e</w:t>
      </w:r>
      <w:r w:rsidR="006D2805">
        <w:rPr>
          <w:rFonts w:ascii="Arial" w:eastAsiaTheme="minorEastAsia" w:hAnsi="Arial" w:cs="Arial" w:hint="eastAsia"/>
          <w:b/>
          <w:sz w:val="24"/>
          <w:szCs w:val="24"/>
          <w:lang w:eastAsia="zh-CN"/>
        </w:rPr>
        <w:tab/>
      </w:r>
      <w:r w:rsidR="006D2805" w:rsidRPr="00B23518">
        <w:rPr>
          <w:rFonts w:ascii="Arial" w:hAnsi="Arial" w:cs="Arial"/>
          <w:b/>
          <w:sz w:val="24"/>
          <w:szCs w:val="24"/>
        </w:rPr>
        <w:t>R4-2</w:t>
      </w:r>
      <w:r w:rsidR="00A42094">
        <w:rPr>
          <w:rFonts w:ascii="Arial" w:hAnsi="Arial" w:cs="Arial"/>
          <w:b/>
          <w:sz w:val="24"/>
          <w:szCs w:val="24"/>
        </w:rPr>
        <w:t>200098</w:t>
      </w:r>
    </w:p>
    <w:p w:rsidR="006D2805" w:rsidRPr="00C53146" w:rsidRDefault="00E67A62" w:rsidP="006D2805">
      <w:pPr>
        <w:spacing w:after="120"/>
        <w:ind w:left="1985" w:hanging="1985"/>
        <w:rPr>
          <w:rFonts w:ascii="Arial" w:eastAsia="等线" w:hAnsi="Arial" w:cs="Arial"/>
          <w:b/>
          <w:sz w:val="24"/>
          <w:szCs w:val="24"/>
          <w:lang w:eastAsia="zh-CN"/>
        </w:rPr>
      </w:pPr>
      <w:r w:rsidRPr="004E2857">
        <w:rPr>
          <w:rFonts w:ascii="Arial" w:eastAsia="宋体" w:hAnsi="Arial" w:cs="Arial"/>
          <w:b/>
          <w:sz w:val="24"/>
          <w:szCs w:val="24"/>
          <w:lang w:eastAsia="zh-CN"/>
        </w:rPr>
        <w:t>Electronic Meeting, January 17-25, 2022</w:t>
      </w:r>
      <w:bookmarkEnd w:id="0"/>
      <w:bookmarkEnd w:id="1"/>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F56ED1">
        <w:rPr>
          <w:rFonts w:ascii="Arial" w:hAnsi="Arial" w:cs="Arial"/>
          <w:b w:val="0"/>
        </w:rPr>
        <w:t>6</w:t>
      </w:r>
      <w:r w:rsidR="00E64574">
        <w:rPr>
          <w:rFonts w:ascii="Arial" w:hAnsi="Arial" w:cs="Arial" w:hint="eastAsia"/>
          <w:b w:val="0"/>
        </w:rPr>
        <w:t>.</w:t>
      </w:r>
      <w:r w:rsidR="009C5615">
        <w:rPr>
          <w:rFonts w:ascii="Arial" w:hAnsi="Arial" w:cs="Arial"/>
          <w:b w:val="0"/>
        </w:rPr>
        <w:t>9</w:t>
      </w:r>
      <w:r w:rsidR="006D2805">
        <w:rPr>
          <w:rFonts w:ascii="Arial" w:hAnsi="Arial" w:cs="Arial" w:hint="eastAsia"/>
          <w:b w:val="0"/>
        </w:rPr>
        <w:t>.</w:t>
      </w:r>
      <w:r w:rsidR="009C5615">
        <w:rPr>
          <w:rFonts w:ascii="Arial" w:hAnsi="Arial" w:cs="Arial"/>
          <w:b w:val="0"/>
        </w:rPr>
        <w:t>4</w:t>
      </w:r>
      <w:r w:rsidR="006D2805">
        <w:rPr>
          <w:rFonts w:ascii="Arial" w:hAnsi="Arial" w:cs="Arial" w:hint="eastAsia"/>
          <w:b w:val="0"/>
        </w:rPr>
        <w:t>.</w:t>
      </w:r>
      <w:r w:rsidR="009C5615">
        <w:rPr>
          <w:rFonts w:ascii="Arial" w:hAnsi="Arial" w:cs="Arial"/>
          <w:b w:val="0"/>
        </w:rPr>
        <w:t>1</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9C5615" w:rsidRPr="009C5615">
        <w:rPr>
          <w:rFonts w:ascii="Arial" w:hAnsi="Arial" w:cs="Arial"/>
          <w:b w:val="0"/>
        </w:rPr>
        <w:t>Discussion on general issues for FR2 HST</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2" w:name="DocumentFor"/>
      <w:bookmarkEnd w:id="2"/>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140A61" w:rsidRDefault="00140A61" w:rsidP="00140A61">
      <w:pPr>
        <w:spacing w:after="120"/>
        <w:rPr>
          <w:rFonts w:eastAsiaTheme="minorEastAsia"/>
          <w:lang w:eastAsia="zh-CN"/>
        </w:rPr>
      </w:pPr>
      <w:r>
        <w:rPr>
          <w:rFonts w:eastAsiaTheme="minorEastAsia"/>
          <w:lang w:eastAsia="zh-CN"/>
        </w:rPr>
        <w:t>There were extensive discussions for FR2 HST during the past RAN4 meetings and a WF on</w:t>
      </w:r>
      <w:r>
        <w:rPr>
          <w:rFonts w:eastAsia="宋体"/>
          <w:lang w:eastAsia="zh-CN"/>
        </w:rPr>
        <w:t xml:space="preserve"> RRM requirements for NR FR2 HST was approved </w:t>
      </w:r>
      <w:r>
        <w:rPr>
          <w:lang w:eastAsia="zh-CN"/>
        </w:rPr>
        <w:t>[1]</w:t>
      </w:r>
      <w:r>
        <w:rPr>
          <w:rFonts w:eastAsiaTheme="minorEastAsia"/>
          <w:lang w:val="en-US" w:eastAsia="zh-CN"/>
        </w:rPr>
        <w:t xml:space="preserve"> in RAN4#101-e meeting</w:t>
      </w:r>
      <w:r>
        <w:rPr>
          <w:lang w:eastAsia="zh-CN"/>
        </w:rPr>
        <w:t xml:space="preserve">. Although some topics were agreed, there are still some open issues for network signalling and UE capabilities. </w:t>
      </w:r>
    </w:p>
    <w:p w:rsidR="00140A61" w:rsidRDefault="00140A61" w:rsidP="00140A61">
      <w:pPr>
        <w:spacing w:after="120"/>
        <w:rPr>
          <w:lang w:val="en-US" w:eastAsia="zh-CN"/>
        </w:rPr>
      </w:pPr>
      <w:r>
        <w:t>In this contribution</w:t>
      </w:r>
      <w:r>
        <w:rPr>
          <w:lang w:eastAsia="zh-CN"/>
        </w:rPr>
        <w:t xml:space="preserve">, we provide our consideration of these open issues </w:t>
      </w:r>
      <w:r>
        <w:t xml:space="preserve">and </w:t>
      </w:r>
      <w:r>
        <w:rPr>
          <w:lang w:eastAsia="zh-CN"/>
        </w:rPr>
        <w:t>give our proposals.</w:t>
      </w:r>
    </w:p>
    <w:p w:rsidR="00FD73FA" w:rsidRPr="004862A3" w:rsidRDefault="00FD73FA" w:rsidP="00FD73FA">
      <w:pPr>
        <w:pStyle w:val="1"/>
        <w:jc w:val="both"/>
        <w:rPr>
          <w:rFonts w:eastAsia="MS Mincho"/>
          <w:lang w:val="en-US"/>
        </w:rPr>
      </w:pPr>
      <w:r w:rsidRPr="004862A3">
        <w:rPr>
          <w:rFonts w:eastAsia="MS Mincho"/>
          <w:lang w:val="en-US"/>
        </w:rPr>
        <w:t>Discussion</w:t>
      </w:r>
    </w:p>
    <w:p w:rsidR="00963880" w:rsidRDefault="00963880" w:rsidP="00C9055D">
      <w:pPr>
        <w:pStyle w:val="2"/>
        <w:rPr>
          <w:rFonts w:eastAsiaTheme="minorEastAsia"/>
          <w:lang w:val="en-US" w:eastAsia="zh-CN"/>
        </w:rPr>
      </w:pPr>
      <w:r w:rsidRPr="00C9055D">
        <w:rPr>
          <w:rFonts w:eastAsiaTheme="minorEastAsia" w:hint="eastAsia"/>
          <w:lang w:val="en-US" w:eastAsia="zh-CN"/>
        </w:rPr>
        <w:t>Network signaling</w:t>
      </w:r>
    </w:p>
    <w:p w:rsidR="00653D42" w:rsidRPr="00653D42" w:rsidRDefault="00653D42" w:rsidP="00653D42">
      <w:pPr>
        <w:rPr>
          <w:rFonts w:eastAsiaTheme="minorEastAsia"/>
          <w:lang w:val="en-US" w:eastAsia="zh-CN"/>
        </w:rPr>
      </w:pPr>
      <w:r>
        <w:rPr>
          <w:rFonts w:eastAsiaTheme="minorEastAsia"/>
          <w:lang w:val="en-US" w:eastAsia="zh-CN"/>
        </w:rPr>
        <w:t xml:space="preserve">At last meeting, it is agreed that no separate requirements for </w:t>
      </w:r>
      <w:proofErr w:type="spellStart"/>
      <w:r>
        <w:rPr>
          <w:rFonts w:eastAsiaTheme="minorEastAsia"/>
          <w:lang w:val="en-US" w:eastAsia="zh-CN"/>
        </w:rPr>
        <w:t>uni</w:t>
      </w:r>
      <w:proofErr w:type="spellEnd"/>
      <w:r>
        <w:rPr>
          <w:rFonts w:eastAsiaTheme="minorEastAsia"/>
          <w:lang w:val="en-US" w:eastAsia="zh-CN"/>
        </w:rPr>
        <w:t xml:space="preserve">-/bi-directional deployments are needed. But there has no consensus on the necessity of network signals for indication of </w:t>
      </w:r>
      <w:proofErr w:type="spellStart"/>
      <w:r>
        <w:rPr>
          <w:rFonts w:eastAsiaTheme="minorEastAsia"/>
          <w:lang w:val="en-US" w:eastAsia="zh-CN"/>
        </w:rPr>
        <w:t>uni</w:t>
      </w:r>
      <w:proofErr w:type="spellEnd"/>
      <w:r>
        <w:rPr>
          <w:rFonts w:eastAsiaTheme="minorEastAsia"/>
          <w:lang w:val="en-US" w:eastAsia="zh-CN"/>
        </w:rPr>
        <w:t>-/bi-directional deployment.  Two options are listed in WF [1] as below:</w:t>
      </w:r>
    </w:p>
    <w:tbl>
      <w:tblPr>
        <w:tblStyle w:val="a8"/>
        <w:tblW w:w="0" w:type="auto"/>
        <w:tblLook w:val="04A0" w:firstRow="1" w:lastRow="0" w:firstColumn="1" w:lastColumn="0" w:noHBand="0" w:noVBand="1"/>
      </w:tblPr>
      <w:tblGrid>
        <w:gridCol w:w="8856"/>
      </w:tblGrid>
      <w:tr w:rsidR="00963880" w:rsidTr="00963880">
        <w:tc>
          <w:tcPr>
            <w:tcW w:w="8856" w:type="dxa"/>
          </w:tcPr>
          <w:p w:rsidR="00963880" w:rsidRDefault="00963880" w:rsidP="00963880">
            <w:pPr>
              <w:rPr>
                <w:lang w:val="en-US" w:eastAsia="ko-KR"/>
              </w:rPr>
            </w:pPr>
            <w:r>
              <w:rPr>
                <w:b/>
                <w:bCs/>
                <w:lang w:val="en-US"/>
              </w:rPr>
              <w:t xml:space="preserve">Signaling of </w:t>
            </w:r>
            <w:proofErr w:type="spellStart"/>
            <w:r>
              <w:rPr>
                <w:b/>
                <w:bCs/>
                <w:lang w:val="en-US"/>
              </w:rPr>
              <w:t>uni</w:t>
            </w:r>
            <w:proofErr w:type="spellEnd"/>
            <w:r>
              <w:rPr>
                <w:b/>
                <w:bCs/>
                <w:lang w:val="en-US"/>
              </w:rPr>
              <w:t>-/bi-directional operation</w:t>
            </w:r>
          </w:p>
          <w:tbl>
            <w:tblPr>
              <w:tblStyle w:val="a8"/>
              <w:tblW w:w="0" w:type="auto"/>
              <w:tblLook w:val="04A0" w:firstRow="1" w:lastRow="0" w:firstColumn="1" w:lastColumn="0" w:noHBand="0" w:noVBand="1"/>
            </w:tblPr>
            <w:tblGrid>
              <w:gridCol w:w="8630"/>
            </w:tblGrid>
            <w:tr w:rsidR="00963880" w:rsidTr="00963880">
              <w:tc>
                <w:tcPr>
                  <w:tcW w:w="10456" w:type="dxa"/>
                  <w:tcBorders>
                    <w:top w:val="single" w:sz="4" w:space="0" w:color="auto"/>
                    <w:left w:val="single" w:sz="4" w:space="0" w:color="auto"/>
                    <w:bottom w:val="single" w:sz="4" w:space="0" w:color="auto"/>
                    <w:right w:val="single" w:sz="4" w:space="0" w:color="auto"/>
                  </w:tcBorders>
                  <w:hideMark/>
                </w:tcPr>
                <w:p w:rsidR="00963880" w:rsidRDefault="00963880">
                  <w:pPr>
                    <w:textAlignment w:val="baseline"/>
                    <w:rPr>
                      <w:b/>
                      <w:lang w:val="en-US"/>
                    </w:rPr>
                  </w:pPr>
                  <w:r>
                    <w:rPr>
                      <w:b/>
                      <w:lang w:val="en-US"/>
                    </w:rPr>
                    <w:t>Way forward:</w:t>
                  </w:r>
                </w:p>
                <w:p w:rsidR="00963880" w:rsidRDefault="00963880">
                  <w:pPr>
                    <w:ind w:left="284"/>
                    <w:textAlignment w:val="baseline"/>
                    <w:rPr>
                      <w:lang w:val="en-US"/>
                    </w:rPr>
                  </w:pPr>
                  <w:r>
                    <w:rPr>
                      <w:lang w:val="en-US"/>
                    </w:rPr>
                    <w:t>Discuss further a need to introduce network signaling:</w:t>
                  </w:r>
                </w:p>
                <w:p w:rsidR="00963880" w:rsidRDefault="00963880" w:rsidP="00963880">
                  <w:pPr>
                    <w:pStyle w:val="a9"/>
                    <w:numPr>
                      <w:ilvl w:val="0"/>
                      <w:numId w:val="26"/>
                    </w:numPr>
                    <w:overflowPunct w:val="0"/>
                    <w:autoSpaceDE w:val="0"/>
                    <w:autoSpaceDN w:val="0"/>
                    <w:adjustRightInd w:val="0"/>
                    <w:contextualSpacing w:val="0"/>
                    <w:rPr>
                      <w:lang w:val="en-US" w:eastAsia="zh-CN"/>
                    </w:rPr>
                  </w:pPr>
                  <w:r>
                    <w:rPr>
                      <w:lang w:val="en-US" w:eastAsia="zh-CN"/>
                    </w:rPr>
                    <w:t>Option 1: Network signals type of deployment (</w:t>
                  </w:r>
                  <w:proofErr w:type="spellStart"/>
                  <w:r>
                    <w:rPr>
                      <w:lang w:val="en-US" w:eastAsia="zh-CN"/>
                    </w:rPr>
                    <w:t>uni</w:t>
                  </w:r>
                  <w:proofErr w:type="spellEnd"/>
                  <w:r>
                    <w:rPr>
                      <w:lang w:val="en-US" w:eastAsia="zh-CN"/>
                    </w:rPr>
                    <w:t>- or bi-direction) to UE.</w:t>
                  </w:r>
                </w:p>
                <w:p w:rsidR="00963880" w:rsidRDefault="00963880" w:rsidP="00963880">
                  <w:pPr>
                    <w:pStyle w:val="a9"/>
                    <w:numPr>
                      <w:ilvl w:val="0"/>
                      <w:numId w:val="26"/>
                    </w:numPr>
                    <w:overflowPunct w:val="0"/>
                    <w:autoSpaceDE w:val="0"/>
                    <w:autoSpaceDN w:val="0"/>
                    <w:adjustRightInd w:val="0"/>
                    <w:contextualSpacing w:val="0"/>
                    <w:rPr>
                      <w:lang w:val="en-US" w:eastAsia="zh-CN"/>
                    </w:rPr>
                  </w:pPr>
                  <w:r>
                    <w:rPr>
                      <w:lang w:val="en-US" w:eastAsia="zh-CN"/>
                    </w:rPr>
                    <w:t xml:space="preserve">Option 2: Signaling of </w:t>
                  </w:r>
                  <w:proofErr w:type="spellStart"/>
                  <w:r>
                    <w:rPr>
                      <w:lang w:val="en-US" w:eastAsia="zh-CN"/>
                    </w:rPr>
                    <w:t>uni</w:t>
                  </w:r>
                  <w:proofErr w:type="spellEnd"/>
                  <w:r>
                    <w:rPr>
                      <w:lang w:val="en-US" w:eastAsia="zh-CN"/>
                    </w:rPr>
                    <w:t>-/bi-directional operation is not needed.</w:t>
                  </w:r>
                </w:p>
              </w:tc>
            </w:tr>
          </w:tbl>
          <w:p w:rsidR="00963880" w:rsidRDefault="00963880" w:rsidP="00D761E5">
            <w:pPr>
              <w:spacing w:after="120"/>
              <w:rPr>
                <w:rFonts w:eastAsiaTheme="minorEastAsia"/>
                <w:lang w:val="en-US" w:eastAsia="zh-CN"/>
              </w:rPr>
            </w:pPr>
          </w:p>
        </w:tc>
      </w:tr>
    </w:tbl>
    <w:p w:rsidR="00963880" w:rsidRDefault="00963880" w:rsidP="00D761E5">
      <w:pPr>
        <w:spacing w:after="120"/>
        <w:rPr>
          <w:rFonts w:eastAsiaTheme="minorEastAsia"/>
          <w:lang w:val="en-US" w:eastAsia="zh-CN"/>
        </w:rPr>
      </w:pPr>
    </w:p>
    <w:p w:rsidR="00B90D96" w:rsidRDefault="00B90D96" w:rsidP="00B90D96">
      <w:pPr>
        <w:spacing w:after="120"/>
        <w:rPr>
          <w:rFonts w:eastAsia="宋体"/>
          <w:lang w:eastAsia="zh-CN"/>
        </w:rPr>
      </w:pPr>
      <w:r>
        <w:rPr>
          <w:rFonts w:eastAsia="宋体"/>
          <w:lang w:eastAsia="zh-CN"/>
        </w:rPr>
        <w:t>As mentioned above, t</w:t>
      </w:r>
      <w:r w:rsidR="00653D42">
        <w:rPr>
          <w:rFonts w:eastAsia="宋体"/>
          <w:lang w:eastAsia="zh-CN"/>
        </w:rPr>
        <w:t xml:space="preserve">he RRM requirements are the same in Scenario for both </w:t>
      </w:r>
      <w:proofErr w:type="spellStart"/>
      <w:r w:rsidR="00653D42">
        <w:rPr>
          <w:rFonts w:eastAsia="宋体"/>
          <w:lang w:eastAsia="zh-CN"/>
        </w:rPr>
        <w:t>uni</w:t>
      </w:r>
      <w:proofErr w:type="spellEnd"/>
      <w:r w:rsidR="00653D42">
        <w:rPr>
          <w:rFonts w:eastAsia="宋体"/>
          <w:lang w:eastAsia="zh-CN"/>
        </w:rPr>
        <w:t>-/bi-directional modes.</w:t>
      </w:r>
      <w:r>
        <w:rPr>
          <w:rFonts w:eastAsia="宋体"/>
          <w:lang w:eastAsia="zh-CN"/>
        </w:rPr>
        <w:t xml:space="preserve"> </w:t>
      </w:r>
      <w:r w:rsidRPr="00B90D96">
        <w:rPr>
          <w:rFonts w:eastAsia="宋体"/>
          <w:lang w:eastAsia="zh-CN"/>
        </w:rPr>
        <w:t>From that perspective</w:t>
      </w:r>
      <w:r>
        <w:rPr>
          <w:rFonts w:eastAsia="宋体"/>
          <w:lang w:eastAsia="zh-CN"/>
        </w:rPr>
        <w:t>,</w:t>
      </w:r>
      <w:r w:rsidR="00653D42">
        <w:rPr>
          <w:rFonts w:eastAsia="宋体"/>
          <w:lang w:eastAsia="zh-CN"/>
        </w:rPr>
        <w:t xml:space="preserve"> </w:t>
      </w:r>
      <w:r>
        <w:rPr>
          <w:rFonts w:eastAsia="宋体" w:hint="eastAsia"/>
          <w:lang w:eastAsia="zh-CN"/>
        </w:rPr>
        <w:t xml:space="preserve">signalling of </w:t>
      </w:r>
      <w:proofErr w:type="spellStart"/>
      <w:r>
        <w:rPr>
          <w:rFonts w:eastAsia="宋体" w:hint="eastAsia"/>
          <w:lang w:eastAsia="zh-CN"/>
        </w:rPr>
        <w:t>uni</w:t>
      </w:r>
      <w:proofErr w:type="spellEnd"/>
      <w:r>
        <w:rPr>
          <w:rFonts w:eastAsia="宋体" w:hint="eastAsia"/>
          <w:lang w:eastAsia="zh-CN"/>
        </w:rPr>
        <w:t xml:space="preserve">-/bi-directional operation is not needed. </w:t>
      </w:r>
      <w:r>
        <w:rPr>
          <w:rFonts w:eastAsia="宋体"/>
          <w:lang w:eastAsia="zh-CN"/>
        </w:rPr>
        <w:t>T</w:t>
      </w:r>
      <w:r>
        <w:rPr>
          <w:rFonts w:eastAsia="宋体" w:hint="eastAsia"/>
          <w:lang w:eastAsia="zh-CN"/>
        </w:rPr>
        <w:t xml:space="preserve">hat is why we support option 2 from RRM benefits perspective. </w:t>
      </w:r>
      <w:r w:rsidR="009D619F">
        <w:rPr>
          <w:rFonts w:eastAsia="宋体"/>
          <w:lang w:eastAsia="zh-CN"/>
        </w:rPr>
        <w:t xml:space="preserve">Some companies suggested defining such signalling for other purpose such as UE implementation. We understand that this signalling can be the network assistance information, and UE may enhance complexity issue by using it. If it is only 1 bit indicator, considering the less overhead, we can accept to define it. </w:t>
      </w:r>
    </w:p>
    <w:p w:rsidR="009D619F" w:rsidRPr="009D619F" w:rsidRDefault="009D619F" w:rsidP="00B90D96">
      <w:pPr>
        <w:spacing w:after="120"/>
        <w:rPr>
          <w:rFonts w:eastAsia="宋体"/>
          <w:lang w:eastAsia="zh-CN"/>
        </w:rPr>
      </w:pPr>
      <w:r w:rsidRPr="00673AFF">
        <w:rPr>
          <w:rFonts w:eastAsia="宋体"/>
          <w:b/>
          <w:lang w:eastAsia="zh-CN"/>
        </w:rPr>
        <w:t xml:space="preserve">Proposal 1: Network signals of </w:t>
      </w:r>
      <w:proofErr w:type="spellStart"/>
      <w:r w:rsidRPr="00673AFF">
        <w:rPr>
          <w:rFonts w:eastAsia="宋体"/>
          <w:b/>
          <w:lang w:eastAsia="zh-CN"/>
        </w:rPr>
        <w:t>uni</w:t>
      </w:r>
      <w:proofErr w:type="spellEnd"/>
      <w:r w:rsidRPr="00673AFF">
        <w:rPr>
          <w:rFonts w:eastAsia="宋体"/>
          <w:b/>
          <w:lang w:eastAsia="zh-CN"/>
        </w:rPr>
        <w:t>-/bi-directional operation is not needed from RRM perspective.</w:t>
      </w:r>
      <w:r w:rsidR="00673AFF">
        <w:rPr>
          <w:rFonts w:eastAsia="宋体"/>
          <w:b/>
          <w:lang w:eastAsia="zh-CN"/>
        </w:rPr>
        <w:t xml:space="preserve"> We can accept it considering only 1 bit overhead. </w:t>
      </w:r>
      <w:r w:rsidRPr="00673AFF">
        <w:rPr>
          <w:rFonts w:eastAsia="宋体"/>
          <w:b/>
          <w:lang w:eastAsia="zh-CN"/>
        </w:rPr>
        <w:t xml:space="preserve"> </w:t>
      </w:r>
    </w:p>
    <w:p w:rsidR="00653D42" w:rsidRDefault="00653D42" w:rsidP="00D761E5">
      <w:pPr>
        <w:spacing w:after="120"/>
        <w:rPr>
          <w:rFonts w:eastAsiaTheme="minorEastAsia"/>
          <w:lang w:val="en-US" w:eastAsia="zh-CN"/>
        </w:rPr>
      </w:pPr>
    </w:p>
    <w:tbl>
      <w:tblPr>
        <w:tblStyle w:val="a8"/>
        <w:tblW w:w="0" w:type="auto"/>
        <w:tblLook w:val="04A0" w:firstRow="1" w:lastRow="0" w:firstColumn="1" w:lastColumn="0" w:noHBand="0" w:noVBand="1"/>
      </w:tblPr>
      <w:tblGrid>
        <w:gridCol w:w="8856"/>
      </w:tblGrid>
      <w:tr w:rsidR="00963880" w:rsidTr="00963880">
        <w:tc>
          <w:tcPr>
            <w:tcW w:w="8856" w:type="dxa"/>
          </w:tcPr>
          <w:p w:rsidR="00963880" w:rsidRDefault="00963880" w:rsidP="00963880">
            <w:pPr>
              <w:rPr>
                <w:lang w:val="en-US" w:eastAsia="ko-KR"/>
              </w:rPr>
            </w:pPr>
            <w:r>
              <w:rPr>
                <w:b/>
                <w:bCs/>
                <w:lang w:val="en-US"/>
              </w:rPr>
              <w:t>Signaling of network assistance information</w:t>
            </w:r>
          </w:p>
          <w:tbl>
            <w:tblPr>
              <w:tblStyle w:val="a8"/>
              <w:tblW w:w="0" w:type="auto"/>
              <w:tblLook w:val="04A0" w:firstRow="1" w:lastRow="0" w:firstColumn="1" w:lastColumn="0" w:noHBand="0" w:noVBand="1"/>
            </w:tblPr>
            <w:tblGrid>
              <w:gridCol w:w="8630"/>
            </w:tblGrid>
            <w:tr w:rsidR="00963880" w:rsidTr="00963880">
              <w:tc>
                <w:tcPr>
                  <w:tcW w:w="10456" w:type="dxa"/>
                  <w:tcBorders>
                    <w:top w:val="single" w:sz="4" w:space="0" w:color="auto"/>
                    <w:left w:val="single" w:sz="4" w:space="0" w:color="auto"/>
                    <w:bottom w:val="single" w:sz="4" w:space="0" w:color="auto"/>
                    <w:right w:val="single" w:sz="4" w:space="0" w:color="auto"/>
                  </w:tcBorders>
                  <w:hideMark/>
                </w:tcPr>
                <w:p w:rsidR="00963880" w:rsidRDefault="00963880">
                  <w:pPr>
                    <w:textAlignment w:val="baseline"/>
                    <w:rPr>
                      <w:b/>
                      <w:lang w:val="en-US"/>
                    </w:rPr>
                  </w:pPr>
                  <w:r>
                    <w:rPr>
                      <w:b/>
                      <w:lang w:val="en-US"/>
                    </w:rPr>
                    <w:t>Way forward:</w:t>
                  </w:r>
                </w:p>
                <w:p w:rsidR="00963880" w:rsidRDefault="00963880" w:rsidP="00963880">
                  <w:pPr>
                    <w:pStyle w:val="a9"/>
                    <w:numPr>
                      <w:ilvl w:val="0"/>
                      <w:numId w:val="27"/>
                    </w:numPr>
                    <w:overflowPunct w:val="0"/>
                    <w:autoSpaceDE w:val="0"/>
                    <w:autoSpaceDN w:val="0"/>
                    <w:adjustRightInd w:val="0"/>
                    <w:contextualSpacing w:val="0"/>
                    <w:rPr>
                      <w:rFonts w:eastAsia="Yu Mincho"/>
                      <w:lang w:val="en-US"/>
                    </w:rPr>
                  </w:pPr>
                  <w:r>
                    <w:rPr>
                      <w:rFonts w:eastAsia="Yu Mincho"/>
                      <w:lang w:val="en-US"/>
                    </w:rPr>
                    <w:lastRenderedPageBreak/>
                    <w:t>Further discuss signaling of RRH SSB configuration:</w:t>
                  </w:r>
                </w:p>
                <w:p w:rsidR="00963880" w:rsidRDefault="00963880" w:rsidP="00963880">
                  <w:pPr>
                    <w:pStyle w:val="a9"/>
                    <w:numPr>
                      <w:ilvl w:val="1"/>
                      <w:numId w:val="27"/>
                    </w:numPr>
                    <w:overflowPunct w:val="0"/>
                    <w:autoSpaceDE w:val="0"/>
                    <w:autoSpaceDN w:val="0"/>
                    <w:adjustRightInd w:val="0"/>
                    <w:contextualSpacing w:val="0"/>
                    <w:rPr>
                      <w:rFonts w:eastAsia="Yu Mincho"/>
                      <w:lang w:val="en-US"/>
                    </w:rPr>
                  </w:pPr>
                  <w:r>
                    <w:rPr>
                      <w:rFonts w:eastAsia="Yu Mincho"/>
                      <w:lang w:val="en-US"/>
                    </w:rPr>
                    <w:t>Option1: Enable network assisted signaling of SSB index and order per RRH</w:t>
                  </w:r>
                </w:p>
                <w:p w:rsidR="00963880" w:rsidRDefault="00963880" w:rsidP="00963880">
                  <w:pPr>
                    <w:pStyle w:val="a9"/>
                    <w:numPr>
                      <w:ilvl w:val="1"/>
                      <w:numId w:val="27"/>
                    </w:numPr>
                    <w:overflowPunct w:val="0"/>
                    <w:autoSpaceDE w:val="0"/>
                    <w:autoSpaceDN w:val="0"/>
                    <w:adjustRightInd w:val="0"/>
                    <w:contextualSpacing w:val="0"/>
                    <w:rPr>
                      <w:rFonts w:eastAsia="Yu Mincho"/>
                      <w:lang w:val="en-US"/>
                    </w:rPr>
                  </w:pPr>
                  <w:r>
                    <w:rPr>
                      <w:rFonts w:eastAsia="Yu Mincho"/>
                      <w:lang w:val="en-US"/>
                    </w:rPr>
                    <w:t xml:space="preserve">Option 2: Network can indicate different SSBs on adjacent RRHs having the same QCL property: signal the mapping between the repeated sets of beams from the adjacent RRHs when deployment parameters </w:t>
                  </w:r>
                  <w:proofErr w:type="spellStart"/>
                  <w:r>
                    <w:rPr>
                      <w:rFonts w:eastAsia="Yu Mincho"/>
                      <w:lang w:val="en-US"/>
                    </w:rPr>
                    <w:t>Dmin</w:t>
                  </w:r>
                  <w:proofErr w:type="spellEnd"/>
                  <w:r>
                    <w:rPr>
                      <w:rFonts w:eastAsia="Yu Mincho"/>
                      <w:lang w:val="en-US"/>
                    </w:rPr>
                    <w:t xml:space="preserve"> and Ds are similar for adjacent RRHs.</w:t>
                  </w:r>
                </w:p>
                <w:p w:rsidR="00963880" w:rsidRDefault="00963880" w:rsidP="00963880">
                  <w:pPr>
                    <w:pStyle w:val="a9"/>
                    <w:numPr>
                      <w:ilvl w:val="1"/>
                      <w:numId w:val="27"/>
                    </w:numPr>
                    <w:overflowPunct w:val="0"/>
                    <w:autoSpaceDE w:val="0"/>
                    <w:autoSpaceDN w:val="0"/>
                    <w:adjustRightInd w:val="0"/>
                    <w:contextualSpacing w:val="0"/>
                    <w:rPr>
                      <w:rFonts w:eastAsia="Yu Mincho"/>
                      <w:lang w:val="en-US"/>
                    </w:rPr>
                  </w:pPr>
                  <w:r>
                    <w:rPr>
                      <w:rFonts w:eastAsia="Yu Mincho"/>
                      <w:lang w:val="en-US"/>
                    </w:rPr>
                    <w:t>Option 3: The system can work without such assistance signaling</w:t>
                  </w:r>
                </w:p>
                <w:p w:rsidR="00963880" w:rsidRDefault="00963880" w:rsidP="00963880">
                  <w:pPr>
                    <w:pStyle w:val="a9"/>
                    <w:numPr>
                      <w:ilvl w:val="0"/>
                      <w:numId w:val="27"/>
                    </w:numPr>
                    <w:overflowPunct w:val="0"/>
                    <w:autoSpaceDE w:val="0"/>
                    <w:autoSpaceDN w:val="0"/>
                    <w:adjustRightInd w:val="0"/>
                    <w:contextualSpacing w:val="0"/>
                    <w:rPr>
                      <w:rFonts w:eastAsia="Yu Mincho"/>
                      <w:lang w:val="en-US"/>
                    </w:rPr>
                  </w:pPr>
                  <w:r>
                    <w:rPr>
                      <w:rFonts w:eastAsia="Yu Mincho"/>
                      <w:lang w:val="en-US"/>
                    </w:rPr>
                    <w:t>FFS, whether and which assistance signaling is needed to resolve potential mobility issue when the train is travelling direction is opposite to the serving beam orientation.</w:t>
                  </w:r>
                </w:p>
                <w:p w:rsidR="00963880" w:rsidRDefault="00963880" w:rsidP="00963880">
                  <w:pPr>
                    <w:pStyle w:val="a9"/>
                    <w:numPr>
                      <w:ilvl w:val="0"/>
                      <w:numId w:val="27"/>
                    </w:numPr>
                    <w:overflowPunct w:val="0"/>
                    <w:autoSpaceDE w:val="0"/>
                    <w:autoSpaceDN w:val="0"/>
                    <w:adjustRightInd w:val="0"/>
                    <w:contextualSpacing w:val="0"/>
                    <w:rPr>
                      <w:rFonts w:eastAsia="Yu Mincho"/>
                      <w:lang w:val="en-US"/>
                    </w:rPr>
                  </w:pPr>
                  <w:r>
                    <w:rPr>
                      <w:rFonts w:eastAsia="Yu Mincho"/>
                      <w:lang w:val="en-US"/>
                    </w:rPr>
                    <w:t xml:space="preserve">FFS, whether to consider a change of RRH panel orientation of RRH panel in </w:t>
                  </w:r>
                  <w:proofErr w:type="spellStart"/>
                  <w:r>
                    <w:rPr>
                      <w:rFonts w:eastAsia="Yu Mincho"/>
                      <w:lang w:val="en-US"/>
                    </w:rPr>
                    <w:t>uni</w:t>
                  </w:r>
                  <w:proofErr w:type="spellEnd"/>
                  <w:r>
                    <w:rPr>
                      <w:rFonts w:eastAsia="Yu Mincho"/>
                      <w:lang w:val="en-US"/>
                    </w:rPr>
                    <w:t>-directional deployment</w:t>
                  </w:r>
                </w:p>
                <w:p w:rsidR="00963880" w:rsidRDefault="00963880" w:rsidP="00963880">
                  <w:pPr>
                    <w:pStyle w:val="a9"/>
                    <w:numPr>
                      <w:ilvl w:val="1"/>
                      <w:numId w:val="27"/>
                    </w:numPr>
                    <w:overflowPunct w:val="0"/>
                    <w:autoSpaceDE w:val="0"/>
                    <w:autoSpaceDN w:val="0"/>
                    <w:adjustRightInd w:val="0"/>
                    <w:contextualSpacing w:val="0"/>
                    <w:rPr>
                      <w:rFonts w:eastAsia="Yu Mincho"/>
                      <w:lang w:val="en-US"/>
                    </w:rPr>
                  </w:pPr>
                  <w:r>
                    <w:rPr>
                      <w:rFonts w:eastAsia="Yu Mincho"/>
                      <w:lang w:val="en-US"/>
                    </w:rPr>
                    <w:t>FFS, whether network signals the beam direction of new RRH, to which UE is switching, w.r.t. UE moving direction when it changes</w:t>
                  </w:r>
                </w:p>
              </w:tc>
            </w:tr>
          </w:tbl>
          <w:p w:rsidR="00963880" w:rsidRDefault="00963880" w:rsidP="00D761E5">
            <w:pPr>
              <w:spacing w:after="120"/>
              <w:rPr>
                <w:rFonts w:eastAsiaTheme="minorEastAsia"/>
                <w:lang w:val="en-US" w:eastAsia="zh-CN"/>
              </w:rPr>
            </w:pPr>
          </w:p>
        </w:tc>
      </w:tr>
    </w:tbl>
    <w:p w:rsidR="00963880" w:rsidRDefault="00963880" w:rsidP="00D761E5">
      <w:pPr>
        <w:spacing w:after="120"/>
        <w:rPr>
          <w:rFonts w:eastAsiaTheme="minorEastAsia"/>
          <w:lang w:val="en-US" w:eastAsia="zh-CN"/>
        </w:rPr>
      </w:pPr>
    </w:p>
    <w:p w:rsidR="00983815" w:rsidRDefault="00983815" w:rsidP="000266ED">
      <w:pPr>
        <w:jc w:val="both"/>
        <w:rPr>
          <w:rFonts w:eastAsiaTheme="minorEastAsia" w:hint="eastAsia"/>
          <w:lang w:eastAsia="zh-CN"/>
        </w:rPr>
      </w:pPr>
      <w:r>
        <w:t>For the potential mobility issue when the train is travelling direction is opposite to the serving beam orientation, it might be resolved by using proper event offset in NW. For the moving direction, the BS</w:t>
      </w:r>
      <w:r w:rsidR="00B52F2E">
        <w:t xml:space="preserve"> can estimate the UL signal to achieve rough </w:t>
      </w:r>
      <w:proofErr w:type="spellStart"/>
      <w:r w:rsidR="00B52F2E">
        <w:t>droppler</w:t>
      </w:r>
      <w:proofErr w:type="spellEnd"/>
      <w:r w:rsidR="00B52F2E">
        <w:t xml:space="preserve"> results to estimate the direction. But it requires additional process time which may </w:t>
      </w:r>
      <w:r w:rsidR="00B52F2E">
        <w:rPr>
          <w:rFonts w:eastAsiaTheme="minorEastAsia" w:hint="eastAsia"/>
          <w:lang w:eastAsia="zh-CN"/>
        </w:rPr>
        <w:t xml:space="preserve">be late in HST scenario. </w:t>
      </w:r>
      <w:r w:rsidR="00B52F2E">
        <w:rPr>
          <w:rFonts w:eastAsiaTheme="minorEastAsia"/>
          <w:lang w:eastAsia="zh-CN"/>
        </w:rPr>
        <w:t>I</w:t>
      </w:r>
      <w:r w:rsidR="00B52F2E">
        <w:rPr>
          <w:rFonts w:eastAsiaTheme="minorEastAsia" w:hint="eastAsia"/>
          <w:lang w:eastAsia="zh-CN"/>
        </w:rPr>
        <w:t>t</w:t>
      </w:r>
      <w:r w:rsidR="00B52F2E">
        <w:rPr>
          <w:rFonts w:eastAsiaTheme="minorEastAsia"/>
          <w:lang w:eastAsia="zh-CN"/>
        </w:rPr>
        <w:t>’</w:t>
      </w:r>
      <w:r w:rsidR="00B52F2E">
        <w:rPr>
          <w:rFonts w:eastAsiaTheme="minorEastAsia" w:hint="eastAsia"/>
          <w:lang w:eastAsia="zh-CN"/>
        </w:rPr>
        <w:t xml:space="preserve">s better to have the assistance </w:t>
      </w:r>
      <w:r w:rsidR="00B52F2E">
        <w:rPr>
          <w:rFonts w:eastAsiaTheme="minorEastAsia"/>
          <w:lang w:eastAsia="zh-CN"/>
        </w:rPr>
        <w:t>signalling</w:t>
      </w:r>
      <w:r w:rsidR="00B52F2E">
        <w:rPr>
          <w:rFonts w:eastAsiaTheme="minorEastAsia" w:hint="eastAsia"/>
          <w:lang w:eastAsia="zh-CN"/>
        </w:rPr>
        <w:t xml:space="preserve"> for UE moving direction. </w:t>
      </w:r>
    </w:p>
    <w:p w:rsidR="00B52F2E" w:rsidRPr="00B52F2E" w:rsidRDefault="00B52F2E" w:rsidP="000266ED">
      <w:pPr>
        <w:jc w:val="both"/>
        <w:rPr>
          <w:rFonts w:eastAsiaTheme="minorEastAsia" w:hint="eastAsia"/>
          <w:b/>
          <w:lang w:eastAsia="zh-CN"/>
        </w:rPr>
      </w:pPr>
      <w:r>
        <w:rPr>
          <w:rFonts w:eastAsiaTheme="minorEastAsia" w:hint="eastAsia"/>
          <w:b/>
          <w:lang w:eastAsia="zh-CN"/>
        </w:rPr>
        <w:t>Proposal 2</w:t>
      </w:r>
      <w:r w:rsidRPr="00B52F2E">
        <w:rPr>
          <w:rFonts w:eastAsiaTheme="minorEastAsia" w:hint="eastAsia"/>
          <w:b/>
          <w:lang w:eastAsia="zh-CN"/>
        </w:rPr>
        <w:t>: To resolve potential mobility issue when the train is travelling direction is opposite to the serving beam orientation, it</w:t>
      </w:r>
      <w:r w:rsidRPr="00B52F2E">
        <w:rPr>
          <w:rFonts w:eastAsiaTheme="minorEastAsia"/>
          <w:b/>
          <w:lang w:eastAsia="zh-CN"/>
        </w:rPr>
        <w:t>’</w:t>
      </w:r>
      <w:r w:rsidRPr="00B52F2E">
        <w:rPr>
          <w:rFonts w:eastAsiaTheme="minorEastAsia" w:hint="eastAsia"/>
          <w:b/>
          <w:lang w:eastAsia="zh-CN"/>
        </w:rPr>
        <w:t xml:space="preserve">s better to define the assistance signalling for </w:t>
      </w:r>
      <w:r>
        <w:rPr>
          <w:rFonts w:eastAsiaTheme="minorEastAsia" w:hint="eastAsia"/>
          <w:b/>
          <w:lang w:eastAsia="zh-CN"/>
        </w:rPr>
        <w:t>beam direction</w:t>
      </w:r>
      <w:r w:rsidRPr="00B52F2E">
        <w:rPr>
          <w:rFonts w:eastAsiaTheme="minorEastAsia" w:hint="eastAsia"/>
          <w:b/>
          <w:lang w:eastAsia="zh-CN"/>
        </w:rPr>
        <w:t>.</w:t>
      </w:r>
    </w:p>
    <w:p w:rsidR="00963880" w:rsidRDefault="00963880" w:rsidP="00D761E5">
      <w:pPr>
        <w:spacing w:after="120"/>
        <w:rPr>
          <w:rFonts w:eastAsiaTheme="minorEastAsia"/>
          <w:lang w:val="en-US" w:eastAsia="zh-CN"/>
        </w:rPr>
      </w:pPr>
    </w:p>
    <w:p w:rsidR="00963880" w:rsidRDefault="00963880" w:rsidP="00C9055D">
      <w:pPr>
        <w:pStyle w:val="2"/>
        <w:rPr>
          <w:rFonts w:eastAsiaTheme="minorEastAsia"/>
          <w:lang w:val="en-US" w:eastAsia="zh-CN"/>
        </w:rPr>
      </w:pPr>
      <w:r>
        <w:rPr>
          <w:rFonts w:eastAsiaTheme="minorEastAsia" w:hint="eastAsia"/>
          <w:lang w:val="en-US" w:eastAsia="zh-CN"/>
        </w:rPr>
        <w:t xml:space="preserve">UE </w:t>
      </w:r>
      <w:r>
        <w:rPr>
          <w:rFonts w:eastAsiaTheme="minorEastAsia"/>
          <w:lang w:val="en-US" w:eastAsia="zh-CN"/>
        </w:rPr>
        <w:t>capabilities</w:t>
      </w:r>
    </w:p>
    <w:p w:rsidR="00C9055D" w:rsidRPr="00C9055D" w:rsidRDefault="00C9055D" w:rsidP="00C9055D">
      <w:pPr>
        <w:rPr>
          <w:rFonts w:eastAsiaTheme="minorEastAsia"/>
          <w:lang w:val="en-US" w:eastAsia="zh-CN"/>
        </w:rPr>
      </w:pPr>
      <w:r>
        <w:rPr>
          <w:rFonts w:eastAsiaTheme="minorEastAsia"/>
          <w:lang w:val="en-US" w:eastAsia="zh-CN"/>
        </w:rPr>
        <w:t>At RAN4#101-e meeting, two agreements are achieved for UE capabilities. But there is still one left included in WF [1] shown as below:</w:t>
      </w:r>
    </w:p>
    <w:tbl>
      <w:tblPr>
        <w:tblStyle w:val="a8"/>
        <w:tblW w:w="0" w:type="auto"/>
        <w:tblLook w:val="04A0" w:firstRow="1" w:lastRow="0" w:firstColumn="1" w:lastColumn="0" w:noHBand="0" w:noVBand="1"/>
      </w:tblPr>
      <w:tblGrid>
        <w:gridCol w:w="8856"/>
      </w:tblGrid>
      <w:tr w:rsidR="00963880" w:rsidTr="00963880">
        <w:tc>
          <w:tcPr>
            <w:tcW w:w="8856" w:type="dxa"/>
          </w:tcPr>
          <w:p w:rsidR="00963880" w:rsidRDefault="00963880" w:rsidP="00963880">
            <w:pPr>
              <w:rPr>
                <w:b/>
                <w:lang w:val="en-US" w:eastAsia="zh-CN"/>
              </w:rPr>
            </w:pPr>
            <w:r>
              <w:rPr>
                <w:b/>
                <w:bCs/>
                <w:lang w:val="en-US" w:eastAsia="zh-CN"/>
              </w:rPr>
              <w:t>Capability to support different RX beam sweeping number</w:t>
            </w:r>
          </w:p>
          <w:tbl>
            <w:tblPr>
              <w:tblStyle w:val="a8"/>
              <w:tblW w:w="0" w:type="auto"/>
              <w:tblLook w:val="04A0" w:firstRow="1" w:lastRow="0" w:firstColumn="1" w:lastColumn="0" w:noHBand="0" w:noVBand="1"/>
            </w:tblPr>
            <w:tblGrid>
              <w:gridCol w:w="8630"/>
            </w:tblGrid>
            <w:tr w:rsidR="00963880" w:rsidTr="00963880">
              <w:tc>
                <w:tcPr>
                  <w:tcW w:w="10456" w:type="dxa"/>
                  <w:tcBorders>
                    <w:top w:val="single" w:sz="4" w:space="0" w:color="auto"/>
                    <w:left w:val="single" w:sz="4" w:space="0" w:color="auto"/>
                    <w:bottom w:val="single" w:sz="4" w:space="0" w:color="auto"/>
                    <w:right w:val="single" w:sz="4" w:space="0" w:color="auto"/>
                  </w:tcBorders>
                  <w:hideMark/>
                </w:tcPr>
                <w:p w:rsidR="00963880" w:rsidRDefault="00963880">
                  <w:pPr>
                    <w:textAlignment w:val="baseline"/>
                    <w:rPr>
                      <w:b/>
                      <w:lang w:val="en-US"/>
                    </w:rPr>
                  </w:pPr>
                  <w:r>
                    <w:rPr>
                      <w:b/>
                      <w:lang w:val="en-US"/>
                    </w:rPr>
                    <w:t>Way forward:</w:t>
                  </w:r>
                </w:p>
                <w:p w:rsidR="00963880" w:rsidRDefault="00963880">
                  <w:pPr>
                    <w:ind w:left="284"/>
                    <w:textAlignment w:val="baseline"/>
                    <w:rPr>
                      <w:bCs/>
                      <w:lang w:val="en-US"/>
                    </w:rPr>
                  </w:pPr>
                  <w:r>
                    <w:rPr>
                      <w:bCs/>
                      <w:lang w:val="en-US"/>
                    </w:rPr>
                    <w:t>Further discuss UE capability to support different RX beam sweeping number:</w:t>
                  </w:r>
                </w:p>
                <w:p w:rsidR="00963880" w:rsidRDefault="00963880" w:rsidP="00963880">
                  <w:pPr>
                    <w:pStyle w:val="a9"/>
                    <w:numPr>
                      <w:ilvl w:val="0"/>
                      <w:numId w:val="25"/>
                    </w:numPr>
                    <w:overflowPunct w:val="0"/>
                    <w:autoSpaceDE w:val="0"/>
                    <w:autoSpaceDN w:val="0"/>
                    <w:adjustRightInd w:val="0"/>
                    <w:contextualSpacing w:val="0"/>
                    <w:rPr>
                      <w:rFonts w:eastAsiaTheme="minorEastAsia"/>
                      <w:iCs/>
                      <w:lang w:val="en-US" w:eastAsia="zh-CN"/>
                    </w:rPr>
                  </w:pPr>
                  <w:r>
                    <w:rPr>
                      <w:rFonts w:eastAsiaTheme="minorEastAsia"/>
                      <w:iCs/>
                      <w:lang w:val="en-US" w:eastAsia="zh-CN"/>
                    </w:rPr>
                    <w:t>Option 1: Define different UE capabilities to support 2Rx beams and 6Rx beam operation.</w:t>
                  </w:r>
                </w:p>
                <w:p w:rsidR="00963880" w:rsidRDefault="00963880" w:rsidP="00963880">
                  <w:pPr>
                    <w:pStyle w:val="a9"/>
                    <w:numPr>
                      <w:ilvl w:val="0"/>
                      <w:numId w:val="25"/>
                    </w:numPr>
                    <w:overflowPunct w:val="0"/>
                    <w:autoSpaceDE w:val="0"/>
                    <w:autoSpaceDN w:val="0"/>
                    <w:adjustRightInd w:val="0"/>
                    <w:contextualSpacing w:val="0"/>
                    <w:rPr>
                      <w:rFonts w:eastAsiaTheme="minorEastAsia"/>
                      <w:iCs/>
                      <w:lang w:val="en-US" w:eastAsia="zh-CN"/>
                    </w:rPr>
                  </w:pPr>
                  <w:r>
                    <w:rPr>
                      <w:rFonts w:eastAsiaTheme="minorEastAsia"/>
                      <w:iCs/>
                      <w:lang w:val="en-US" w:eastAsia="zh-CN"/>
                    </w:rPr>
                    <w:t>Option 2: UE can support both 2Rx and 6Rx beams operations and adapt the number of Rx beams accordingly. No capacity is needed.</w:t>
                  </w:r>
                </w:p>
              </w:tc>
            </w:tr>
          </w:tbl>
          <w:p w:rsidR="00963880" w:rsidRDefault="00963880" w:rsidP="00D761E5">
            <w:pPr>
              <w:spacing w:after="120"/>
              <w:rPr>
                <w:rFonts w:eastAsiaTheme="minorEastAsia"/>
                <w:lang w:val="en-US" w:eastAsia="zh-CN"/>
              </w:rPr>
            </w:pPr>
          </w:p>
        </w:tc>
      </w:tr>
    </w:tbl>
    <w:p w:rsidR="00963880" w:rsidRDefault="00963880" w:rsidP="00D761E5">
      <w:pPr>
        <w:spacing w:after="120"/>
        <w:rPr>
          <w:rFonts w:eastAsiaTheme="minorEastAsia"/>
          <w:lang w:val="en-US" w:eastAsia="zh-CN"/>
        </w:rPr>
      </w:pPr>
    </w:p>
    <w:p w:rsidR="00C9055D" w:rsidRDefault="00E06DC7" w:rsidP="00E06DC7">
      <w:pPr>
        <w:spacing w:after="120"/>
        <w:rPr>
          <w:rFonts w:eastAsia="宋体"/>
          <w:lang w:eastAsia="zh-CN"/>
        </w:rPr>
      </w:pPr>
      <w:r>
        <w:rPr>
          <w:rFonts w:eastAsiaTheme="minorEastAsia"/>
          <w:lang w:val="en-US" w:eastAsia="zh-CN"/>
        </w:rPr>
        <w:t xml:space="preserve">As discussed in last meeting, Scenario A and Scenario B have the same </w:t>
      </w:r>
      <w:r>
        <w:rPr>
          <w:rFonts w:eastAsia="宋体"/>
          <w:lang w:eastAsia="zh-CN"/>
        </w:rPr>
        <w:t>D</w:t>
      </w:r>
      <w:r>
        <w:rPr>
          <w:rFonts w:eastAsia="宋体"/>
          <w:vertAlign w:val="subscript"/>
          <w:lang w:eastAsia="zh-CN"/>
        </w:rPr>
        <w:t>s</w:t>
      </w:r>
      <w:r>
        <w:rPr>
          <w:rFonts w:eastAsiaTheme="minorEastAsia"/>
          <w:lang w:val="en-US" w:eastAsia="zh-CN"/>
        </w:rPr>
        <w:t xml:space="preserve">, only </w:t>
      </w:r>
      <w:proofErr w:type="spellStart"/>
      <w:r>
        <w:rPr>
          <w:rFonts w:eastAsia="宋体"/>
          <w:lang w:eastAsia="zh-CN"/>
        </w:rPr>
        <w:t>D</w:t>
      </w:r>
      <w:r>
        <w:rPr>
          <w:rFonts w:eastAsia="宋体"/>
          <w:vertAlign w:val="subscript"/>
          <w:lang w:eastAsia="zh-CN"/>
        </w:rPr>
        <w:t>min</w:t>
      </w:r>
      <w:proofErr w:type="spellEnd"/>
      <w:r>
        <w:rPr>
          <w:rFonts w:eastAsiaTheme="minorEastAsia"/>
          <w:lang w:val="en-US" w:eastAsia="zh-CN"/>
        </w:rPr>
        <w:t xml:space="preserve"> are different. In the real network deployment, </w:t>
      </w:r>
      <w:proofErr w:type="spellStart"/>
      <w:r>
        <w:rPr>
          <w:rFonts w:eastAsia="宋体"/>
          <w:lang w:eastAsia="zh-CN"/>
        </w:rPr>
        <w:t>D</w:t>
      </w:r>
      <w:r>
        <w:rPr>
          <w:rFonts w:eastAsia="宋体"/>
          <w:vertAlign w:val="subscript"/>
          <w:lang w:eastAsia="zh-CN"/>
        </w:rPr>
        <w:t>min</w:t>
      </w:r>
      <w:proofErr w:type="spellEnd"/>
      <w:r>
        <w:rPr>
          <w:rFonts w:eastAsia="宋体"/>
          <w:lang w:eastAsia="zh-CN"/>
        </w:rPr>
        <w:t xml:space="preserve"> cannot maintain 10m for the whole railway due to geography for different zone along the track. There was also the same feedback from operator in last meeting. It’s better</w:t>
      </w:r>
      <w:r w:rsidR="00C9055D">
        <w:rPr>
          <w:rFonts w:eastAsia="宋体"/>
          <w:lang w:eastAsia="zh-CN"/>
        </w:rPr>
        <w:t xml:space="preserve"> for CPE to support both scenarios. No need to define separate UE capability for Scenario A and Scenario B.</w:t>
      </w:r>
      <w:r w:rsidR="007C648F">
        <w:rPr>
          <w:rFonts w:eastAsia="宋体"/>
          <w:lang w:eastAsia="zh-CN"/>
        </w:rPr>
        <w:t xml:space="preserve"> Thus, we support option 2. </w:t>
      </w:r>
      <w:r w:rsidR="00C9055D">
        <w:rPr>
          <w:rFonts w:eastAsia="宋体"/>
          <w:lang w:eastAsia="zh-CN"/>
        </w:rPr>
        <w:t xml:space="preserve"> </w:t>
      </w:r>
    </w:p>
    <w:p w:rsidR="007C648F" w:rsidRDefault="00C9055D" w:rsidP="00C9055D">
      <w:pPr>
        <w:spacing w:after="120"/>
        <w:rPr>
          <w:rFonts w:eastAsia="宋体"/>
          <w:b/>
        </w:rPr>
      </w:pPr>
      <w:bookmarkStart w:id="3" w:name="OLE_LINK8"/>
      <w:bookmarkStart w:id="4" w:name="OLE_LINK7"/>
      <w:r>
        <w:rPr>
          <w:rFonts w:eastAsia="宋体"/>
          <w:b/>
        </w:rPr>
        <w:t xml:space="preserve">Proposal 3: It is not necessary to introduce UE capability to indicate </w:t>
      </w:r>
      <w:r w:rsidR="007C648F">
        <w:rPr>
          <w:rFonts w:eastAsia="宋体"/>
          <w:b/>
        </w:rPr>
        <w:t>UE can support 2 RX beams or 6 RX beams. UE supports both 2 RX and 6 RX beams operations.</w:t>
      </w:r>
    </w:p>
    <w:bookmarkEnd w:id="3"/>
    <w:bookmarkEnd w:id="4"/>
    <w:p w:rsidR="00AE20E8" w:rsidRPr="00B614E8" w:rsidRDefault="00AE20E8" w:rsidP="007F6A1F">
      <w:pPr>
        <w:spacing w:after="120"/>
        <w:rPr>
          <w:rFonts w:eastAsia="宋体"/>
          <w:lang w:val="en-US" w:eastAsia="zh-CN"/>
        </w:rPr>
      </w:pPr>
    </w:p>
    <w:p w:rsidR="00FD73FA" w:rsidRPr="009E6008" w:rsidRDefault="00FD73FA" w:rsidP="00FD73FA">
      <w:pPr>
        <w:pStyle w:val="1"/>
        <w:jc w:val="both"/>
        <w:rPr>
          <w:rFonts w:eastAsia="MS Mincho" w:cs="Arial"/>
          <w:sz w:val="40"/>
        </w:rPr>
      </w:pPr>
      <w:r w:rsidRPr="009E6008">
        <w:rPr>
          <w:rFonts w:eastAsia="MS Mincho" w:cs="Arial"/>
          <w:lang w:val="en-US"/>
        </w:rPr>
        <w:t>Conclusion</w:t>
      </w:r>
    </w:p>
    <w:p w:rsidR="00140A61" w:rsidRDefault="00140A61" w:rsidP="00140A61">
      <w:r>
        <w:t>In this contribution</w:t>
      </w:r>
      <w:r>
        <w:rPr>
          <w:lang w:eastAsia="zh-CN"/>
        </w:rPr>
        <w:t xml:space="preserve">, we provide the further consideration of open issues for </w:t>
      </w:r>
      <w:proofErr w:type="spellStart"/>
      <w:r>
        <w:rPr>
          <w:rFonts w:eastAsia="MS Mincho"/>
          <w:lang w:val="en-US"/>
        </w:rPr>
        <w:t>signalling</w:t>
      </w:r>
      <w:proofErr w:type="spellEnd"/>
      <w:r>
        <w:rPr>
          <w:lang w:eastAsia="zh-CN"/>
        </w:rPr>
        <w:t xml:space="preserve"> and UE </w:t>
      </w:r>
      <w:r>
        <w:rPr>
          <w:bCs/>
          <w:lang w:eastAsia="zh-CN"/>
        </w:rPr>
        <w:t xml:space="preserve">capabilities </w:t>
      </w:r>
      <w:r>
        <w:rPr>
          <w:lang w:eastAsia="zh-CN"/>
        </w:rPr>
        <w:t xml:space="preserve">and </w:t>
      </w:r>
      <w:r>
        <w:t>present our proposals as below:</w:t>
      </w:r>
    </w:p>
    <w:p w:rsidR="00673AFF" w:rsidRDefault="00673AFF" w:rsidP="00673AFF">
      <w:pPr>
        <w:spacing w:after="120"/>
        <w:rPr>
          <w:rFonts w:eastAsia="宋体" w:hint="eastAsia"/>
          <w:b/>
          <w:lang w:eastAsia="zh-CN"/>
        </w:rPr>
      </w:pPr>
      <w:r w:rsidRPr="00673AFF">
        <w:rPr>
          <w:rFonts w:eastAsia="宋体"/>
          <w:b/>
          <w:lang w:eastAsia="zh-CN"/>
        </w:rPr>
        <w:t xml:space="preserve">Proposal 1: Network signals of </w:t>
      </w:r>
      <w:proofErr w:type="spellStart"/>
      <w:r w:rsidRPr="00673AFF">
        <w:rPr>
          <w:rFonts w:eastAsia="宋体"/>
          <w:b/>
          <w:lang w:eastAsia="zh-CN"/>
        </w:rPr>
        <w:t>uni</w:t>
      </w:r>
      <w:proofErr w:type="spellEnd"/>
      <w:r w:rsidRPr="00673AFF">
        <w:rPr>
          <w:rFonts w:eastAsia="宋体"/>
          <w:b/>
          <w:lang w:eastAsia="zh-CN"/>
        </w:rPr>
        <w:t>-/bi-directional operation is not needed from RRM perspective.</w:t>
      </w:r>
      <w:r>
        <w:rPr>
          <w:rFonts w:eastAsia="宋体"/>
          <w:b/>
          <w:lang w:eastAsia="zh-CN"/>
        </w:rPr>
        <w:t xml:space="preserve"> We can accept it considering only 1 bit overhead. </w:t>
      </w:r>
      <w:r w:rsidRPr="00673AFF">
        <w:rPr>
          <w:rFonts w:eastAsia="宋体"/>
          <w:b/>
          <w:lang w:eastAsia="zh-CN"/>
        </w:rPr>
        <w:t xml:space="preserve"> </w:t>
      </w:r>
    </w:p>
    <w:p w:rsidR="00B52F2E" w:rsidRPr="00B52F2E" w:rsidRDefault="00B52F2E" w:rsidP="00B52F2E">
      <w:pPr>
        <w:jc w:val="both"/>
        <w:rPr>
          <w:rFonts w:eastAsiaTheme="minorEastAsia" w:hint="eastAsia"/>
          <w:b/>
          <w:lang w:eastAsia="zh-CN"/>
        </w:rPr>
      </w:pPr>
      <w:r>
        <w:rPr>
          <w:rFonts w:eastAsiaTheme="minorEastAsia" w:hint="eastAsia"/>
          <w:b/>
          <w:lang w:eastAsia="zh-CN"/>
        </w:rPr>
        <w:t>Proposal 2</w:t>
      </w:r>
      <w:r w:rsidRPr="00B52F2E">
        <w:rPr>
          <w:rFonts w:eastAsiaTheme="minorEastAsia" w:hint="eastAsia"/>
          <w:b/>
          <w:lang w:eastAsia="zh-CN"/>
        </w:rPr>
        <w:t>: To resolve potential mobility issue when the train is travelling direction is opposite to the serving beam orientation, it</w:t>
      </w:r>
      <w:r w:rsidRPr="00B52F2E">
        <w:rPr>
          <w:rFonts w:eastAsiaTheme="minorEastAsia"/>
          <w:b/>
          <w:lang w:eastAsia="zh-CN"/>
        </w:rPr>
        <w:t>’</w:t>
      </w:r>
      <w:r w:rsidRPr="00B52F2E">
        <w:rPr>
          <w:rFonts w:eastAsiaTheme="minorEastAsia" w:hint="eastAsia"/>
          <w:b/>
          <w:lang w:eastAsia="zh-CN"/>
        </w:rPr>
        <w:t xml:space="preserve">s better to define the assistance signalling for </w:t>
      </w:r>
      <w:r>
        <w:rPr>
          <w:rFonts w:eastAsiaTheme="minorEastAsia" w:hint="eastAsia"/>
          <w:b/>
          <w:lang w:eastAsia="zh-CN"/>
        </w:rPr>
        <w:t>beam direction</w:t>
      </w:r>
      <w:r w:rsidRPr="00B52F2E">
        <w:rPr>
          <w:rFonts w:eastAsiaTheme="minorEastAsia" w:hint="eastAsia"/>
          <w:b/>
          <w:lang w:eastAsia="zh-CN"/>
        </w:rPr>
        <w:t>.</w:t>
      </w:r>
    </w:p>
    <w:p w:rsidR="006C5C85" w:rsidRDefault="006C5C85" w:rsidP="006C5C85">
      <w:pPr>
        <w:spacing w:after="120"/>
        <w:rPr>
          <w:rFonts w:eastAsia="宋体"/>
          <w:b/>
        </w:rPr>
      </w:pPr>
      <w:bookmarkStart w:id="5" w:name="_GoBack"/>
      <w:bookmarkEnd w:id="5"/>
      <w:r>
        <w:rPr>
          <w:rFonts w:eastAsia="宋体"/>
          <w:b/>
        </w:rPr>
        <w:t>Proposal 3: It is not necessary to introduce UE capability to indicate UE can support 2 RX beams or 6 RX beams. UE supports both 2 RX and 6 RX beams operations.</w:t>
      </w:r>
    </w:p>
    <w:p w:rsidR="00FD73FA" w:rsidRPr="003A474F" w:rsidRDefault="00FD73FA" w:rsidP="00FD73FA">
      <w:pPr>
        <w:pStyle w:val="1"/>
        <w:jc w:val="both"/>
        <w:rPr>
          <w:rFonts w:eastAsia="MS Mincho"/>
          <w:sz w:val="40"/>
          <w:lang w:val="en-US"/>
        </w:rPr>
      </w:pPr>
      <w:r w:rsidRPr="003A474F">
        <w:rPr>
          <w:rFonts w:eastAsia="MS Mincho"/>
          <w:lang w:val="en-US"/>
        </w:rPr>
        <w:t>Reference</w:t>
      </w:r>
    </w:p>
    <w:p w:rsidR="00585571" w:rsidRPr="009C5615" w:rsidRDefault="00493200" w:rsidP="00585571">
      <w:r w:rsidRPr="00DF0883">
        <w:t>[</w:t>
      </w:r>
      <w:r w:rsidRPr="00DF0883">
        <w:rPr>
          <w:rFonts w:eastAsiaTheme="minorEastAsia"/>
          <w:lang w:eastAsia="zh-CN"/>
        </w:rPr>
        <w:t>1</w:t>
      </w:r>
      <w:r w:rsidRPr="00DF0883">
        <w:t xml:space="preserve">] </w:t>
      </w:r>
      <w:r w:rsidRPr="002C6CBA">
        <w:t>R4-</w:t>
      </w:r>
      <w:r w:rsidR="009C5615">
        <w:t>2120292</w:t>
      </w:r>
      <w:r>
        <w:t xml:space="preserve">, WF on </w:t>
      </w:r>
      <w:r w:rsidR="009C5615">
        <w:t>FR2 HST RRM</w:t>
      </w:r>
      <w:r w:rsidR="009C5615" w:rsidRPr="009C5615">
        <w:t xml:space="preserve"> (part 1)</w:t>
      </w:r>
      <w:r>
        <w:t xml:space="preserve">, </w:t>
      </w:r>
      <w:r w:rsidR="009C5615" w:rsidRPr="009C5615">
        <w:t>Nokia, Nokia Shanghai Bell</w:t>
      </w:r>
    </w:p>
    <w:sectPr w:rsidR="00585571" w:rsidRPr="009C561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63F" w:rsidRDefault="000A063F" w:rsidP="00070CCC">
      <w:pPr>
        <w:spacing w:after="0"/>
      </w:pPr>
      <w:r>
        <w:separator/>
      </w:r>
    </w:p>
  </w:endnote>
  <w:endnote w:type="continuationSeparator" w:id="0">
    <w:p w:rsidR="000A063F" w:rsidRDefault="000A063F"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63F" w:rsidRDefault="000A063F" w:rsidP="00070CCC">
      <w:pPr>
        <w:spacing w:after="0"/>
      </w:pPr>
      <w:r>
        <w:separator/>
      </w:r>
    </w:p>
  </w:footnote>
  <w:footnote w:type="continuationSeparator" w:id="0">
    <w:p w:rsidR="000A063F" w:rsidRDefault="000A063F"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E2D9B"/>
    <w:multiLevelType w:val="hybridMultilevel"/>
    <w:tmpl w:val="C316CEC4"/>
    <w:lvl w:ilvl="0" w:tplc="0409000D">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39B47BD"/>
    <w:multiLevelType w:val="hybridMultilevel"/>
    <w:tmpl w:val="68EA4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4">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5">
    <w:nsid w:val="215D2F28"/>
    <w:multiLevelType w:val="hybridMultilevel"/>
    <w:tmpl w:val="8A264E56"/>
    <w:lvl w:ilvl="0" w:tplc="B8D2D090">
      <w:start w:val="1"/>
      <w:numFmt w:val="bullet"/>
      <w:lvlText w:val=""/>
      <w:lvlJc w:val="left"/>
      <w:pPr>
        <w:tabs>
          <w:tab w:val="num" w:pos="720"/>
        </w:tabs>
        <w:ind w:left="720" w:hanging="360"/>
      </w:pPr>
      <w:rPr>
        <w:rFonts w:ascii="Wingdings" w:hAnsi="Wingdings" w:hint="default"/>
      </w:rPr>
    </w:lvl>
    <w:lvl w:ilvl="1" w:tplc="D3E0BD90" w:tentative="1">
      <w:start w:val="1"/>
      <w:numFmt w:val="bullet"/>
      <w:lvlText w:val=""/>
      <w:lvlJc w:val="left"/>
      <w:pPr>
        <w:tabs>
          <w:tab w:val="num" w:pos="1440"/>
        </w:tabs>
        <w:ind w:left="1440" w:hanging="360"/>
      </w:pPr>
      <w:rPr>
        <w:rFonts w:ascii="Wingdings" w:hAnsi="Wingdings" w:hint="default"/>
      </w:rPr>
    </w:lvl>
    <w:lvl w:ilvl="2" w:tplc="CC5EAA50">
      <w:start w:val="1"/>
      <w:numFmt w:val="bullet"/>
      <w:lvlText w:val=""/>
      <w:lvlJc w:val="left"/>
      <w:pPr>
        <w:tabs>
          <w:tab w:val="num" w:pos="2160"/>
        </w:tabs>
        <w:ind w:left="2160" w:hanging="360"/>
      </w:pPr>
      <w:rPr>
        <w:rFonts w:ascii="Wingdings" w:hAnsi="Wingdings" w:hint="default"/>
      </w:rPr>
    </w:lvl>
    <w:lvl w:ilvl="3" w:tplc="472CE5EC" w:tentative="1">
      <w:start w:val="1"/>
      <w:numFmt w:val="bullet"/>
      <w:lvlText w:val=""/>
      <w:lvlJc w:val="left"/>
      <w:pPr>
        <w:tabs>
          <w:tab w:val="num" w:pos="2880"/>
        </w:tabs>
        <w:ind w:left="2880" w:hanging="360"/>
      </w:pPr>
      <w:rPr>
        <w:rFonts w:ascii="Wingdings" w:hAnsi="Wingdings" w:hint="default"/>
      </w:rPr>
    </w:lvl>
    <w:lvl w:ilvl="4" w:tplc="10840752" w:tentative="1">
      <w:start w:val="1"/>
      <w:numFmt w:val="bullet"/>
      <w:lvlText w:val=""/>
      <w:lvlJc w:val="left"/>
      <w:pPr>
        <w:tabs>
          <w:tab w:val="num" w:pos="3600"/>
        </w:tabs>
        <w:ind w:left="3600" w:hanging="360"/>
      </w:pPr>
      <w:rPr>
        <w:rFonts w:ascii="Wingdings" w:hAnsi="Wingdings" w:hint="default"/>
      </w:rPr>
    </w:lvl>
    <w:lvl w:ilvl="5" w:tplc="1CC4E124" w:tentative="1">
      <w:start w:val="1"/>
      <w:numFmt w:val="bullet"/>
      <w:lvlText w:val=""/>
      <w:lvlJc w:val="left"/>
      <w:pPr>
        <w:tabs>
          <w:tab w:val="num" w:pos="4320"/>
        </w:tabs>
        <w:ind w:left="4320" w:hanging="360"/>
      </w:pPr>
      <w:rPr>
        <w:rFonts w:ascii="Wingdings" w:hAnsi="Wingdings" w:hint="default"/>
      </w:rPr>
    </w:lvl>
    <w:lvl w:ilvl="6" w:tplc="B3CC4B8E" w:tentative="1">
      <w:start w:val="1"/>
      <w:numFmt w:val="bullet"/>
      <w:lvlText w:val=""/>
      <w:lvlJc w:val="left"/>
      <w:pPr>
        <w:tabs>
          <w:tab w:val="num" w:pos="5040"/>
        </w:tabs>
        <w:ind w:left="5040" w:hanging="360"/>
      </w:pPr>
      <w:rPr>
        <w:rFonts w:ascii="Wingdings" w:hAnsi="Wingdings" w:hint="default"/>
      </w:rPr>
    </w:lvl>
    <w:lvl w:ilvl="7" w:tplc="1840C772" w:tentative="1">
      <w:start w:val="1"/>
      <w:numFmt w:val="bullet"/>
      <w:lvlText w:val=""/>
      <w:lvlJc w:val="left"/>
      <w:pPr>
        <w:tabs>
          <w:tab w:val="num" w:pos="5760"/>
        </w:tabs>
        <w:ind w:left="5760" w:hanging="360"/>
      </w:pPr>
      <w:rPr>
        <w:rFonts w:ascii="Wingdings" w:hAnsi="Wingdings" w:hint="default"/>
      </w:rPr>
    </w:lvl>
    <w:lvl w:ilvl="8" w:tplc="FCFE3CCA" w:tentative="1">
      <w:start w:val="1"/>
      <w:numFmt w:val="bullet"/>
      <w:lvlText w:val=""/>
      <w:lvlJc w:val="left"/>
      <w:pPr>
        <w:tabs>
          <w:tab w:val="num" w:pos="6480"/>
        </w:tabs>
        <w:ind w:left="6480" w:hanging="360"/>
      </w:pPr>
      <w:rPr>
        <w:rFonts w:ascii="Wingdings" w:hAnsi="Wingdings" w:hint="default"/>
      </w:rPr>
    </w:lvl>
  </w:abstractNum>
  <w:abstractNum w:abstractNumId="6">
    <w:nsid w:val="295F5C7D"/>
    <w:multiLevelType w:val="hybridMultilevel"/>
    <w:tmpl w:val="DC5098EC"/>
    <w:lvl w:ilvl="0" w:tplc="19B80252">
      <w:start w:val="1"/>
      <w:numFmt w:val="bullet"/>
      <w:lvlText w:val=""/>
      <w:lvlJc w:val="left"/>
      <w:pPr>
        <w:tabs>
          <w:tab w:val="num" w:pos="360"/>
        </w:tabs>
        <w:ind w:left="360" w:hanging="360"/>
      </w:pPr>
      <w:rPr>
        <w:rFonts w:ascii="Wingdings" w:hAnsi="Wingdings" w:hint="default"/>
      </w:rPr>
    </w:lvl>
    <w:lvl w:ilvl="1" w:tplc="415A7CBC">
      <w:start w:val="1"/>
      <w:numFmt w:val="bullet"/>
      <w:lvlText w:val=""/>
      <w:lvlJc w:val="left"/>
      <w:pPr>
        <w:tabs>
          <w:tab w:val="num" w:pos="1080"/>
        </w:tabs>
        <w:ind w:left="1080" w:hanging="360"/>
      </w:pPr>
      <w:rPr>
        <w:rFonts w:ascii="Wingdings" w:hAnsi="Wingdings" w:hint="default"/>
      </w:rPr>
    </w:lvl>
    <w:lvl w:ilvl="2" w:tplc="A9F4A030">
      <w:start w:val="1"/>
      <w:numFmt w:val="bullet"/>
      <w:lvlText w:val=""/>
      <w:lvlJc w:val="left"/>
      <w:pPr>
        <w:tabs>
          <w:tab w:val="num" w:pos="1800"/>
        </w:tabs>
        <w:ind w:left="1800" w:hanging="360"/>
      </w:pPr>
      <w:rPr>
        <w:rFonts w:ascii="Wingdings" w:hAnsi="Wingdings" w:hint="default"/>
      </w:rPr>
    </w:lvl>
    <w:lvl w:ilvl="3" w:tplc="EAC66DC0" w:tentative="1">
      <w:start w:val="1"/>
      <w:numFmt w:val="bullet"/>
      <w:lvlText w:val=""/>
      <w:lvlJc w:val="left"/>
      <w:pPr>
        <w:tabs>
          <w:tab w:val="num" w:pos="2520"/>
        </w:tabs>
        <w:ind w:left="2520" w:hanging="360"/>
      </w:pPr>
      <w:rPr>
        <w:rFonts w:ascii="Wingdings" w:hAnsi="Wingdings" w:hint="default"/>
      </w:rPr>
    </w:lvl>
    <w:lvl w:ilvl="4" w:tplc="01F69210" w:tentative="1">
      <w:start w:val="1"/>
      <w:numFmt w:val="bullet"/>
      <w:lvlText w:val=""/>
      <w:lvlJc w:val="left"/>
      <w:pPr>
        <w:tabs>
          <w:tab w:val="num" w:pos="3240"/>
        </w:tabs>
        <w:ind w:left="3240" w:hanging="360"/>
      </w:pPr>
      <w:rPr>
        <w:rFonts w:ascii="Wingdings" w:hAnsi="Wingdings" w:hint="default"/>
      </w:rPr>
    </w:lvl>
    <w:lvl w:ilvl="5" w:tplc="E79E2CDA" w:tentative="1">
      <w:start w:val="1"/>
      <w:numFmt w:val="bullet"/>
      <w:lvlText w:val=""/>
      <w:lvlJc w:val="left"/>
      <w:pPr>
        <w:tabs>
          <w:tab w:val="num" w:pos="3960"/>
        </w:tabs>
        <w:ind w:left="3960" w:hanging="360"/>
      </w:pPr>
      <w:rPr>
        <w:rFonts w:ascii="Wingdings" w:hAnsi="Wingdings" w:hint="default"/>
      </w:rPr>
    </w:lvl>
    <w:lvl w:ilvl="6" w:tplc="23748422" w:tentative="1">
      <w:start w:val="1"/>
      <w:numFmt w:val="bullet"/>
      <w:lvlText w:val=""/>
      <w:lvlJc w:val="left"/>
      <w:pPr>
        <w:tabs>
          <w:tab w:val="num" w:pos="4680"/>
        </w:tabs>
        <w:ind w:left="4680" w:hanging="360"/>
      </w:pPr>
      <w:rPr>
        <w:rFonts w:ascii="Wingdings" w:hAnsi="Wingdings" w:hint="default"/>
      </w:rPr>
    </w:lvl>
    <w:lvl w:ilvl="7" w:tplc="8E04DC70" w:tentative="1">
      <w:start w:val="1"/>
      <w:numFmt w:val="bullet"/>
      <w:lvlText w:val=""/>
      <w:lvlJc w:val="left"/>
      <w:pPr>
        <w:tabs>
          <w:tab w:val="num" w:pos="5400"/>
        </w:tabs>
        <w:ind w:left="5400" w:hanging="360"/>
      </w:pPr>
      <w:rPr>
        <w:rFonts w:ascii="Wingdings" w:hAnsi="Wingdings" w:hint="default"/>
      </w:rPr>
    </w:lvl>
    <w:lvl w:ilvl="8" w:tplc="2CE6F8A8" w:tentative="1">
      <w:start w:val="1"/>
      <w:numFmt w:val="bullet"/>
      <w:lvlText w:val=""/>
      <w:lvlJc w:val="left"/>
      <w:pPr>
        <w:tabs>
          <w:tab w:val="num" w:pos="6120"/>
        </w:tabs>
        <w:ind w:left="6120" w:hanging="360"/>
      </w:pPr>
      <w:rPr>
        <w:rFonts w:ascii="Wingdings" w:hAnsi="Wingdings" w:hint="default"/>
      </w:rPr>
    </w:lvl>
  </w:abstractNum>
  <w:abstractNum w:abstractNumId="7">
    <w:nsid w:val="2F812697"/>
    <w:multiLevelType w:val="hybridMultilevel"/>
    <w:tmpl w:val="4C48BEF4"/>
    <w:lvl w:ilvl="0" w:tplc="20388474">
      <w:start w:val="1"/>
      <w:numFmt w:val="bullet"/>
      <w:lvlText w:val="•"/>
      <w:lvlJc w:val="left"/>
      <w:pPr>
        <w:tabs>
          <w:tab w:val="num" w:pos="360"/>
        </w:tabs>
        <w:ind w:left="360" w:hanging="360"/>
      </w:pPr>
      <w:rPr>
        <w:rFonts w:ascii="Arial" w:hAnsi="Arial"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8">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9">
    <w:nsid w:val="420A2A23"/>
    <w:multiLevelType w:val="hybridMultilevel"/>
    <w:tmpl w:val="90603B4A"/>
    <w:lvl w:ilvl="0" w:tplc="E1C2563C">
      <w:start w:val="1"/>
      <w:numFmt w:val="bullet"/>
      <w:lvlText w:val="•"/>
      <w:lvlJc w:val="left"/>
      <w:pPr>
        <w:tabs>
          <w:tab w:val="num" w:pos="720"/>
        </w:tabs>
        <w:ind w:left="720" w:hanging="360"/>
      </w:pPr>
      <w:rPr>
        <w:rFonts w:ascii="Arial" w:hAnsi="Arial" w:hint="default"/>
      </w:rPr>
    </w:lvl>
    <w:lvl w:ilvl="1" w:tplc="C720CAEA">
      <w:start w:val="1"/>
      <w:numFmt w:val="bullet"/>
      <w:lvlText w:val="•"/>
      <w:lvlJc w:val="left"/>
      <w:pPr>
        <w:tabs>
          <w:tab w:val="num" w:pos="1440"/>
        </w:tabs>
        <w:ind w:left="1440" w:hanging="360"/>
      </w:pPr>
      <w:rPr>
        <w:rFonts w:ascii="Arial" w:hAnsi="Arial" w:hint="default"/>
      </w:rPr>
    </w:lvl>
    <w:lvl w:ilvl="2" w:tplc="00AAC26A" w:tentative="1">
      <w:start w:val="1"/>
      <w:numFmt w:val="bullet"/>
      <w:lvlText w:val="•"/>
      <w:lvlJc w:val="left"/>
      <w:pPr>
        <w:tabs>
          <w:tab w:val="num" w:pos="2160"/>
        </w:tabs>
        <w:ind w:left="2160" w:hanging="360"/>
      </w:pPr>
      <w:rPr>
        <w:rFonts w:ascii="Arial" w:hAnsi="Arial" w:hint="default"/>
      </w:rPr>
    </w:lvl>
    <w:lvl w:ilvl="3" w:tplc="DCB481B0" w:tentative="1">
      <w:start w:val="1"/>
      <w:numFmt w:val="bullet"/>
      <w:lvlText w:val="•"/>
      <w:lvlJc w:val="left"/>
      <w:pPr>
        <w:tabs>
          <w:tab w:val="num" w:pos="2880"/>
        </w:tabs>
        <w:ind w:left="2880" w:hanging="360"/>
      </w:pPr>
      <w:rPr>
        <w:rFonts w:ascii="Arial" w:hAnsi="Arial" w:hint="default"/>
      </w:rPr>
    </w:lvl>
    <w:lvl w:ilvl="4" w:tplc="AEEAC1DA" w:tentative="1">
      <w:start w:val="1"/>
      <w:numFmt w:val="bullet"/>
      <w:lvlText w:val="•"/>
      <w:lvlJc w:val="left"/>
      <w:pPr>
        <w:tabs>
          <w:tab w:val="num" w:pos="3600"/>
        </w:tabs>
        <w:ind w:left="3600" w:hanging="360"/>
      </w:pPr>
      <w:rPr>
        <w:rFonts w:ascii="Arial" w:hAnsi="Arial" w:hint="default"/>
      </w:rPr>
    </w:lvl>
    <w:lvl w:ilvl="5" w:tplc="744E5B04" w:tentative="1">
      <w:start w:val="1"/>
      <w:numFmt w:val="bullet"/>
      <w:lvlText w:val="•"/>
      <w:lvlJc w:val="left"/>
      <w:pPr>
        <w:tabs>
          <w:tab w:val="num" w:pos="4320"/>
        </w:tabs>
        <w:ind w:left="4320" w:hanging="360"/>
      </w:pPr>
      <w:rPr>
        <w:rFonts w:ascii="Arial" w:hAnsi="Arial" w:hint="default"/>
      </w:rPr>
    </w:lvl>
    <w:lvl w:ilvl="6" w:tplc="22E65708" w:tentative="1">
      <w:start w:val="1"/>
      <w:numFmt w:val="bullet"/>
      <w:lvlText w:val="•"/>
      <w:lvlJc w:val="left"/>
      <w:pPr>
        <w:tabs>
          <w:tab w:val="num" w:pos="5040"/>
        </w:tabs>
        <w:ind w:left="5040" w:hanging="360"/>
      </w:pPr>
      <w:rPr>
        <w:rFonts w:ascii="Arial" w:hAnsi="Arial" w:hint="default"/>
      </w:rPr>
    </w:lvl>
    <w:lvl w:ilvl="7" w:tplc="42EE1106" w:tentative="1">
      <w:start w:val="1"/>
      <w:numFmt w:val="bullet"/>
      <w:lvlText w:val="•"/>
      <w:lvlJc w:val="left"/>
      <w:pPr>
        <w:tabs>
          <w:tab w:val="num" w:pos="5760"/>
        </w:tabs>
        <w:ind w:left="5760" w:hanging="360"/>
      </w:pPr>
      <w:rPr>
        <w:rFonts w:ascii="Arial" w:hAnsi="Arial" w:hint="default"/>
      </w:rPr>
    </w:lvl>
    <w:lvl w:ilvl="8" w:tplc="93CC9A78" w:tentative="1">
      <w:start w:val="1"/>
      <w:numFmt w:val="bullet"/>
      <w:lvlText w:val="•"/>
      <w:lvlJc w:val="left"/>
      <w:pPr>
        <w:tabs>
          <w:tab w:val="num" w:pos="6480"/>
        </w:tabs>
        <w:ind w:left="6480" w:hanging="360"/>
      </w:pPr>
      <w:rPr>
        <w:rFonts w:ascii="Arial" w:hAnsi="Arial" w:hint="default"/>
      </w:rPr>
    </w:lvl>
  </w:abstractNum>
  <w:abstractNum w:abstractNumId="10">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nsid w:val="4A4D2FF3"/>
    <w:multiLevelType w:val="hybridMultilevel"/>
    <w:tmpl w:val="4F9EB636"/>
    <w:lvl w:ilvl="0" w:tplc="C45217FA">
      <w:start w:val="1"/>
      <w:numFmt w:val="bullet"/>
      <w:lvlText w:val=""/>
      <w:lvlJc w:val="left"/>
      <w:pPr>
        <w:tabs>
          <w:tab w:val="num" w:pos="720"/>
        </w:tabs>
        <w:ind w:left="720" w:hanging="360"/>
      </w:pPr>
      <w:rPr>
        <w:rFonts w:ascii="Wingdings" w:hAnsi="Wingdings" w:hint="default"/>
      </w:rPr>
    </w:lvl>
    <w:lvl w:ilvl="1" w:tplc="529A3718" w:tentative="1">
      <w:start w:val="1"/>
      <w:numFmt w:val="bullet"/>
      <w:lvlText w:val=""/>
      <w:lvlJc w:val="left"/>
      <w:pPr>
        <w:tabs>
          <w:tab w:val="num" w:pos="1440"/>
        </w:tabs>
        <w:ind w:left="1440" w:hanging="360"/>
      </w:pPr>
      <w:rPr>
        <w:rFonts w:ascii="Wingdings" w:hAnsi="Wingdings" w:hint="default"/>
      </w:rPr>
    </w:lvl>
    <w:lvl w:ilvl="2" w:tplc="0FA69AD2" w:tentative="1">
      <w:start w:val="1"/>
      <w:numFmt w:val="bullet"/>
      <w:lvlText w:val=""/>
      <w:lvlJc w:val="left"/>
      <w:pPr>
        <w:tabs>
          <w:tab w:val="num" w:pos="2160"/>
        </w:tabs>
        <w:ind w:left="2160" w:hanging="360"/>
      </w:pPr>
      <w:rPr>
        <w:rFonts w:ascii="Wingdings" w:hAnsi="Wingdings" w:hint="default"/>
      </w:rPr>
    </w:lvl>
    <w:lvl w:ilvl="3" w:tplc="E56C0E80">
      <w:start w:val="1"/>
      <w:numFmt w:val="bullet"/>
      <w:lvlText w:val=""/>
      <w:lvlJc w:val="left"/>
      <w:pPr>
        <w:tabs>
          <w:tab w:val="num" w:pos="2880"/>
        </w:tabs>
        <w:ind w:left="2880" w:hanging="360"/>
      </w:pPr>
      <w:rPr>
        <w:rFonts w:ascii="Wingdings" w:hAnsi="Wingdings" w:hint="default"/>
      </w:rPr>
    </w:lvl>
    <w:lvl w:ilvl="4" w:tplc="9886C848" w:tentative="1">
      <w:start w:val="1"/>
      <w:numFmt w:val="bullet"/>
      <w:lvlText w:val=""/>
      <w:lvlJc w:val="left"/>
      <w:pPr>
        <w:tabs>
          <w:tab w:val="num" w:pos="3600"/>
        </w:tabs>
        <w:ind w:left="3600" w:hanging="360"/>
      </w:pPr>
      <w:rPr>
        <w:rFonts w:ascii="Wingdings" w:hAnsi="Wingdings" w:hint="default"/>
      </w:rPr>
    </w:lvl>
    <w:lvl w:ilvl="5" w:tplc="1A5C8226" w:tentative="1">
      <w:start w:val="1"/>
      <w:numFmt w:val="bullet"/>
      <w:lvlText w:val=""/>
      <w:lvlJc w:val="left"/>
      <w:pPr>
        <w:tabs>
          <w:tab w:val="num" w:pos="4320"/>
        </w:tabs>
        <w:ind w:left="4320" w:hanging="360"/>
      </w:pPr>
      <w:rPr>
        <w:rFonts w:ascii="Wingdings" w:hAnsi="Wingdings" w:hint="default"/>
      </w:rPr>
    </w:lvl>
    <w:lvl w:ilvl="6" w:tplc="615EBA84" w:tentative="1">
      <w:start w:val="1"/>
      <w:numFmt w:val="bullet"/>
      <w:lvlText w:val=""/>
      <w:lvlJc w:val="left"/>
      <w:pPr>
        <w:tabs>
          <w:tab w:val="num" w:pos="5040"/>
        </w:tabs>
        <w:ind w:left="5040" w:hanging="360"/>
      </w:pPr>
      <w:rPr>
        <w:rFonts w:ascii="Wingdings" w:hAnsi="Wingdings" w:hint="default"/>
      </w:rPr>
    </w:lvl>
    <w:lvl w:ilvl="7" w:tplc="C92C38D8" w:tentative="1">
      <w:start w:val="1"/>
      <w:numFmt w:val="bullet"/>
      <w:lvlText w:val=""/>
      <w:lvlJc w:val="left"/>
      <w:pPr>
        <w:tabs>
          <w:tab w:val="num" w:pos="5760"/>
        </w:tabs>
        <w:ind w:left="5760" w:hanging="360"/>
      </w:pPr>
      <w:rPr>
        <w:rFonts w:ascii="Wingdings" w:hAnsi="Wingdings" w:hint="default"/>
      </w:rPr>
    </w:lvl>
    <w:lvl w:ilvl="8" w:tplc="2BA01A70" w:tentative="1">
      <w:start w:val="1"/>
      <w:numFmt w:val="bullet"/>
      <w:lvlText w:val=""/>
      <w:lvlJc w:val="left"/>
      <w:pPr>
        <w:tabs>
          <w:tab w:val="num" w:pos="6480"/>
        </w:tabs>
        <w:ind w:left="6480" w:hanging="360"/>
      </w:pPr>
      <w:rPr>
        <w:rFonts w:ascii="Wingdings" w:hAnsi="Wingdings" w:hint="default"/>
      </w:rPr>
    </w:lvl>
  </w:abstractNum>
  <w:abstractNum w:abstractNumId="12">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3">
    <w:nsid w:val="58864DB2"/>
    <w:multiLevelType w:val="hybridMultilevel"/>
    <w:tmpl w:val="B4D27C82"/>
    <w:lvl w:ilvl="0" w:tplc="04090009">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4F3F26"/>
    <w:multiLevelType w:val="hybridMultilevel"/>
    <w:tmpl w:val="89C26354"/>
    <w:lvl w:ilvl="0" w:tplc="EA2074A6">
      <w:start w:val="1"/>
      <w:numFmt w:val="bullet"/>
      <w:lvlText w:val="•"/>
      <w:lvlJc w:val="left"/>
      <w:pPr>
        <w:tabs>
          <w:tab w:val="num" w:pos="720"/>
        </w:tabs>
        <w:ind w:left="720" w:hanging="360"/>
      </w:pPr>
      <w:rPr>
        <w:rFonts w:ascii="Arial" w:hAnsi="Arial" w:hint="default"/>
      </w:rPr>
    </w:lvl>
    <w:lvl w:ilvl="1" w:tplc="620AAAA8">
      <w:start w:val="1"/>
      <w:numFmt w:val="bullet"/>
      <w:lvlText w:val="•"/>
      <w:lvlJc w:val="left"/>
      <w:pPr>
        <w:tabs>
          <w:tab w:val="num" w:pos="1440"/>
        </w:tabs>
        <w:ind w:left="1440" w:hanging="360"/>
      </w:pPr>
      <w:rPr>
        <w:rFonts w:ascii="Arial" w:hAnsi="Arial" w:hint="default"/>
      </w:rPr>
    </w:lvl>
    <w:lvl w:ilvl="2" w:tplc="79006228" w:tentative="1">
      <w:start w:val="1"/>
      <w:numFmt w:val="bullet"/>
      <w:lvlText w:val="•"/>
      <w:lvlJc w:val="left"/>
      <w:pPr>
        <w:tabs>
          <w:tab w:val="num" w:pos="2160"/>
        </w:tabs>
        <w:ind w:left="2160" w:hanging="360"/>
      </w:pPr>
      <w:rPr>
        <w:rFonts w:ascii="Arial" w:hAnsi="Arial" w:hint="default"/>
      </w:rPr>
    </w:lvl>
    <w:lvl w:ilvl="3" w:tplc="204EB184" w:tentative="1">
      <w:start w:val="1"/>
      <w:numFmt w:val="bullet"/>
      <w:lvlText w:val="•"/>
      <w:lvlJc w:val="left"/>
      <w:pPr>
        <w:tabs>
          <w:tab w:val="num" w:pos="2880"/>
        </w:tabs>
        <w:ind w:left="2880" w:hanging="360"/>
      </w:pPr>
      <w:rPr>
        <w:rFonts w:ascii="Arial" w:hAnsi="Arial" w:hint="default"/>
      </w:rPr>
    </w:lvl>
    <w:lvl w:ilvl="4" w:tplc="9E92DACC" w:tentative="1">
      <w:start w:val="1"/>
      <w:numFmt w:val="bullet"/>
      <w:lvlText w:val="•"/>
      <w:lvlJc w:val="left"/>
      <w:pPr>
        <w:tabs>
          <w:tab w:val="num" w:pos="3600"/>
        </w:tabs>
        <w:ind w:left="3600" w:hanging="360"/>
      </w:pPr>
      <w:rPr>
        <w:rFonts w:ascii="Arial" w:hAnsi="Arial" w:hint="default"/>
      </w:rPr>
    </w:lvl>
    <w:lvl w:ilvl="5" w:tplc="63029866" w:tentative="1">
      <w:start w:val="1"/>
      <w:numFmt w:val="bullet"/>
      <w:lvlText w:val="•"/>
      <w:lvlJc w:val="left"/>
      <w:pPr>
        <w:tabs>
          <w:tab w:val="num" w:pos="4320"/>
        </w:tabs>
        <w:ind w:left="4320" w:hanging="360"/>
      </w:pPr>
      <w:rPr>
        <w:rFonts w:ascii="Arial" w:hAnsi="Arial" w:hint="default"/>
      </w:rPr>
    </w:lvl>
    <w:lvl w:ilvl="6" w:tplc="FE0EF11A" w:tentative="1">
      <w:start w:val="1"/>
      <w:numFmt w:val="bullet"/>
      <w:lvlText w:val="•"/>
      <w:lvlJc w:val="left"/>
      <w:pPr>
        <w:tabs>
          <w:tab w:val="num" w:pos="5040"/>
        </w:tabs>
        <w:ind w:left="5040" w:hanging="360"/>
      </w:pPr>
      <w:rPr>
        <w:rFonts w:ascii="Arial" w:hAnsi="Arial" w:hint="default"/>
      </w:rPr>
    </w:lvl>
    <w:lvl w:ilvl="7" w:tplc="2FC4F3F8" w:tentative="1">
      <w:start w:val="1"/>
      <w:numFmt w:val="bullet"/>
      <w:lvlText w:val="•"/>
      <w:lvlJc w:val="left"/>
      <w:pPr>
        <w:tabs>
          <w:tab w:val="num" w:pos="5760"/>
        </w:tabs>
        <w:ind w:left="5760" w:hanging="360"/>
      </w:pPr>
      <w:rPr>
        <w:rFonts w:ascii="Arial" w:hAnsi="Arial" w:hint="default"/>
      </w:rPr>
    </w:lvl>
    <w:lvl w:ilvl="8" w:tplc="248EA706" w:tentative="1">
      <w:start w:val="1"/>
      <w:numFmt w:val="bullet"/>
      <w:lvlText w:val="•"/>
      <w:lvlJc w:val="left"/>
      <w:pPr>
        <w:tabs>
          <w:tab w:val="num" w:pos="6480"/>
        </w:tabs>
        <w:ind w:left="6480" w:hanging="360"/>
      </w:pPr>
      <w:rPr>
        <w:rFonts w:ascii="Arial" w:hAnsi="Arial" w:hint="default"/>
      </w:rPr>
    </w:lvl>
  </w:abstractNum>
  <w:abstractNum w:abstractNumId="17">
    <w:nsid w:val="66A513F7"/>
    <w:multiLevelType w:val="hybridMultilevel"/>
    <w:tmpl w:val="35F66FC2"/>
    <w:lvl w:ilvl="0" w:tplc="F3988F98">
      <w:start w:val="1"/>
      <w:numFmt w:val="bullet"/>
      <w:lvlText w:val="•"/>
      <w:lvlJc w:val="left"/>
      <w:pPr>
        <w:tabs>
          <w:tab w:val="num" w:pos="720"/>
        </w:tabs>
        <w:ind w:left="720" w:hanging="360"/>
      </w:pPr>
      <w:rPr>
        <w:rFonts w:ascii="Arial" w:hAnsi="Arial" w:hint="default"/>
      </w:rPr>
    </w:lvl>
    <w:lvl w:ilvl="1" w:tplc="286C0AF8" w:tentative="1">
      <w:start w:val="1"/>
      <w:numFmt w:val="bullet"/>
      <w:lvlText w:val="•"/>
      <w:lvlJc w:val="left"/>
      <w:pPr>
        <w:tabs>
          <w:tab w:val="num" w:pos="1440"/>
        </w:tabs>
        <w:ind w:left="1440" w:hanging="360"/>
      </w:pPr>
      <w:rPr>
        <w:rFonts w:ascii="Arial" w:hAnsi="Arial" w:hint="default"/>
      </w:rPr>
    </w:lvl>
    <w:lvl w:ilvl="2" w:tplc="07DCFED6" w:tentative="1">
      <w:start w:val="1"/>
      <w:numFmt w:val="bullet"/>
      <w:lvlText w:val="•"/>
      <w:lvlJc w:val="left"/>
      <w:pPr>
        <w:tabs>
          <w:tab w:val="num" w:pos="2160"/>
        </w:tabs>
        <w:ind w:left="2160" w:hanging="360"/>
      </w:pPr>
      <w:rPr>
        <w:rFonts w:ascii="Arial" w:hAnsi="Arial" w:hint="default"/>
      </w:rPr>
    </w:lvl>
    <w:lvl w:ilvl="3" w:tplc="231C500E" w:tentative="1">
      <w:start w:val="1"/>
      <w:numFmt w:val="bullet"/>
      <w:lvlText w:val="•"/>
      <w:lvlJc w:val="left"/>
      <w:pPr>
        <w:tabs>
          <w:tab w:val="num" w:pos="2880"/>
        </w:tabs>
        <w:ind w:left="2880" w:hanging="360"/>
      </w:pPr>
      <w:rPr>
        <w:rFonts w:ascii="Arial" w:hAnsi="Arial" w:hint="default"/>
      </w:rPr>
    </w:lvl>
    <w:lvl w:ilvl="4" w:tplc="90FED9B4" w:tentative="1">
      <w:start w:val="1"/>
      <w:numFmt w:val="bullet"/>
      <w:lvlText w:val="•"/>
      <w:lvlJc w:val="left"/>
      <w:pPr>
        <w:tabs>
          <w:tab w:val="num" w:pos="3600"/>
        </w:tabs>
        <w:ind w:left="3600" w:hanging="360"/>
      </w:pPr>
      <w:rPr>
        <w:rFonts w:ascii="Arial" w:hAnsi="Arial" w:hint="default"/>
      </w:rPr>
    </w:lvl>
    <w:lvl w:ilvl="5" w:tplc="5172DF2E" w:tentative="1">
      <w:start w:val="1"/>
      <w:numFmt w:val="bullet"/>
      <w:lvlText w:val="•"/>
      <w:lvlJc w:val="left"/>
      <w:pPr>
        <w:tabs>
          <w:tab w:val="num" w:pos="4320"/>
        </w:tabs>
        <w:ind w:left="4320" w:hanging="360"/>
      </w:pPr>
      <w:rPr>
        <w:rFonts w:ascii="Arial" w:hAnsi="Arial" w:hint="default"/>
      </w:rPr>
    </w:lvl>
    <w:lvl w:ilvl="6" w:tplc="95CE7FCA" w:tentative="1">
      <w:start w:val="1"/>
      <w:numFmt w:val="bullet"/>
      <w:lvlText w:val="•"/>
      <w:lvlJc w:val="left"/>
      <w:pPr>
        <w:tabs>
          <w:tab w:val="num" w:pos="5040"/>
        </w:tabs>
        <w:ind w:left="5040" w:hanging="360"/>
      </w:pPr>
      <w:rPr>
        <w:rFonts w:ascii="Arial" w:hAnsi="Arial" w:hint="default"/>
      </w:rPr>
    </w:lvl>
    <w:lvl w:ilvl="7" w:tplc="EC4CDE28" w:tentative="1">
      <w:start w:val="1"/>
      <w:numFmt w:val="bullet"/>
      <w:lvlText w:val="•"/>
      <w:lvlJc w:val="left"/>
      <w:pPr>
        <w:tabs>
          <w:tab w:val="num" w:pos="5760"/>
        </w:tabs>
        <w:ind w:left="5760" w:hanging="360"/>
      </w:pPr>
      <w:rPr>
        <w:rFonts w:ascii="Arial" w:hAnsi="Arial" w:hint="default"/>
      </w:rPr>
    </w:lvl>
    <w:lvl w:ilvl="8" w:tplc="27BCD02C" w:tentative="1">
      <w:start w:val="1"/>
      <w:numFmt w:val="bullet"/>
      <w:lvlText w:val="•"/>
      <w:lvlJc w:val="left"/>
      <w:pPr>
        <w:tabs>
          <w:tab w:val="num" w:pos="6480"/>
        </w:tabs>
        <w:ind w:left="6480" w:hanging="360"/>
      </w:pPr>
      <w:rPr>
        <w:rFonts w:ascii="Arial" w:hAnsi="Arial" w:hint="default"/>
      </w:rPr>
    </w:lvl>
  </w:abstractNum>
  <w:abstractNum w:abstractNumId="18">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8972995"/>
    <w:multiLevelType w:val="hybridMultilevel"/>
    <w:tmpl w:val="07E437CC"/>
    <w:lvl w:ilvl="0" w:tplc="01626EB6">
      <w:start w:val="1"/>
      <w:numFmt w:val="bullet"/>
      <w:lvlText w:val="•"/>
      <w:lvlJc w:val="left"/>
      <w:pPr>
        <w:tabs>
          <w:tab w:val="num" w:pos="720"/>
        </w:tabs>
        <w:ind w:left="720" w:hanging="360"/>
      </w:pPr>
      <w:rPr>
        <w:rFonts w:ascii="Arial" w:hAnsi="Arial" w:hint="default"/>
      </w:rPr>
    </w:lvl>
    <w:lvl w:ilvl="1" w:tplc="D430C204">
      <w:start w:val="1"/>
      <w:numFmt w:val="bullet"/>
      <w:lvlText w:val="•"/>
      <w:lvlJc w:val="left"/>
      <w:pPr>
        <w:tabs>
          <w:tab w:val="num" w:pos="1440"/>
        </w:tabs>
        <w:ind w:left="1440" w:hanging="360"/>
      </w:pPr>
      <w:rPr>
        <w:rFonts w:ascii="Arial" w:hAnsi="Arial" w:hint="default"/>
      </w:rPr>
    </w:lvl>
    <w:lvl w:ilvl="2" w:tplc="C4C0B04A">
      <w:start w:val="3918"/>
      <w:numFmt w:val="bullet"/>
      <w:lvlText w:val=""/>
      <w:lvlJc w:val="left"/>
      <w:pPr>
        <w:tabs>
          <w:tab w:val="num" w:pos="2160"/>
        </w:tabs>
        <w:ind w:left="2160" w:hanging="360"/>
      </w:pPr>
      <w:rPr>
        <w:rFonts w:ascii="Wingdings" w:hAnsi="Wingdings" w:hint="default"/>
      </w:rPr>
    </w:lvl>
    <w:lvl w:ilvl="3" w:tplc="B0508564">
      <w:start w:val="3918"/>
      <w:numFmt w:val="bullet"/>
      <w:lvlText w:val=""/>
      <w:lvlJc w:val="left"/>
      <w:pPr>
        <w:tabs>
          <w:tab w:val="num" w:pos="2880"/>
        </w:tabs>
        <w:ind w:left="2880" w:hanging="360"/>
      </w:pPr>
      <w:rPr>
        <w:rFonts w:ascii="Wingdings" w:hAnsi="Wingdings" w:hint="default"/>
      </w:rPr>
    </w:lvl>
    <w:lvl w:ilvl="4" w:tplc="D0EED4B2" w:tentative="1">
      <w:start w:val="1"/>
      <w:numFmt w:val="bullet"/>
      <w:lvlText w:val="•"/>
      <w:lvlJc w:val="left"/>
      <w:pPr>
        <w:tabs>
          <w:tab w:val="num" w:pos="3600"/>
        </w:tabs>
        <w:ind w:left="3600" w:hanging="360"/>
      </w:pPr>
      <w:rPr>
        <w:rFonts w:ascii="Arial" w:hAnsi="Arial" w:hint="default"/>
      </w:rPr>
    </w:lvl>
    <w:lvl w:ilvl="5" w:tplc="32765814" w:tentative="1">
      <w:start w:val="1"/>
      <w:numFmt w:val="bullet"/>
      <w:lvlText w:val="•"/>
      <w:lvlJc w:val="left"/>
      <w:pPr>
        <w:tabs>
          <w:tab w:val="num" w:pos="4320"/>
        </w:tabs>
        <w:ind w:left="4320" w:hanging="360"/>
      </w:pPr>
      <w:rPr>
        <w:rFonts w:ascii="Arial" w:hAnsi="Arial" w:hint="default"/>
      </w:rPr>
    </w:lvl>
    <w:lvl w:ilvl="6" w:tplc="7DE2BB86" w:tentative="1">
      <w:start w:val="1"/>
      <w:numFmt w:val="bullet"/>
      <w:lvlText w:val="•"/>
      <w:lvlJc w:val="left"/>
      <w:pPr>
        <w:tabs>
          <w:tab w:val="num" w:pos="5040"/>
        </w:tabs>
        <w:ind w:left="5040" w:hanging="360"/>
      </w:pPr>
      <w:rPr>
        <w:rFonts w:ascii="Arial" w:hAnsi="Arial" w:hint="default"/>
      </w:rPr>
    </w:lvl>
    <w:lvl w:ilvl="7" w:tplc="8E68B3EC" w:tentative="1">
      <w:start w:val="1"/>
      <w:numFmt w:val="bullet"/>
      <w:lvlText w:val="•"/>
      <w:lvlJc w:val="left"/>
      <w:pPr>
        <w:tabs>
          <w:tab w:val="num" w:pos="5760"/>
        </w:tabs>
        <w:ind w:left="5760" w:hanging="360"/>
      </w:pPr>
      <w:rPr>
        <w:rFonts w:ascii="Arial" w:hAnsi="Arial" w:hint="default"/>
      </w:rPr>
    </w:lvl>
    <w:lvl w:ilvl="8" w:tplc="10ACFF3A" w:tentative="1">
      <w:start w:val="1"/>
      <w:numFmt w:val="bullet"/>
      <w:lvlText w:val="•"/>
      <w:lvlJc w:val="left"/>
      <w:pPr>
        <w:tabs>
          <w:tab w:val="num" w:pos="6480"/>
        </w:tabs>
        <w:ind w:left="6480" w:hanging="360"/>
      </w:pPr>
      <w:rPr>
        <w:rFonts w:ascii="Arial" w:hAnsi="Arial" w:hint="default"/>
      </w:rPr>
    </w:lvl>
  </w:abstractNum>
  <w:abstractNum w:abstractNumId="20">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21">
    <w:nsid w:val="76086482"/>
    <w:multiLevelType w:val="hybridMultilevel"/>
    <w:tmpl w:val="49A00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8DA25A5"/>
    <w:multiLevelType w:val="hybridMultilevel"/>
    <w:tmpl w:val="D2EE792C"/>
    <w:lvl w:ilvl="0" w:tplc="2932AA98">
      <w:start w:val="1"/>
      <w:numFmt w:val="bullet"/>
      <w:lvlText w:val="•"/>
      <w:lvlJc w:val="left"/>
      <w:pPr>
        <w:tabs>
          <w:tab w:val="num" w:pos="720"/>
        </w:tabs>
        <w:ind w:left="720" w:hanging="360"/>
      </w:pPr>
      <w:rPr>
        <w:rFonts w:ascii="Arial" w:hAnsi="Arial" w:hint="default"/>
      </w:rPr>
    </w:lvl>
    <w:lvl w:ilvl="1" w:tplc="2FA64C2E">
      <w:start w:val="1"/>
      <w:numFmt w:val="bullet"/>
      <w:lvlText w:val="•"/>
      <w:lvlJc w:val="left"/>
      <w:pPr>
        <w:tabs>
          <w:tab w:val="num" w:pos="1440"/>
        </w:tabs>
        <w:ind w:left="1440" w:hanging="360"/>
      </w:pPr>
      <w:rPr>
        <w:rFonts w:ascii="Arial" w:hAnsi="Arial" w:hint="default"/>
      </w:rPr>
    </w:lvl>
    <w:lvl w:ilvl="2" w:tplc="1466E7C6" w:tentative="1">
      <w:start w:val="1"/>
      <w:numFmt w:val="bullet"/>
      <w:lvlText w:val="•"/>
      <w:lvlJc w:val="left"/>
      <w:pPr>
        <w:tabs>
          <w:tab w:val="num" w:pos="2160"/>
        </w:tabs>
        <w:ind w:left="2160" w:hanging="360"/>
      </w:pPr>
      <w:rPr>
        <w:rFonts w:ascii="Arial" w:hAnsi="Arial" w:hint="default"/>
      </w:rPr>
    </w:lvl>
    <w:lvl w:ilvl="3" w:tplc="4718F9DA" w:tentative="1">
      <w:start w:val="1"/>
      <w:numFmt w:val="bullet"/>
      <w:lvlText w:val="•"/>
      <w:lvlJc w:val="left"/>
      <w:pPr>
        <w:tabs>
          <w:tab w:val="num" w:pos="2880"/>
        </w:tabs>
        <w:ind w:left="2880" w:hanging="360"/>
      </w:pPr>
      <w:rPr>
        <w:rFonts w:ascii="Arial" w:hAnsi="Arial" w:hint="default"/>
      </w:rPr>
    </w:lvl>
    <w:lvl w:ilvl="4" w:tplc="DCB23A8E" w:tentative="1">
      <w:start w:val="1"/>
      <w:numFmt w:val="bullet"/>
      <w:lvlText w:val="•"/>
      <w:lvlJc w:val="left"/>
      <w:pPr>
        <w:tabs>
          <w:tab w:val="num" w:pos="3600"/>
        </w:tabs>
        <w:ind w:left="3600" w:hanging="360"/>
      </w:pPr>
      <w:rPr>
        <w:rFonts w:ascii="Arial" w:hAnsi="Arial" w:hint="default"/>
      </w:rPr>
    </w:lvl>
    <w:lvl w:ilvl="5" w:tplc="A4108418" w:tentative="1">
      <w:start w:val="1"/>
      <w:numFmt w:val="bullet"/>
      <w:lvlText w:val="•"/>
      <w:lvlJc w:val="left"/>
      <w:pPr>
        <w:tabs>
          <w:tab w:val="num" w:pos="4320"/>
        </w:tabs>
        <w:ind w:left="4320" w:hanging="360"/>
      </w:pPr>
      <w:rPr>
        <w:rFonts w:ascii="Arial" w:hAnsi="Arial" w:hint="default"/>
      </w:rPr>
    </w:lvl>
    <w:lvl w:ilvl="6" w:tplc="28580944" w:tentative="1">
      <w:start w:val="1"/>
      <w:numFmt w:val="bullet"/>
      <w:lvlText w:val="•"/>
      <w:lvlJc w:val="left"/>
      <w:pPr>
        <w:tabs>
          <w:tab w:val="num" w:pos="5040"/>
        </w:tabs>
        <w:ind w:left="5040" w:hanging="360"/>
      </w:pPr>
      <w:rPr>
        <w:rFonts w:ascii="Arial" w:hAnsi="Arial" w:hint="default"/>
      </w:rPr>
    </w:lvl>
    <w:lvl w:ilvl="7" w:tplc="CDB4F7EE" w:tentative="1">
      <w:start w:val="1"/>
      <w:numFmt w:val="bullet"/>
      <w:lvlText w:val="•"/>
      <w:lvlJc w:val="left"/>
      <w:pPr>
        <w:tabs>
          <w:tab w:val="num" w:pos="5760"/>
        </w:tabs>
        <w:ind w:left="5760" w:hanging="360"/>
      </w:pPr>
      <w:rPr>
        <w:rFonts w:ascii="Arial" w:hAnsi="Arial" w:hint="default"/>
      </w:rPr>
    </w:lvl>
    <w:lvl w:ilvl="8" w:tplc="FA14891C" w:tentative="1">
      <w:start w:val="1"/>
      <w:numFmt w:val="bullet"/>
      <w:lvlText w:val="•"/>
      <w:lvlJc w:val="left"/>
      <w:pPr>
        <w:tabs>
          <w:tab w:val="num" w:pos="6480"/>
        </w:tabs>
        <w:ind w:left="6480" w:hanging="360"/>
      </w:pPr>
      <w:rPr>
        <w:rFonts w:ascii="Arial" w:hAnsi="Arial" w:hint="default"/>
      </w:rPr>
    </w:lvl>
  </w:abstractNum>
  <w:abstractNum w:abstractNumId="23">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
  </w:num>
  <w:num w:numId="5">
    <w:abstractNumId w:val="20"/>
  </w:num>
  <w:num w:numId="6">
    <w:abstractNumId w:val="8"/>
  </w:num>
  <w:num w:numId="7">
    <w:abstractNumId w:val="15"/>
  </w:num>
  <w:num w:numId="8">
    <w:abstractNumId w:val="4"/>
  </w:num>
  <w:num w:numId="9">
    <w:abstractNumId w:val="18"/>
  </w:num>
  <w:num w:numId="10">
    <w:abstractNumId w:val="16"/>
  </w:num>
  <w:num w:numId="11">
    <w:abstractNumId w:val="17"/>
  </w:num>
  <w:num w:numId="12">
    <w:abstractNumId w:val="9"/>
  </w:num>
  <w:num w:numId="13">
    <w:abstractNumId w:val="6"/>
  </w:num>
  <w:num w:numId="14">
    <w:abstractNumId w:val="22"/>
  </w:num>
  <w:num w:numId="15">
    <w:abstractNumId w:val="5"/>
  </w:num>
  <w:num w:numId="16">
    <w:abstractNumId w:val="2"/>
  </w:num>
  <w:num w:numId="17">
    <w:abstractNumId w:val="7"/>
  </w:num>
  <w:num w:numId="18">
    <w:abstractNumId w:val="2"/>
  </w:num>
  <w:num w:numId="19">
    <w:abstractNumId w:val="0"/>
  </w:num>
  <w:num w:numId="20">
    <w:abstractNumId w:val="13"/>
  </w:num>
  <w:num w:numId="21">
    <w:abstractNumId w:val="19"/>
  </w:num>
  <w:num w:numId="22">
    <w:abstractNumId w:val="11"/>
  </w:num>
  <w:num w:numId="23">
    <w:abstractNumId w:val="14"/>
  </w:num>
  <w:num w:numId="24">
    <w:abstractNumId w:val="13"/>
  </w:num>
  <w:num w:numId="25">
    <w:abstractNumId w:val="23"/>
  </w:num>
  <w:num w:numId="26">
    <w:abstractNumId w:val="1"/>
  </w:num>
  <w:num w:numId="27">
    <w:abstractNumId w:val="21"/>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4F9B"/>
    <w:rsid w:val="000266ED"/>
    <w:rsid w:val="000413C3"/>
    <w:rsid w:val="00064AEB"/>
    <w:rsid w:val="00070CCC"/>
    <w:rsid w:val="000A063F"/>
    <w:rsid w:val="000B64D0"/>
    <w:rsid w:val="000D7CD5"/>
    <w:rsid w:val="00125476"/>
    <w:rsid w:val="00136717"/>
    <w:rsid w:val="001377DA"/>
    <w:rsid w:val="00137ADB"/>
    <w:rsid w:val="00140A61"/>
    <w:rsid w:val="0016634F"/>
    <w:rsid w:val="00182CD4"/>
    <w:rsid w:val="00195A61"/>
    <w:rsid w:val="00197348"/>
    <w:rsid w:val="001B112E"/>
    <w:rsid w:val="001B4EEF"/>
    <w:rsid w:val="001E6142"/>
    <w:rsid w:val="002442FC"/>
    <w:rsid w:val="00266126"/>
    <w:rsid w:val="00280881"/>
    <w:rsid w:val="00280D85"/>
    <w:rsid w:val="00284C0D"/>
    <w:rsid w:val="002A231F"/>
    <w:rsid w:val="002C2570"/>
    <w:rsid w:val="002E0B24"/>
    <w:rsid w:val="002E2EE6"/>
    <w:rsid w:val="00304840"/>
    <w:rsid w:val="00304BE3"/>
    <w:rsid w:val="0030586D"/>
    <w:rsid w:val="00343E73"/>
    <w:rsid w:val="00380048"/>
    <w:rsid w:val="0039604A"/>
    <w:rsid w:val="003A08ED"/>
    <w:rsid w:val="003E5B09"/>
    <w:rsid w:val="003E6F50"/>
    <w:rsid w:val="00403DE4"/>
    <w:rsid w:val="004429E7"/>
    <w:rsid w:val="004516F3"/>
    <w:rsid w:val="00461DBD"/>
    <w:rsid w:val="00490103"/>
    <w:rsid w:val="00493200"/>
    <w:rsid w:val="004D79C6"/>
    <w:rsid w:val="004E14B1"/>
    <w:rsid w:val="004E3DDD"/>
    <w:rsid w:val="004E6626"/>
    <w:rsid w:val="004F4982"/>
    <w:rsid w:val="005057DD"/>
    <w:rsid w:val="0054396F"/>
    <w:rsid w:val="00585571"/>
    <w:rsid w:val="005B2F13"/>
    <w:rsid w:val="005C3277"/>
    <w:rsid w:val="005C42E3"/>
    <w:rsid w:val="005F46C6"/>
    <w:rsid w:val="006318D2"/>
    <w:rsid w:val="0065029B"/>
    <w:rsid w:val="00653D42"/>
    <w:rsid w:val="0066177B"/>
    <w:rsid w:val="00663897"/>
    <w:rsid w:val="00673AFF"/>
    <w:rsid w:val="00686358"/>
    <w:rsid w:val="006A3523"/>
    <w:rsid w:val="006B69FD"/>
    <w:rsid w:val="006C5C85"/>
    <w:rsid w:val="006D1472"/>
    <w:rsid w:val="006D2805"/>
    <w:rsid w:val="006E72CE"/>
    <w:rsid w:val="006F2098"/>
    <w:rsid w:val="00703528"/>
    <w:rsid w:val="00711D7A"/>
    <w:rsid w:val="00725FEF"/>
    <w:rsid w:val="00727219"/>
    <w:rsid w:val="007273A7"/>
    <w:rsid w:val="007426C0"/>
    <w:rsid w:val="0075414A"/>
    <w:rsid w:val="007576C0"/>
    <w:rsid w:val="007C648F"/>
    <w:rsid w:val="007D46C5"/>
    <w:rsid w:val="007E148C"/>
    <w:rsid w:val="007F6A1F"/>
    <w:rsid w:val="0080299D"/>
    <w:rsid w:val="00821B20"/>
    <w:rsid w:val="008236F9"/>
    <w:rsid w:val="0083381B"/>
    <w:rsid w:val="00841A3F"/>
    <w:rsid w:val="0088529F"/>
    <w:rsid w:val="00893654"/>
    <w:rsid w:val="008A1436"/>
    <w:rsid w:val="008B66DE"/>
    <w:rsid w:val="008C361A"/>
    <w:rsid w:val="008D1637"/>
    <w:rsid w:val="008D1CCB"/>
    <w:rsid w:val="008E0DD5"/>
    <w:rsid w:val="00906849"/>
    <w:rsid w:val="00924FBB"/>
    <w:rsid w:val="00941A79"/>
    <w:rsid w:val="00957FF7"/>
    <w:rsid w:val="00963880"/>
    <w:rsid w:val="00966BD9"/>
    <w:rsid w:val="00983815"/>
    <w:rsid w:val="00996B8E"/>
    <w:rsid w:val="009C5615"/>
    <w:rsid w:val="009D3161"/>
    <w:rsid w:val="009D619F"/>
    <w:rsid w:val="009E4760"/>
    <w:rsid w:val="009E5E32"/>
    <w:rsid w:val="009F526D"/>
    <w:rsid w:val="00A247CD"/>
    <w:rsid w:val="00A42094"/>
    <w:rsid w:val="00A4708D"/>
    <w:rsid w:val="00A82F72"/>
    <w:rsid w:val="00AA7A57"/>
    <w:rsid w:val="00AA7B51"/>
    <w:rsid w:val="00AD1235"/>
    <w:rsid w:val="00AE20E8"/>
    <w:rsid w:val="00B2799F"/>
    <w:rsid w:val="00B30EB3"/>
    <w:rsid w:val="00B51CDF"/>
    <w:rsid w:val="00B52F2E"/>
    <w:rsid w:val="00B614E8"/>
    <w:rsid w:val="00B906C7"/>
    <w:rsid w:val="00B90D96"/>
    <w:rsid w:val="00BB7B85"/>
    <w:rsid w:val="00BD1A59"/>
    <w:rsid w:val="00BE3187"/>
    <w:rsid w:val="00C230E4"/>
    <w:rsid w:val="00C4727E"/>
    <w:rsid w:val="00C53146"/>
    <w:rsid w:val="00C60FF8"/>
    <w:rsid w:val="00C72933"/>
    <w:rsid w:val="00C9055D"/>
    <w:rsid w:val="00CC3C6E"/>
    <w:rsid w:val="00CD2318"/>
    <w:rsid w:val="00CD5C07"/>
    <w:rsid w:val="00CF4D47"/>
    <w:rsid w:val="00D220BA"/>
    <w:rsid w:val="00D5418A"/>
    <w:rsid w:val="00D548F6"/>
    <w:rsid w:val="00D61B08"/>
    <w:rsid w:val="00D75384"/>
    <w:rsid w:val="00D761E5"/>
    <w:rsid w:val="00D963C7"/>
    <w:rsid w:val="00DB0E87"/>
    <w:rsid w:val="00DC7BB7"/>
    <w:rsid w:val="00DD19C8"/>
    <w:rsid w:val="00DE0C7F"/>
    <w:rsid w:val="00DF0883"/>
    <w:rsid w:val="00DF1F7C"/>
    <w:rsid w:val="00E00E8C"/>
    <w:rsid w:val="00E06DC7"/>
    <w:rsid w:val="00E64574"/>
    <w:rsid w:val="00E67A62"/>
    <w:rsid w:val="00E8576E"/>
    <w:rsid w:val="00E9322A"/>
    <w:rsid w:val="00E949A5"/>
    <w:rsid w:val="00E96379"/>
    <w:rsid w:val="00EA0B2A"/>
    <w:rsid w:val="00EA643A"/>
    <w:rsid w:val="00EB49F6"/>
    <w:rsid w:val="00EB4FA4"/>
    <w:rsid w:val="00EC4261"/>
    <w:rsid w:val="00ED169A"/>
    <w:rsid w:val="00EE4FC8"/>
    <w:rsid w:val="00EF3D20"/>
    <w:rsid w:val="00EF4F1F"/>
    <w:rsid w:val="00F04C6C"/>
    <w:rsid w:val="00F12930"/>
    <w:rsid w:val="00F37E85"/>
    <w:rsid w:val="00F43463"/>
    <w:rsid w:val="00F56ED1"/>
    <w:rsid w:val="00F60988"/>
    <w:rsid w:val="00F63F1C"/>
    <w:rsid w:val="00FA2AA6"/>
    <w:rsid w:val="00FB1567"/>
    <w:rsid w:val="00FC141F"/>
    <w:rsid w:val="00FD73FA"/>
    <w:rsid w:val="00FD7537"/>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qFormat/>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qFormat/>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18548">
      <w:bodyDiv w:val="1"/>
      <w:marLeft w:val="0"/>
      <w:marRight w:val="0"/>
      <w:marTop w:val="0"/>
      <w:marBottom w:val="0"/>
      <w:divBdr>
        <w:top w:val="none" w:sz="0" w:space="0" w:color="auto"/>
        <w:left w:val="none" w:sz="0" w:space="0" w:color="auto"/>
        <w:bottom w:val="none" w:sz="0" w:space="0" w:color="auto"/>
        <w:right w:val="none" w:sz="0" w:space="0" w:color="auto"/>
      </w:divBdr>
    </w:div>
    <w:div w:id="78530324">
      <w:bodyDiv w:val="1"/>
      <w:marLeft w:val="0"/>
      <w:marRight w:val="0"/>
      <w:marTop w:val="0"/>
      <w:marBottom w:val="0"/>
      <w:divBdr>
        <w:top w:val="none" w:sz="0" w:space="0" w:color="auto"/>
        <w:left w:val="none" w:sz="0" w:space="0" w:color="auto"/>
        <w:bottom w:val="none" w:sz="0" w:space="0" w:color="auto"/>
        <w:right w:val="none" w:sz="0" w:space="0" w:color="auto"/>
      </w:divBdr>
      <w:divsChild>
        <w:div w:id="2102216272">
          <w:marLeft w:val="2074"/>
          <w:marRight w:val="0"/>
          <w:marTop w:val="260"/>
          <w:marBottom w:val="0"/>
          <w:divBdr>
            <w:top w:val="none" w:sz="0" w:space="0" w:color="auto"/>
            <w:left w:val="none" w:sz="0" w:space="0" w:color="auto"/>
            <w:bottom w:val="none" w:sz="0" w:space="0" w:color="auto"/>
            <w:right w:val="none" w:sz="0" w:space="0" w:color="auto"/>
          </w:divBdr>
        </w:div>
      </w:divsChild>
    </w:div>
    <w:div w:id="269094450">
      <w:bodyDiv w:val="1"/>
      <w:marLeft w:val="0"/>
      <w:marRight w:val="0"/>
      <w:marTop w:val="0"/>
      <w:marBottom w:val="0"/>
      <w:divBdr>
        <w:top w:val="none" w:sz="0" w:space="0" w:color="auto"/>
        <w:left w:val="none" w:sz="0" w:space="0" w:color="auto"/>
        <w:bottom w:val="none" w:sz="0" w:space="0" w:color="auto"/>
        <w:right w:val="none" w:sz="0" w:space="0" w:color="auto"/>
      </w:divBdr>
    </w:div>
    <w:div w:id="328367143">
      <w:bodyDiv w:val="1"/>
      <w:marLeft w:val="0"/>
      <w:marRight w:val="0"/>
      <w:marTop w:val="0"/>
      <w:marBottom w:val="0"/>
      <w:divBdr>
        <w:top w:val="none" w:sz="0" w:space="0" w:color="auto"/>
        <w:left w:val="none" w:sz="0" w:space="0" w:color="auto"/>
        <w:bottom w:val="none" w:sz="0" w:space="0" w:color="auto"/>
        <w:right w:val="none" w:sz="0" w:space="0" w:color="auto"/>
      </w:divBdr>
    </w:div>
    <w:div w:id="376777425">
      <w:bodyDiv w:val="1"/>
      <w:marLeft w:val="0"/>
      <w:marRight w:val="0"/>
      <w:marTop w:val="0"/>
      <w:marBottom w:val="0"/>
      <w:divBdr>
        <w:top w:val="none" w:sz="0" w:space="0" w:color="auto"/>
        <w:left w:val="none" w:sz="0" w:space="0" w:color="auto"/>
        <w:bottom w:val="none" w:sz="0" w:space="0" w:color="auto"/>
        <w:right w:val="none" w:sz="0" w:space="0" w:color="auto"/>
      </w:divBdr>
    </w:div>
    <w:div w:id="396512094">
      <w:bodyDiv w:val="1"/>
      <w:marLeft w:val="0"/>
      <w:marRight w:val="0"/>
      <w:marTop w:val="0"/>
      <w:marBottom w:val="0"/>
      <w:divBdr>
        <w:top w:val="none" w:sz="0" w:space="0" w:color="auto"/>
        <w:left w:val="none" w:sz="0" w:space="0" w:color="auto"/>
        <w:bottom w:val="none" w:sz="0" w:space="0" w:color="auto"/>
        <w:right w:val="none" w:sz="0" w:space="0" w:color="auto"/>
      </w:divBdr>
    </w:div>
    <w:div w:id="452479766">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561059051">
      <w:bodyDiv w:val="1"/>
      <w:marLeft w:val="0"/>
      <w:marRight w:val="0"/>
      <w:marTop w:val="0"/>
      <w:marBottom w:val="0"/>
      <w:divBdr>
        <w:top w:val="none" w:sz="0" w:space="0" w:color="auto"/>
        <w:left w:val="none" w:sz="0" w:space="0" w:color="auto"/>
        <w:bottom w:val="none" w:sz="0" w:space="0" w:color="auto"/>
        <w:right w:val="none" w:sz="0" w:space="0" w:color="auto"/>
      </w:divBdr>
      <w:divsChild>
        <w:div w:id="1698846085">
          <w:marLeft w:val="1354"/>
          <w:marRight w:val="0"/>
          <w:marTop w:val="260"/>
          <w:marBottom w:val="120"/>
          <w:divBdr>
            <w:top w:val="none" w:sz="0" w:space="0" w:color="auto"/>
            <w:left w:val="none" w:sz="0" w:space="0" w:color="auto"/>
            <w:bottom w:val="none" w:sz="0" w:space="0" w:color="auto"/>
            <w:right w:val="none" w:sz="0" w:space="0" w:color="auto"/>
          </w:divBdr>
        </w:div>
        <w:div w:id="1658144363">
          <w:marLeft w:val="1354"/>
          <w:marRight w:val="0"/>
          <w:marTop w:val="260"/>
          <w:marBottom w:val="120"/>
          <w:divBdr>
            <w:top w:val="none" w:sz="0" w:space="0" w:color="auto"/>
            <w:left w:val="none" w:sz="0" w:space="0" w:color="auto"/>
            <w:bottom w:val="none" w:sz="0" w:space="0" w:color="auto"/>
            <w:right w:val="none" w:sz="0" w:space="0" w:color="auto"/>
          </w:divBdr>
        </w:div>
      </w:divsChild>
    </w:div>
    <w:div w:id="684944357">
      <w:bodyDiv w:val="1"/>
      <w:marLeft w:val="0"/>
      <w:marRight w:val="0"/>
      <w:marTop w:val="0"/>
      <w:marBottom w:val="0"/>
      <w:divBdr>
        <w:top w:val="none" w:sz="0" w:space="0" w:color="auto"/>
        <w:left w:val="none" w:sz="0" w:space="0" w:color="auto"/>
        <w:bottom w:val="none" w:sz="0" w:space="0" w:color="auto"/>
        <w:right w:val="none" w:sz="0" w:space="0" w:color="auto"/>
      </w:divBdr>
    </w:div>
    <w:div w:id="768744069">
      <w:bodyDiv w:val="1"/>
      <w:marLeft w:val="0"/>
      <w:marRight w:val="0"/>
      <w:marTop w:val="0"/>
      <w:marBottom w:val="0"/>
      <w:divBdr>
        <w:top w:val="none" w:sz="0" w:space="0" w:color="auto"/>
        <w:left w:val="none" w:sz="0" w:space="0" w:color="auto"/>
        <w:bottom w:val="none" w:sz="0" w:space="0" w:color="auto"/>
        <w:right w:val="none" w:sz="0" w:space="0" w:color="auto"/>
      </w:divBdr>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1023553004">
      <w:bodyDiv w:val="1"/>
      <w:marLeft w:val="0"/>
      <w:marRight w:val="0"/>
      <w:marTop w:val="0"/>
      <w:marBottom w:val="0"/>
      <w:divBdr>
        <w:top w:val="none" w:sz="0" w:space="0" w:color="auto"/>
        <w:left w:val="none" w:sz="0" w:space="0" w:color="auto"/>
        <w:bottom w:val="none" w:sz="0" w:space="0" w:color="auto"/>
        <w:right w:val="none" w:sz="0" w:space="0" w:color="auto"/>
      </w:divBdr>
      <w:divsChild>
        <w:div w:id="2074547597">
          <w:marLeft w:val="547"/>
          <w:marRight w:val="0"/>
          <w:marTop w:val="86"/>
          <w:marBottom w:val="0"/>
          <w:divBdr>
            <w:top w:val="none" w:sz="0" w:space="0" w:color="auto"/>
            <w:left w:val="none" w:sz="0" w:space="0" w:color="auto"/>
            <w:bottom w:val="none" w:sz="0" w:space="0" w:color="auto"/>
            <w:right w:val="none" w:sz="0" w:space="0" w:color="auto"/>
          </w:divBdr>
        </w:div>
        <w:div w:id="1714191270">
          <w:marLeft w:val="1354"/>
          <w:marRight w:val="0"/>
          <w:marTop w:val="260"/>
          <w:marBottom w:val="0"/>
          <w:divBdr>
            <w:top w:val="none" w:sz="0" w:space="0" w:color="auto"/>
            <w:left w:val="none" w:sz="0" w:space="0" w:color="auto"/>
            <w:bottom w:val="none" w:sz="0" w:space="0" w:color="auto"/>
            <w:right w:val="none" w:sz="0" w:space="0" w:color="auto"/>
          </w:divBdr>
        </w:div>
        <w:div w:id="100690402">
          <w:marLeft w:val="2074"/>
          <w:marRight w:val="0"/>
          <w:marTop w:val="260"/>
          <w:marBottom w:val="0"/>
          <w:divBdr>
            <w:top w:val="none" w:sz="0" w:space="0" w:color="auto"/>
            <w:left w:val="none" w:sz="0" w:space="0" w:color="auto"/>
            <w:bottom w:val="none" w:sz="0" w:space="0" w:color="auto"/>
            <w:right w:val="none" w:sz="0" w:space="0" w:color="auto"/>
          </w:divBdr>
        </w:div>
        <w:div w:id="654771183">
          <w:marLeft w:val="2074"/>
          <w:marRight w:val="0"/>
          <w:marTop w:val="260"/>
          <w:marBottom w:val="0"/>
          <w:divBdr>
            <w:top w:val="none" w:sz="0" w:space="0" w:color="auto"/>
            <w:left w:val="none" w:sz="0" w:space="0" w:color="auto"/>
            <w:bottom w:val="none" w:sz="0" w:space="0" w:color="auto"/>
            <w:right w:val="none" w:sz="0" w:space="0" w:color="auto"/>
          </w:divBdr>
        </w:div>
        <w:div w:id="350645010">
          <w:marLeft w:val="2074"/>
          <w:marRight w:val="0"/>
          <w:marTop w:val="260"/>
          <w:marBottom w:val="0"/>
          <w:divBdr>
            <w:top w:val="none" w:sz="0" w:space="0" w:color="auto"/>
            <w:left w:val="none" w:sz="0" w:space="0" w:color="auto"/>
            <w:bottom w:val="none" w:sz="0" w:space="0" w:color="auto"/>
            <w:right w:val="none" w:sz="0" w:space="0" w:color="auto"/>
          </w:divBdr>
        </w:div>
      </w:divsChild>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66487022">
      <w:bodyDiv w:val="1"/>
      <w:marLeft w:val="0"/>
      <w:marRight w:val="0"/>
      <w:marTop w:val="0"/>
      <w:marBottom w:val="0"/>
      <w:divBdr>
        <w:top w:val="none" w:sz="0" w:space="0" w:color="auto"/>
        <w:left w:val="none" w:sz="0" w:space="0" w:color="auto"/>
        <w:bottom w:val="none" w:sz="0" w:space="0" w:color="auto"/>
        <w:right w:val="none" w:sz="0" w:space="0" w:color="auto"/>
      </w:divBdr>
      <w:divsChild>
        <w:div w:id="701251590">
          <w:marLeft w:val="547"/>
          <w:marRight w:val="0"/>
          <w:marTop w:val="86"/>
          <w:marBottom w:val="0"/>
          <w:divBdr>
            <w:top w:val="none" w:sz="0" w:space="0" w:color="auto"/>
            <w:left w:val="none" w:sz="0" w:space="0" w:color="auto"/>
            <w:bottom w:val="none" w:sz="0" w:space="0" w:color="auto"/>
            <w:right w:val="none" w:sz="0" w:space="0" w:color="auto"/>
          </w:divBdr>
        </w:div>
      </w:divsChild>
    </w:div>
    <w:div w:id="1085763106">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07693545">
      <w:bodyDiv w:val="1"/>
      <w:marLeft w:val="0"/>
      <w:marRight w:val="0"/>
      <w:marTop w:val="0"/>
      <w:marBottom w:val="0"/>
      <w:divBdr>
        <w:top w:val="none" w:sz="0" w:space="0" w:color="auto"/>
        <w:left w:val="none" w:sz="0" w:space="0" w:color="auto"/>
        <w:bottom w:val="none" w:sz="0" w:space="0" w:color="auto"/>
        <w:right w:val="none" w:sz="0" w:space="0" w:color="auto"/>
      </w:divBdr>
    </w:div>
    <w:div w:id="1182620518">
      <w:bodyDiv w:val="1"/>
      <w:marLeft w:val="0"/>
      <w:marRight w:val="0"/>
      <w:marTop w:val="0"/>
      <w:marBottom w:val="0"/>
      <w:divBdr>
        <w:top w:val="none" w:sz="0" w:space="0" w:color="auto"/>
        <w:left w:val="none" w:sz="0" w:space="0" w:color="auto"/>
        <w:bottom w:val="none" w:sz="0" w:space="0" w:color="auto"/>
        <w:right w:val="none" w:sz="0" w:space="0" w:color="auto"/>
      </w:divBdr>
    </w:div>
    <w:div w:id="1189220312">
      <w:bodyDiv w:val="1"/>
      <w:marLeft w:val="0"/>
      <w:marRight w:val="0"/>
      <w:marTop w:val="0"/>
      <w:marBottom w:val="0"/>
      <w:divBdr>
        <w:top w:val="none" w:sz="0" w:space="0" w:color="auto"/>
        <w:left w:val="none" w:sz="0" w:space="0" w:color="auto"/>
        <w:bottom w:val="none" w:sz="0" w:space="0" w:color="auto"/>
        <w:right w:val="none" w:sz="0" w:space="0" w:color="auto"/>
      </w:divBdr>
    </w:div>
    <w:div w:id="1195270727">
      <w:bodyDiv w:val="1"/>
      <w:marLeft w:val="0"/>
      <w:marRight w:val="0"/>
      <w:marTop w:val="0"/>
      <w:marBottom w:val="0"/>
      <w:divBdr>
        <w:top w:val="none" w:sz="0" w:space="0" w:color="auto"/>
        <w:left w:val="none" w:sz="0" w:space="0" w:color="auto"/>
        <w:bottom w:val="none" w:sz="0" w:space="0" w:color="auto"/>
        <w:right w:val="none" w:sz="0" w:space="0" w:color="auto"/>
      </w:divBdr>
      <w:divsChild>
        <w:div w:id="943731504">
          <w:marLeft w:val="547"/>
          <w:marRight w:val="0"/>
          <w:marTop w:val="0"/>
          <w:marBottom w:val="0"/>
          <w:divBdr>
            <w:top w:val="none" w:sz="0" w:space="0" w:color="auto"/>
            <w:left w:val="none" w:sz="0" w:space="0" w:color="auto"/>
            <w:bottom w:val="none" w:sz="0" w:space="0" w:color="auto"/>
            <w:right w:val="none" w:sz="0" w:space="0" w:color="auto"/>
          </w:divBdr>
        </w:div>
      </w:divsChild>
    </w:div>
    <w:div w:id="1210461334">
      <w:bodyDiv w:val="1"/>
      <w:marLeft w:val="0"/>
      <w:marRight w:val="0"/>
      <w:marTop w:val="0"/>
      <w:marBottom w:val="0"/>
      <w:divBdr>
        <w:top w:val="none" w:sz="0" w:space="0" w:color="auto"/>
        <w:left w:val="none" w:sz="0" w:space="0" w:color="auto"/>
        <w:bottom w:val="none" w:sz="0" w:space="0" w:color="auto"/>
        <w:right w:val="none" w:sz="0" w:space="0" w:color="auto"/>
      </w:divBdr>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285968987">
      <w:bodyDiv w:val="1"/>
      <w:marLeft w:val="0"/>
      <w:marRight w:val="0"/>
      <w:marTop w:val="0"/>
      <w:marBottom w:val="0"/>
      <w:divBdr>
        <w:top w:val="none" w:sz="0" w:space="0" w:color="auto"/>
        <w:left w:val="none" w:sz="0" w:space="0" w:color="auto"/>
        <w:bottom w:val="none" w:sz="0" w:space="0" w:color="auto"/>
        <w:right w:val="none" w:sz="0" w:space="0" w:color="auto"/>
      </w:divBdr>
    </w:div>
    <w:div w:id="1325477574">
      <w:bodyDiv w:val="1"/>
      <w:marLeft w:val="0"/>
      <w:marRight w:val="0"/>
      <w:marTop w:val="0"/>
      <w:marBottom w:val="0"/>
      <w:divBdr>
        <w:top w:val="none" w:sz="0" w:space="0" w:color="auto"/>
        <w:left w:val="none" w:sz="0" w:space="0" w:color="auto"/>
        <w:bottom w:val="none" w:sz="0" w:space="0" w:color="auto"/>
        <w:right w:val="none" w:sz="0" w:space="0" w:color="auto"/>
      </w:divBdr>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71822932">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666013728">
      <w:bodyDiv w:val="1"/>
      <w:marLeft w:val="0"/>
      <w:marRight w:val="0"/>
      <w:marTop w:val="0"/>
      <w:marBottom w:val="0"/>
      <w:divBdr>
        <w:top w:val="none" w:sz="0" w:space="0" w:color="auto"/>
        <w:left w:val="none" w:sz="0" w:space="0" w:color="auto"/>
        <w:bottom w:val="none" w:sz="0" w:space="0" w:color="auto"/>
        <w:right w:val="none" w:sz="0" w:space="0" w:color="auto"/>
      </w:divBdr>
    </w:div>
    <w:div w:id="1727026320">
      <w:bodyDiv w:val="1"/>
      <w:marLeft w:val="0"/>
      <w:marRight w:val="0"/>
      <w:marTop w:val="0"/>
      <w:marBottom w:val="0"/>
      <w:divBdr>
        <w:top w:val="none" w:sz="0" w:space="0" w:color="auto"/>
        <w:left w:val="none" w:sz="0" w:space="0" w:color="auto"/>
        <w:bottom w:val="none" w:sz="0" w:space="0" w:color="auto"/>
        <w:right w:val="none" w:sz="0" w:space="0" w:color="auto"/>
      </w:divBdr>
      <w:divsChild>
        <w:div w:id="1397389246">
          <w:marLeft w:val="1354"/>
          <w:marRight w:val="0"/>
          <w:marTop w:val="260"/>
          <w:marBottom w:val="120"/>
          <w:divBdr>
            <w:top w:val="none" w:sz="0" w:space="0" w:color="auto"/>
            <w:left w:val="none" w:sz="0" w:space="0" w:color="auto"/>
            <w:bottom w:val="none" w:sz="0" w:space="0" w:color="auto"/>
            <w:right w:val="none" w:sz="0" w:space="0" w:color="auto"/>
          </w:divBdr>
        </w:div>
      </w:divsChild>
    </w:div>
    <w:div w:id="1781609823">
      <w:bodyDiv w:val="1"/>
      <w:marLeft w:val="0"/>
      <w:marRight w:val="0"/>
      <w:marTop w:val="0"/>
      <w:marBottom w:val="0"/>
      <w:divBdr>
        <w:top w:val="none" w:sz="0" w:space="0" w:color="auto"/>
        <w:left w:val="none" w:sz="0" w:space="0" w:color="auto"/>
        <w:bottom w:val="none" w:sz="0" w:space="0" w:color="auto"/>
        <w:right w:val="none" w:sz="0" w:space="0" w:color="auto"/>
      </w:divBdr>
      <w:divsChild>
        <w:div w:id="72749397">
          <w:marLeft w:val="547"/>
          <w:marRight w:val="0"/>
          <w:marTop w:val="134"/>
          <w:marBottom w:val="0"/>
          <w:divBdr>
            <w:top w:val="none" w:sz="0" w:space="0" w:color="auto"/>
            <w:left w:val="none" w:sz="0" w:space="0" w:color="auto"/>
            <w:bottom w:val="none" w:sz="0" w:space="0" w:color="auto"/>
            <w:right w:val="none" w:sz="0" w:space="0" w:color="auto"/>
          </w:divBdr>
        </w:div>
      </w:divsChild>
    </w:div>
    <w:div w:id="1785420979">
      <w:bodyDiv w:val="1"/>
      <w:marLeft w:val="0"/>
      <w:marRight w:val="0"/>
      <w:marTop w:val="0"/>
      <w:marBottom w:val="0"/>
      <w:divBdr>
        <w:top w:val="none" w:sz="0" w:space="0" w:color="auto"/>
        <w:left w:val="none" w:sz="0" w:space="0" w:color="auto"/>
        <w:bottom w:val="none" w:sz="0" w:space="0" w:color="auto"/>
        <w:right w:val="none" w:sz="0" w:space="0" w:color="auto"/>
      </w:divBdr>
      <w:divsChild>
        <w:div w:id="1885487208">
          <w:marLeft w:val="547"/>
          <w:marRight w:val="0"/>
          <w:marTop w:val="0"/>
          <w:marBottom w:val="0"/>
          <w:divBdr>
            <w:top w:val="none" w:sz="0" w:space="0" w:color="auto"/>
            <w:left w:val="none" w:sz="0" w:space="0" w:color="auto"/>
            <w:bottom w:val="none" w:sz="0" w:space="0" w:color="auto"/>
            <w:right w:val="none" w:sz="0" w:space="0" w:color="auto"/>
          </w:divBdr>
        </w:div>
      </w:divsChild>
    </w:div>
    <w:div w:id="1804811335">
      <w:bodyDiv w:val="1"/>
      <w:marLeft w:val="0"/>
      <w:marRight w:val="0"/>
      <w:marTop w:val="0"/>
      <w:marBottom w:val="0"/>
      <w:divBdr>
        <w:top w:val="none" w:sz="0" w:space="0" w:color="auto"/>
        <w:left w:val="none" w:sz="0" w:space="0" w:color="auto"/>
        <w:bottom w:val="none" w:sz="0" w:space="0" w:color="auto"/>
        <w:right w:val="none" w:sz="0" w:space="0" w:color="auto"/>
      </w:divBdr>
    </w:div>
    <w:div w:id="1806854375">
      <w:bodyDiv w:val="1"/>
      <w:marLeft w:val="0"/>
      <w:marRight w:val="0"/>
      <w:marTop w:val="0"/>
      <w:marBottom w:val="0"/>
      <w:divBdr>
        <w:top w:val="none" w:sz="0" w:space="0" w:color="auto"/>
        <w:left w:val="none" w:sz="0" w:space="0" w:color="auto"/>
        <w:bottom w:val="none" w:sz="0" w:space="0" w:color="auto"/>
        <w:right w:val="none" w:sz="0" w:space="0" w:color="auto"/>
      </w:divBdr>
    </w:div>
    <w:div w:id="1832596970">
      <w:bodyDiv w:val="1"/>
      <w:marLeft w:val="0"/>
      <w:marRight w:val="0"/>
      <w:marTop w:val="0"/>
      <w:marBottom w:val="0"/>
      <w:divBdr>
        <w:top w:val="none" w:sz="0" w:space="0" w:color="auto"/>
        <w:left w:val="none" w:sz="0" w:space="0" w:color="auto"/>
        <w:bottom w:val="none" w:sz="0" w:space="0" w:color="auto"/>
        <w:right w:val="none" w:sz="0" w:space="0" w:color="auto"/>
      </w:divBdr>
    </w:div>
    <w:div w:id="1850638094">
      <w:bodyDiv w:val="1"/>
      <w:marLeft w:val="0"/>
      <w:marRight w:val="0"/>
      <w:marTop w:val="0"/>
      <w:marBottom w:val="0"/>
      <w:divBdr>
        <w:top w:val="none" w:sz="0" w:space="0" w:color="auto"/>
        <w:left w:val="none" w:sz="0" w:space="0" w:color="auto"/>
        <w:bottom w:val="none" w:sz="0" w:space="0" w:color="auto"/>
        <w:right w:val="none" w:sz="0" w:space="0" w:color="auto"/>
      </w:divBdr>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1917474951">
      <w:bodyDiv w:val="1"/>
      <w:marLeft w:val="0"/>
      <w:marRight w:val="0"/>
      <w:marTop w:val="0"/>
      <w:marBottom w:val="0"/>
      <w:divBdr>
        <w:top w:val="none" w:sz="0" w:space="0" w:color="auto"/>
        <w:left w:val="none" w:sz="0" w:space="0" w:color="auto"/>
        <w:bottom w:val="none" w:sz="0" w:space="0" w:color="auto"/>
        <w:right w:val="none" w:sz="0" w:space="0" w:color="auto"/>
      </w:divBdr>
    </w:div>
    <w:div w:id="1950119271">
      <w:bodyDiv w:val="1"/>
      <w:marLeft w:val="0"/>
      <w:marRight w:val="0"/>
      <w:marTop w:val="0"/>
      <w:marBottom w:val="0"/>
      <w:divBdr>
        <w:top w:val="none" w:sz="0" w:space="0" w:color="auto"/>
        <w:left w:val="none" w:sz="0" w:space="0" w:color="auto"/>
        <w:bottom w:val="none" w:sz="0" w:space="0" w:color="auto"/>
        <w:right w:val="none" w:sz="0" w:space="0" w:color="auto"/>
      </w:divBdr>
      <w:divsChild>
        <w:div w:id="237595405">
          <w:marLeft w:val="547"/>
          <w:marRight w:val="0"/>
          <w:marTop w:val="0"/>
          <w:marBottom w:val="0"/>
          <w:divBdr>
            <w:top w:val="none" w:sz="0" w:space="0" w:color="auto"/>
            <w:left w:val="none" w:sz="0" w:space="0" w:color="auto"/>
            <w:bottom w:val="none" w:sz="0" w:space="0" w:color="auto"/>
            <w:right w:val="none" w:sz="0" w:space="0" w:color="auto"/>
          </w:divBdr>
        </w:div>
      </w:divsChild>
    </w:div>
    <w:div w:id="1964266884">
      <w:bodyDiv w:val="1"/>
      <w:marLeft w:val="0"/>
      <w:marRight w:val="0"/>
      <w:marTop w:val="0"/>
      <w:marBottom w:val="0"/>
      <w:divBdr>
        <w:top w:val="none" w:sz="0" w:space="0" w:color="auto"/>
        <w:left w:val="none" w:sz="0" w:space="0" w:color="auto"/>
        <w:bottom w:val="none" w:sz="0" w:space="0" w:color="auto"/>
        <w:right w:val="none" w:sz="0" w:space="0" w:color="auto"/>
      </w:divBdr>
      <w:divsChild>
        <w:div w:id="719741757">
          <w:marLeft w:val="547"/>
          <w:marRight w:val="0"/>
          <w:marTop w:val="67"/>
          <w:marBottom w:val="0"/>
          <w:divBdr>
            <w:top w:val="none" w:sz="0" w:space="0" w:color="auto"/>
            <w:left w:val="none" w:sz="0" w:space="0" w:color="auto"/>
            <w:bottom w:val="none" w:sz="0" w:space="0" w:color="auto"/>
            <w:right w:val="none" w:sz="0" w:space="0" w:color="auto"/>
          </w:divBdr>
        </w:div>
        <w:div w:id="688871085">
          <w:marLeft w:val="1354"/>
          <w:marRight w:val="0"/>
          <w:marTop w:val="260"/>
          <w:marBottom w:val="0"/>
          <w:divBdr>
            <w:top w:val="none" w:sz="0" w:space="0" w:color="auto"/>
            <w:left w:val="none" w:sz="0" w:space="0" w:color="auto"/>
            <w:bottom w:val="none" w:sz="0" w:space="0" w:color="auto"/>
            <w:right w:val="none" w:sz="0" w:space="0" w:color="auto"/>
          </w:divBdr>
        </w:div>
        <w:div w:id="486358934">
          <w:marLeft w:val="2074"/>
          <w:marRight w:val="0"/>
          <w:marTop w:val="260"/>
          <w:marBottom w:val="0"/>
          <w:divBdr>
            <w:top w:val="none" w:sz="0" w:space="0" w:color="auto"/>
            <w:left w:val="none" w:sz="0" w:space="0" w:color="auto"/>
            <w:bottom w:val="none" w:sz="0" w:space="0" w:color="auto"/>
            <w:right w:val="none" w:sz="0" w:space="0" w:color="auto"/>
          </w:divBdr>
        </w:div>
      </w:divsChild>
    </w:div>
    <w:div w:id="1965698466">
      <w:bodyDiv w:val="1"/>
      <w:marLeft w:val="0"/>
      <w:marRight w:val="0"/>
      <w:marTop w:val="0"/>
      <w:marBottom w:val="0"/>
      <w:divBdr>
        <w:top w:val="none" w:sz="0" w:space="0" w:color="auto"/>
        <w:left w:val="none" w:sz="0" w:space="0" w:color="auto"/>
        <w:bottom w:val="none" w:sz="0" w:space="0" w:color="auto"/>
        <w:right w:val="none" w:sz="0" w:space="0" w:color="auto"/>
      </w:divBdr>
    </w:div>
    <w:div w:id="209624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2043</TotalTime>
  <Pages>3</Pages>
  <Words>783</Words>
  <Characters>4464</Characters>
  <Application>Microsoft Office Word</Application>
  <DocSecurity>0</DocSecurity>
  <Lines>37</Lines>
  <Paragraphs>10</Paragraphs>
  <ScaleCrop>false</ScaleCrop>
  <Company/>
  <LinksUpToDate>false</LinksUpToDate>
  <CharactersWithSpaces>5237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91</cp:revision>
  <dcterms:created xsi:type="dcterms:W3CDTF">2021-03-25T05:51:00Z</dcterms:created>
  <dcterms:modified xsi:type="dcterms:W3CDTF">2022-01-08T14:53:00Z</dcterms:modified>
</cp:coreProperties>
</file>