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3FDBB802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5745BA">
        <w:rPr>
          <w:lang w:val="en-US"/>
        </w:rPr>
        <w:t>#9</w:t>
      </w:r>
      <w:r w:rsidR="00167C94">
        <w:rPr>
          <w:lang w:val="en-US"/>
        </w:rPr>
        <w:t>6</w:t>
      </w:r>
      <w:r w:rsidR="003655FA">
        <w:rPr>
          <w:lang w:val="en-US"/>
        </w:rPr>
        <w:tab/>
      </w:r>
      <w:bookmarkStart w:id="0" w:name="_GoBack"/>
      <w:bookmarkEnd w:id="0"/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-17</w:t>
      </w:r>
      <w:r w:rsidR="001D0CEA">
        <w:rPr>
          <w:lang w:val="en-US"/>
        </w:rPr>
        <w:t>1</w:t>
      </w:r>
      <w:r w:rsidR="003655FA">
        <w:rPr>
          <w:lang w:val="en-US"/>
        </w:rPr>
        <w:t>915</w:t>
      </w:r>
    </w:p>
    <w:p w14:paraId="34D94E32" w14:textId="77B6356C" w:rsidR="00067548" w:rsidRDefault="00167C94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Hangzhou</w:t>
      </w:r>
      <w:r w:rsidR="001433E3">
        <w:rPr>
          <w:lang w:val="en-US"/>
        </w:rPr>
        <w:t xml:space="preserve">, </w:t>
      </w:r>
      <w:r>
        <w:rPr>
          <w:lang w:val="en-US"/>
        </w:rPr>
        <w:t>China</w:t>
      </w:r>
      <w:r w:rsidR="001433E3">
        <w:rPr>
          <w:lang w:val="en-US"/>
        </w:rPr>
        <w:t xml:space="preserve">, </w:t>
      </w:r>
      <w:r w:rsidR="00D17E6E">
        <w:rPr>
          <w:lang w:val="en-US"/>
        </w:rPr>
        <w:t>15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 w:rsidR="00D17E6E">
        <w:rPr>
          <w:lang w:val="en-US"/>
        </w:rPr>
        <w:t>19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 w:rsidR="00D17E6E">
        <w:rPr>
          <w:lang w:val="en-US"/>
        </w:rPr>
        <w:t>May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0031FACA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8F7FB5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AD3F3B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8F7FB5" w:rsidRPr="008F7FB5">
        <w:rPr>
          <w:sz w:val="22"/>
          <w:szCs w:val="22"/>
          <w:lang w:val="en-US"/>
        </w:rPr>
        <w:t>1</w:t>
      </w:r>
    </w:p>
    <w:p w14:paraId="5DAA27F0" w14:textId="7869FA92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1410A7">
        <w:rPr>
          <w:sz w:val="22"/>
          <w:szCs w:val="22"/>
        </w:rPr>
        <w:t>,</w:t>
      </w:r>
      <w:r w:rsidR="004E6CBB">
        <w:rPr>
          <w:sz w:val="22"/>
          <w:szCs w:val="22"/>
        </w:rPr>
        <w:t xml:space="preserve"> AT&amp;T,</w:t>
      </w:r>
      <w:r w:rsidR="001410A7">
        <w:rPr>
          <w:sz w:val="22"/>
          <w:szCs w:val="22"/>
        </w:rPr>
        <w:t xml:space="preserve"> </w:t>
      </w:r>
      <w:r w:rsidR="00A94664" w:rsidRPr="00A94664">
        <w:rPr>
          <w:sz w:val="22"/>
          <w:szCs w:val="22"/>
        </w:rPr>
        <w:t>Vodafone</w:t>
      </w:r>
      <w:r w:rsidR="007849A3">
        <w:rPr>
          <w:sz w:val="22"/>
          <w:szCs w:val="22"/>
        </w:rPr>
        <w:t>, SK Telecom</w:t>
      </w:r>
    </w:p>
    <w:p w14:paraId="63CB047E" w14:textId="1E067E99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6B6D28">
        <w:rPr>
          <w:sz w:val="22"/>
          <w:szCs w:val="22"/>
        </w:rPr>
        <w:t>S</w:t>
      </w:r>
      <w:r w:rsidR="006F127F">
        <w:rPr>
          <w:sz w:val="22"/>
          <w:szCs w:val="22"/>
        </w:rPr>
        <w:t xml:space="preserve">eparation </w:t>
      </w:r>
      <w:r w:rsidR="006B6D28">
        <w:rPr>
          <w:sz w:val="22"/>
          <w:szCs w:val="22"/>
        </w:rPr>
        <w:t>of CP and UP</w:t>
      </w:r>
    </w:p>
    <w:p w14:paraId="7E783B99" w14:textId="77777777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  <w:t>Discussion, Decision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3FA4A10C" w14:textId="67B2DF19" w:rsidR="00B00123" w:rsidRDefault="006F127F" w:rsidP="009A3844">
      <w:r>
        <w:t>In</w:t>
      </w:r>
      <w:r w:rsidR="00713887">
        <w:t xml:space="preserve"> the previous meeting, RAN3 has decided to select split option 2 </w:t>
      </w:r>
      <w:r w:rsidR="00713887" w:rsidRPr="006F127F">
        <w:t>(based on centralised R</w:t>
      </w:r>
      <w:r w:rsidR="00713887">
        <w:t>R</w:t>
      </w:r>
      <w:r w:rsidR="00713887" w:rsidRPr="006F127F">
        <w:t>C</w:t>
      </w:r>
      <w:r w:rsidR="00713887">
        <w:t>/</w:t>
      </w:r>
      <w:r w:rsidR="00713887" w:rsidRPr="006F127F">
        <w:t>PDCP and distributed RLC/MAC/PHY) for normative work in Release 15</w:t>
      </w:r>
      <w:r w:rsidR="00713887">
        <w:t xml:space="preserve">. </w:t>
      </w:r>
      <w:r>
        <w:t>RAN3</w:t>
      </w:r>
      <w:r w:rsidR="00713887">
        <w:t xml:space="preserve"> has also started working on the definition of a new open interface between CU and DU for split option 2, namely F1 interface. The following agreement</w:t>
      </w:r>
      <w:r w:rsidR="00E3566D">
        <w:t>s</w:t>
      </w:r>
      <w:r w:rsidR="00713887">
        <w:t xml:space="preserve"> </w:t>
      </w:r>
      <w:r w:rsidR="00E3566D">
        <w:t xml:space="preserve">related to the F1 interface were </w:t>
      </w:r>
      <w:r w:rsidR="00713887">
        <w:t xml:space="preserve">achieved: </w:t>
      </w:r>
    </w:p>
    <w:p w14:paraId="4A2CF104" w14:textId="77777777" w:rsidR="006F127F" w:rsidRPr="001E7EC3" w:rsidRDefault="006F127F" w:rsidP="006F1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60"/>
        <w:ind w:left="1622" w:hanging="363"/>
        <w:textAlignment w:val="auto"/>
        <w:rPr>
          <w:rFonts w:eastAsia="MS Mincho"/>
          <w:szCs w:val="24"/>
          <w:lang w:eastAsia="en-GB"/>
        </w:rPr>
      </w:pPr>
      <w:r w:rsidRPr="001E7EC3">
        <w:rPr>
          <w:rFonts w:eastAsia="MS Mincho"/>
          <w:szCs w:val="24"/>
          <w:lang w:eastAsia="en-GB"/>
        </w:rPr>
        <w:t>Agreements:</w:t>
      </w:r>
    </w:p>
    <w:p w14:paraId="125C1369" w14:textId="77777777" w:rsidR="00E502A5" w:rsidRPr="00E3566D" w:rsidRDefault="007B75C8" w:rsidP="00E3566D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lang w:val="en-US"/>
        </w:rPr>
      </w:pPr>
      <w:r w:rsidRPr="00E3566D">
        <w:rPr>
          <w:lang w:val="en-US"/>
        </w:rPr>
        <w:t>The new interface is made of F1-CP and F1-UP interfaces with associated procedures</w:t>
      </w:r>
    </w:p>
    <w:p w14:paraId="5DCFC330" w14:textId="6DEF22B1" w:rsidR="00E3566D" w:rsidRDefault="006F127F" w:rsidP="00E3566D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>
        <w:tab/>
      </w:r>
      <w:r w:rsidR="00E3566D" w:rsidRPr="00E3566D">
        <w:t>Internal structure of the gNB is not visible to the CN and to other RAN nodes (and the UE and FMC and the WLAN)</w:t>
      </w:r>
    </w:p>
    <w:p w14:paraId="028B691F" w14:textId="41326DC6" w:rsidR="006F127F" w:rsidRDefault="006F127F" w:rsidP="006F127F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 w:rsidRPr="006F127F">
        <w:t>The standard should not prevent to separate CP and UP</w:t>
      </w:r>
    </w:p>
    <w:p w14:paraId="46AA20CB" w14:textId="0EE7A48F" w:rsidR="00E3566D" w:rsidRPr="00B0790E" w:rsidRDefault="00E3566D" w:rsidP="00E3566D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 w:rsidRPr="00E3566D">
        <w:t>Termination point of the interface NG, X2, Xn and S1-U are the gNB</w:t>
      </w:r>
    </w:p>
    <w:p w14:paraId="7A2D3450" w14:textId="730F284E" w:rsidR="00E3566D" w:rsidRDefault="00E3566D" w:rsidP="00ED543E">
      <w:r>
        <w:t>Based on the agreements above, in this paper</w:t>
      </w:r>
      <w:r w:rsidR="00ED543E">
        <w:t xml:space="preserve"> we analyse different possible </w:t>
      </w:r>
      <w:r>
        <w:t xml:space="preserve">5G </w:t>
      </w:r>
      <w:r w:rsidR="00ED543E">
        <w:t>deployments</w:t>
      </w:r>
      <w:r>
        <w:t xml:space="preserve">. </w:t>
      </w:r>
      <w:r w:rsidR="00DA79E6">
        <w:t>We observe that there are two 5G deployment options: (1) collapsed gNB deployment and (2) disaggregated gNB deployment. For the disaggregated gNB deployment, w</w:t>
      </w:r>
      <w:r>
        <w:t xml:space="preserve">e discuss the benefits of the separation of CU-CP and CU-UP. We </w:t>
      </w:r>
      <w:r w:rsidR="00C34105">
        <w:t>observe</w:t>
      </w:r>
      <w:r>
        <w:t xml:space="preserve"> that for having a fully interoperable</w:t>
      </w:r>
      <w:r w:rsidR="00DA79E6">
        <w:t xml:space="preserve"> disaggregated </w:t>
      </w:r>
      <w:r>
        <w:t xml:space="preserve">gNB deployment a new control interface between CU-CP and CU-UP shall be specified in RAN3. We refer to this new interface as E1. </w:t>
      </w:r>
    </w:p>
    <w:p w14:paraId="36CEC7B2" w14:textId="4F90B247" w:rsidR="001643A8" w:rsidRDefault="001A2BDA" w:rsidP="009A3844">
      <w:pPr>
        <w:pStyle w:val="Heading1"/>
        <w:jc w:val="both"/>
      </w:pPr>
      <w:r>
        <w:t>Discussion</w:t>
      </w:r>
    </w:p>
    <w:p w14:paraId="52D7ACD3" w14:textId="77777777" w:rsidR="001A2BDA" w:rsidRDefault="00C34105" w:rsidP="001A2BDA">
      <w:pPr>
        <w:overflowPunct/>
        <w:textAlignment w:val="auto"/>
        <w:rPr>
          <w:rFonts w:cs="Arial"/>
          <w:color w:val="231F20"/>
          <w:lang w:val="en-US"/>
        </w:rPr>
      </w:pPr>
      <w:r>
        <w:rPr>
          <w:rFonts w:cs="Arial"/>
          <w:color w:val="231F20"/>
          <w:lang w:val="en-US"/>
        </w:rPr>
        <w:t>Based on the latest agreements in RAN3, we observe that there are two 5G network deployment options</w:t>
      </w:r>
      <w:r w:rsidR="00A83A1A">
        <w:rPr>
          <w:rFonts w:cs="Arial"/>
          <w:color w:val="231F20"/>
          <w:lang w:val="en-US"/>
        </w:rPr>
        <w:t>, as described in the following.</w:t>
      </w:r>
    </w:p>
    <w:p w14:paraId="60C7C367" w14:textId="03235C35" w:rsidR="00940B89" w:rsidRPr="001A2BDA" w:rsidRDefault="00C34105" w:rsidP="001A2BDA">
      <w:pPr>
        <w:pStyle w:val="ListParagraph"/>
        <w:numPr>
          <w:ilvl w:val="0"/>
          <w:numId w:val="31"/>
        </w:numPr>
        <w:overflowPunct/>
        <w:ind w:hanging="357"/>
        <w:contextualSpacing w:val="0"/>
        <w:textAlignment w:val="auto"/>
        <w:rPr>
          <w:rFonts w:cs="Arial"/>
          <w:color w:val="231F20"/>
          <w:lang w:val="en-US"/>
        </w:rPr>
      </w:pPr>
      <w:r w:rsidRPr="001A2BDA">
        <w:rPr>
          <w:rFonts w:cs="Arial"/>
          <w:b/>
          <w:color w:val="231F20"/>
          <w:lang w:val="en-US"/>
        </w:rPr>
        <w:t>Collapsed gNB deployment</w:t>
      </w:r>
      <w:r w:rsidRPr="001A2BDA">
        <w:rPr>
          <w:rFonts w:cs="Arial"/>
          <w:color w:val="231F20"/>
          <w:lang w:val="en-US"/>
        </w:rPr>
        <w:t xml:space="preserve"> (Fig. 1</w:t>
      </w:r>
      <w:r w:rsidR="00F92BEE" w:rsidRPr="001A2BDA">
        <w:rPr>
          <w:rFonts w:cs="Arial"/>
          <w:color w:val="231F20"/>
          <w:lang w:val="en-US"/>
        </w:rPr>
        <w:t>a</w:t>
      </w:r>
      <w:r w:rsidRPr="001A2BDA">
        <w:rPr>
          <w:rFonts w:cs="Arial"/>
          <w:color w:val="231F20"/>
          <w:lang w:val="en-US"/>
        </w:rPr>
        <w:t xml:space="preserve">): in this deployment </w:t>
      </w:r>
      <w:r w:rsidR="00A83A1A" w:rsidRPr="001A2BDA">
        <w:rPr>
          <w:rFonts w:cs="Arial"/>
          <w:color w:val="231F20"/>
          <w:lang w:val="en-US"/>
        </w:rPr>
        <w:t xml:space="preserve">all the </w:t>
      </w:r>
      <w:r w:rsidRPr="001A2BDA">
        <w:rPr>
          <w:rFonts w:cs="Arial"/>
          <w:color w:val="231F20"/>
          <w:lang w:val="en-US"/>
        </w:rPr>
        <w:t>RAN protocols</w:t>
      </w:r>
      <w:r w:rsidR="00A83A1A" w:rsidRPr="001A2BDA">
        <w:rPr>
          <w:rFonts w:cs="Arial"/>
          <w:color w:val="231F20"/>
          <w:lang w:val="en-US"/>
        </w:rPr>
        <w:t xml:space="preserve"> and functions</w:t>
      </w:r>
      <w:r w:rsidRPr="001A2BDA">
        <w:rPr>
          <w:rFonts w:cs="Arial"/>
          <w:color w:val="231F20"/>
          <w:lang w:val="en-US"/>
        </w:rPr>
        <w:t xml:space="preserve"> are located within the same </w:t>
      </w:r>
      <w:r w:rsidR="0030016B">
        <w:rPr>
          <w:rFonts w:cs="Arial"/>
          <w:color w:val="231F20"/>
          <w:lang w:val="en-US"/>
        </w:rPr>
        <w:t>site</w:t>
      </w:r>
      <w:r w:rsidRPr="001A2BDA">
        <w:rPr>
          <w:rFonts w:cs="Arial"/>
          <w:color w:val="231F20"/>
          <w:lang w:val="en-US"/>
        </w:rPr>
        <w:t>.</w:t>
      </w:r>
      <w:r w:rsidR="00A83A1A" w:rsidRPr="001A2BDA">
        <w:rPr>
          <w:rFonts w:cs="Arial"/>
          <w:color w:val="231F20"/>
          <w:lang w:val="en-US"/>
        </w:rPr>
        <w:t xml:space="preserve"> This deployment option corresponds to the one that is currently used in LTE.</w:t>
      </w:r>
      <w:r w:rsidR="00940B89" w:rsidRPr="001A2BDA">
        <w:rPr>
          <w:rFonts w:cs="Arial"/>
          <w:color w:val="231F20"/>
          <w:lang w:val="en-US"/>
        </w:rPr>
        <w:t xml:space="preserve"> </w:t>
      </w:r>
      <w:r w:rsidR="0018048A">
        <w:rPr>
          <w:noProof/>
        </w:rPr>
        <w:t>As this deployment scenario is similar to the LTE architecture, it ensures maximum backwards compatibility with existing deployments.</w:t>
      </w:r>
      <w:r w:rsidR="0018048A" w:rsidRPr="001A2BDA">
        <w:rPr>
          <w:rFonts w:cs="Arial"/>
          <w:color w:val="231F20"/>
          <w:lang w:val="en-US"/>
        </w:rPr>
        <w:t xml:space="preserve"> </w:t>
      </w:r>
    </w:p>
    <w:p w14:paraId="20912333" w14:textId="41925610" w:rsidR="00AE2887" w:rsidRDefault="00940B89" w:rsidP="00577F57">
      <w:pPr>
        <w:pStyle w:val="ListParagraph"/>
        <w:numPr>
          <w:ilvl w:val="0"/>
          <w:numId w:val="31"/>
        </w:numPr>
        <w:overflowPunct/>
        <w:spacing w:after="0"/>
        <w:textAlignment w:val="auto"/>
        <w:rPr>
          <w:rFonts w:cs="Arial"/>
          <w:color w:val="231F20"/>
          <w:lang w:val="en-US"/>
        </w:rPr>
      </w:pPr>
      <w:r w:rsidRPr="007B63E6">
        <w:rPr>
          <w:rFonts w:cs="Arial"/>
          <w:b/>
          <w:color w:val="231F20"/>
          <w:lang w:val="en-US"/>
        </w:rPr>
        <w:t>Disaggregate</w:t>
      </w:r>
      <w:r w:rsidR="00084222" w:rsidRPr="007B63E6">
        <w:rPr>
          <w:rFonts w:cs="Arial"/>
          <w:b/>
          <w:color w:val="231F20"/>
          <w:lang w:val="en-US"/>
        </w:rPr>
        <w:t>d</w:t>
      </w:r>
      <w:r w:rsidRPr="007B63E6">
        <w:rPr>
          <w:rFonts w:cs="Arial"/>
          <w:b/>
          <w:color w:val="231F20"/>
          <w:lang w:val="en-US"/>
        </w:rPr>
        <w:t xml:space="preserve"> gNB deployment</w:t>
      </w:r>
      <w:r w:rsidRPr="007B63E6">
        <w:rPr>
          <w:rFonts w:cs="Arial"/>
          <w:color w:val="231F20"/>
          <w:lang w:val="en-US"/>
        </w:rPr>
        <w:t xml:space="preserve"> (Fig. </w:t>
      </w:r>
      <w:r w:rsidR="00F92BEE" w:rsidRPr="007B63E6">
        <w:rPr>
          <w:rFonts w:cs="Arial"/>
          <w:color w:val="231F20"/>
          <w:lang w:val="en-US"/>
        </w:rPr>
        <w:t>1b</w:t>
      </w:r>
      <w:r w:rsidRPr="007B63E6">
        <w:rPr>
          <w:rFonts w:cs="Arial"/>
          <w:color w:val="231F20"/>
          <w:lang w:val="en-US"/>
        </w:rPr>
        <w:t>)</w:t>
      </w:r>
      <w:r w:rsidR="00166B56" w:rsidRPr="007B63E6">
        <w:rPr>
          <w:rFonts w:cs="Arial"/>
          <w:color w:val="231F20"/>
          <w:lang w:val="en-US"/>
        </w:rPr>
        <w:t>:</w:t>
      </w:r>
      <w:r w:rsidR="00363BE2" w:rsidRPr="007B63E6">
        <w:rPr>
          <w:rFonts w:cs="Arial"/>
          <w:color w:val="231F20"/>
          <w:lang w:val="en-US"/>
        </w:rPr>
        <w:t xml:space="preserve"> in this deployment the RAN protocols and functions are</w:t>
      </w:r>
      <w:r w:rsidR="00084222" w:rsidRPr="007B63E6">
        <w:rPr>
          <w:rFonts w:cs="Arial"/>
          <w:color w:val="231F20"/>
          <w:lang w:val="en-US"/>
        </w:rPr>
        <w:t xml:space="preserve"> distributed over different physical </w:t>
      </w:r>
      <w:r w:rsidR="00F92BEE" w:rsidRPr="007B63E6">
        <w:rPr>
          <w:rFonts w:cs="Arial"/>
          <w:color w:val="231F20"/>
          <w:lang w:val="en-US"/>
        </w:rPr>
        <w:t xml:space="preserve">nodes, namely DU and CU. RAN3 has agreed that the standard should not prevent the separation of CP and UP, which means that the CU can be further divided into </w:t>
      </w:r>
      <w:r w:rsidR="00084222" w:rsidRPr="007B63E6">
        <w:rPr>
          <w:rFonts w:cs="Arial"/>
          <w:color w:val="231F20"/>
          <w:lang w:val="en-US"/>
        </w:rPr>
        <w:t>CU-CP and CU-UP. The DU hosts the RLC/MAC/PHY protocols, the CU-CP hosts the PDCP-C</w:t>
      </w:r>
      <w:r w:rsidR="00970E21" w:rsidRPr="007B63E6">
        <w:rPr>
          <w:rFonts w:cs="Arial"/>
          <w:color w:val="231F20"/>
          <w:lang w:val="en-US"/>
        </w:rPr>
        <w:t>/RRC</w:t>
      </w:r>
      <w:r w:rsidR="00084222" w:rsidRPr="007B63E6">
        <w:rPr>
          <w:rFonts w:cs="Arial"/>
          <w:color w:val="231F20"/>
          <w:lang w:val="en-US"/>
        </w:rPr>
        <w:t xml:space="preserve"> protocols and the CU-UP hosts the PDCP-U </w:t>
      </w:r>
      <w:r w:rsidR="0028192F" w:rsidRPr="007B63E6">
        <w:rPr>
          <w:rFonts w:cs="Arial"/>
          <w:color w:val="231F20"/>
          <w:lang w:val="en-US"/>
        </w:rPr>
        <w:t xml:space="preserve">(and SDAP) </w:t>
      </w:r>
      <w:r w:rsidR="00084222" w:rsidRPr="007B63E6">
        <w:rPr>
          <w:rFonts w:cs="Arial"/>
          <w:color w:val="231F20"/>
          <w:lang w:val="en-US"/>
        </w:rPr>
        <w:t>protocol</w:t>
      </w:r>
      <w:r w:rsidR="00F92BEE" w:rsidRPr="007B63E6">
        <w:rPr>
          <w:rFonts w:cs="Arial"/>
          <w:color w:val="231F20"/>
          <w:lang w:val="en-US"/>
        </w:rPr>
        <w:t>s</w:t>
      </w:r>
      <w:r w:rsidR="00084222" w:rsidRPr="007B63E6">
        <w:rPr>
          <w:rFonts w:cs="Arial"/>
          <w:color w:val="231F20"/>
          <w:lang w:val="en-US"/>
        </w:rPr>
        <w:t>.</w:t>
      </w:r>
      <w:r w:rsidR="00F92BEE" w:rsidRPr="007B63E6">
        <w:rPr>
          <w:rFonts w:cs="Arial"/>
          <w:color w:val="231F20"/>
          <w:lang w:val="en-US"/>
        </w:rPr>
        <w:t xml:space="preserve"> This </w:t>
      </w:r>
      <w:r w:rsidR="00AE2887" w:rsidRPr="007B63E6">
        <w:rPr>
          <w:rFonts w:cs="Arial"/>
          <w:color w:val="231F20"/>
          <w:lang w:val="en-US"/>
        </w:rPr>
        <w:t xml:space="preserve">deployment provides the </w:t>
      </w:r>
      <w:r w:rsidR="00416CAC" w:rsidRPr="007B63E6">
        <w:rPr>
          <w:rFonts w:cs="Arial"/>
          <w:color w:val="231F20"/>
          <w:lang w:val="en-US"/>
        </w:rPr>
        <w:t>possibility</w:t>
      </w:r>
      <w:r w:rsidR="00AE2887" w:rsidRPr="007B63E6">
        <w:rPr>
          <w:rFonts w:cs="Arial"/>
          <w:color w:val="231F20"/>
          <w:lang w:val="en-US"/>
        </w:rPr>
        <w:t xml:space="preserve"> of optimizing the location of different RAN functions based on the scenario and desired performance. For example,</w:t>
      </w:r>
      <w:r w:rsidR="00416CAC" w:rsidRPr="007B63E6">
        <w:rPr>
          <w:rFonts w:cs="Arial"/>
          <w:color w:val="231F20"/>
          <w:lang w:val="en-US"/>
        </w:rPr>
        <w:t xml:space="preserve"> the CU-CP </w:t>
      </w:r>
      <w:r w:rsidR="00F15BB8" w:rsidRPr="007B63E6">
        <w:rPr>
          <w:rFonts w:cs="Arial"/>
          <w:color w:val="231F20"/>
          <w:lang w:val="en-US"/>
        </w:rPr>
        <w:t>could</w:t>
      </w:r>
      <w:r w:rsidR="00416CAC" w:rsidRPr="007B63E6">
        <w:rPr>
          <w:rFonts w:cs="Arial"/>
          <w:color w:val="231F20"/>
          <w:lang w:val="en-US"/>
        </w:rPr>
        <w:t xml:space="preserve"> be</w:t>
      </w:r>
      <w:r w:rsidR="00F15BB8" w:rsidRPr="007B63E6">
        <w:rPr>
          <w:rFonts w:cs="Arial"/>
          <w:color w:val="231F20"/>
          <w:lang w:val="en-US"/>
        </w:rPr>
        <w:t xml:space="preserve"> placed</w:t>
      </w:r>
      <w:r w:rsidR="00416CAC" w:rsidRPr="007B63E6">
        <w:rPr>
          <w:rFonts w:cs="Arial"/>
          <w:color w:val="231F20"/>
          <w:lang w:val="en-US"/>
        </w:rPr>
        <w:t xml:space="preserve"> in a </w:t>
      </w:r>
      <w:r w:rsidR="00157902">
        <w:rPr>
          <w:rFonts w:cs="Arial"/>
          <w:color w:val="231F20"/>
          <w:lang w:val="en-US"/>
        </w:rPr>
        <w:t>location</w:t>
      </w:r>
      <w:r w:rsidR="00416CAC" w:rsidRPr="007B63E6">
        <w:rPr>
          <w:rFonts w:cs="Arial"/>
          <w:color w:val="231F20"/>
          <w:lang w:val="en-US"/>
        </w:rPr>
        <w:t xml:space="preserve"> close to the DU</w:t>
      </w:r>
      <w:r w:rsidR="001A2BDA" w:rsidRPr="007B63E6">
        <w:rPr>
          <w:rFonts w:cs="Arial"/>
          <w:color w:val="231F20"/>
          <w:lang w:val="en-US"/>
        </w:rPr>
        <w:t>. It could also be co-located with the DU, thus providing short latency for the critical CP procedures</w:t>
      </w:r>
      <w:r w:rsidR="00E61BCF">
        <w:rPr>
          <w:rStyle w:val="FootnoteReference"/>
          <w:rFonts w:cs="Arial"/>
          <w:color w:val="231F20"/>
          <w:lang w:val="en-US"/>
        </w:rPr>
        <w:footnoteReference w:id="1"/>
      </w:r>
      <w:r w:rsidR="007965E2">
        <w:rPr>
          <w:rFonts w:cs="Arial"/>
          <w:color w:val="231F20"/>
          <w:lang w:val="en-US"/>
        </w:rPr>
        <w:t>, such as connection (re)establishment, handover, and state transition.</w:t>
      </w:r>
      <w:r w:rsidR="007B63E6" w:rsidRPr="007B63E6">
        <w:rPr>
          <w:rFonts w:cs="Arial"/>
          <w:color w:val="231F20"/>
          <w:lang w:val="en-US"/>
        </w:rPr>
        <w:t xml:space="preserve"> </w:t>
      </w:r>
      <w:r w:rsidR="00416CAC" w:rsidRPr="007B63E6">
        <w:rPr>
          <w:rFonts w:cs="Arial"/>
          <w:color w:val="231F20"/>
          <w:lang w:val="en-US"/>
        </w:rPr>
        <w:t>On the other</w:t>
      </w:r>
      <w:r w:rsidR="003F1E63" w:rsidRPr="007B63E6">
        <w:rPr>
          <w:rFonts w:cs="Arial"/>
          <w:color w:val="231F20"/>
          <w:lang w:val="en-US"/>
        </w:rPr>
        <w:t xml:space="preserve"> hand, </w:t>
      </w:r>
      <w:r w:rsidR="00416CAC" w:rsidRPr="007B63E6">
        <w:rPr>
          <w:rFonts w:cs="Arial"/>
          <w:color w:val="231F20"/>
          <w:lang w:val="en-US"/>
        </w:rPr>
        <w:t xml:space="preserve">the CU-UP could be centralized in a regional or national data center, thus favoring cloud </w:t>
      </w:r>
      <w:r w:rsidR="00F15BB8" w:rsidRPr="007B63E6">
        <w:rPr>
          <w:rFonts w:cs="Arial"/>
          <w:color w:val="231F20"/>
          <w:lang w:val="en-US"/>
        </w:rPr>
        <w:t xml:space="preserve">implementation, and providing </w:t>
      </w:r>
      <w:r w:rsidR="008E294D" w:rsidRPr="007B63E6">
        <w:rPr>
          <w:rFonts w:cs="Arial"/>
          <w:color w:val="231F20"/>
          <w:lang w:val="en-US"/>
        </w:rPr>
        <w:t xml:space="preserve">a </w:t>
      </w:r>
      <w:r w:rsidR="00F15BB8" w:rsidRPr="007B63E6">
        <w:rPr>
          <w:rFonts w:cs="Arial"/>
          <w:color w:val="231F20"/>
          <w:lang w:val="en-US"/>
        </w:rPr>
        <w:t>central</w:t>
      </w:r>
      <w:r w:rsidR="008E294D" w:rsidRPr="007B63E6">
        <w:rPr>
          <w:rFonts w:cs="Arial"/>
          <w:color w:val="231F20"/>
          <w:lang w:val="en-US"/>
        </w:rPr>
        <w:t xml:space="preserve"> termination </w:t>
      </w:r>
      <w:r w:rsidR="00F15BB8" w:rsidRPr="007B63E6">
        <w:rPr>
          <w:rFonts w:cs="Arial"/>
          <w:color w:val="231F20"/>
          <w:lang w:val="en-US"/>
        </w:rPr>
        <w:t>point for UP traffic</w:t>
      </w:r>
      <w:r w:rsidR="008E294D" w:rsidRPr="007B63E6">
        <w:rPr>
          <w:rFonts w:cs="Arial"/>
          <w:color w:val="231F20"/>
          <w:lang w:val="en-US"/>
        </w:rPr>
        <w:t xml:space="preserve"> in </w:t>
      </w:r>
      <w:r w:rsidR="008E294D" w:rsidRPr="007B63E6">
        <w:rPr>
          <w:rFonts w:cs="Arial"/>
          <w:color w:val="231F20"/>
          <w:lang w:val="en-US"/>
        </w:rPr>
        <w:lastRenderedPageBreak/>
        <w:t>dual-connectivity and tight-interworking scenarios</w:t>
      </w:r>
      <w:r w:rsidR="003F1E63" w:rsidRPr="007B63E6">
        <w:rPr>
          <w:rFonts w:cs="Arial"/>
          <w:color w:val="231F20"/>
          <w:lang w:val="en-US"/>
        </w:rPr>
        <w:t xml:space="preserve"> [1].</w:t>
      </w:r>
      <w:r w:rsidR="004D3B7A">
        <w:rPr>
          <w:rFonts w:cs="Arial"/>
          <w:color w:val="231F20"/>
          <w:lang w:val="en-US"/>
        </w:rPr>
        <w:t xml:space="preserve"> An additional CU-UP could be also placed closer (or co-located) with the DU to provide a local termination point for the UP traffic for application</w:t>
      </w:r>
      <w:r w:rsidR="00545A94">
        <w:rPr>
          <w:rFonts w:cs="Arial"/>
          <w:color w:val="231F20"/>
          <w:lang w:val="en-US"/>
        </w:rPr>
        <w:t>s</w:t>
      </w:r>
      <w:r w:rsidR="004D3B7A">
        <w:rPr>
          <w:rFonts w:cs="Arial"/>
          <w:color w:val="231F20"/>
          <w:lang w:val="en-US"/>
        </w:rPr>
        <w:t xml:space="preserve"> that require very low latency, e.g., for URLLC traffic. This implies that there </w:t>
      </w:r>
      <w:r w:rsidR="00545A94">
        <w:rPr>
          <w:rFonts w:cs="Arial"/>
          <w:color w:val="231F20"/>
          <w:lang w:val="en-US"/>
        </w:rPr>
        <w:t>should</w:t>
      </w:r>
      <w:r w:rsidR="004D3B7A">
        <w:rPr>
          <w:rFonts w:cs="Arial"/>
          <w:color w:val="231F20"/>
          <w:lang w:val="en-US"/>
        </w:rPr>
        <w:t xml:space="preserve"> be a many-to-many relation between DU and CU-UP within a disaggregated gNB</w:t>
      </w:r>
      <w:r w:rsidR="00545A94">
        <w:rPr>
          <w:rFonts w:cs="Arial"/>
          <w:color w:val="231F20"/>
          <w:lang w:val="en-US"/>
        </w:rPr>
        <w:t>. This would allow</w:t>
      </w:r>
      <w:r w:rsidR="004D3B7A">
        <w:rPr>
          <w:rFonts w:cs="Arial"/>
          <w:color w:val="231F20"/>
          <w:lang w:val="en-US"/>
        </w:rPr>
        <w:t xml:space="preserve"> to take maximum advantage of the </w:t>
      </w:r>
      <w:r w:rsidR="00545A94">
        <w:rPr>
          <w:rFonts w:cs="Arial"/>
          <w:color w:val="231F20"/>
          <w:lang w:val="en-US"/>
        </w:rPr>
        <w:t>CU-</w:t>
      </w:r>
      <w:r w:rsidR="004D3B7A">
        <w:rPr>
          <w:rFonts w:cs="Arial"/>
          <w:color w:val="231F20"/>
          <w:lang w:val="en-US"/>
        </w:rPr>
        <w:t xml:space="preserve">CP and </w:t>
      </w:r>
      <w:r w:rsidR="00545A94">
        <w:rPr>
          <w:rFonts w:cs="Arial"/>
          <w:color w:val="231F20"/>
          <w:lang w:val="en-US"/>
        </w:rPr>
        <w:t>CU-</w:t>
      </w:r>
      <w:r w:rsidR="004D3B7A">
        <w:rPr>
          <w:rFonts w:cs="Arial"/>
          <w:color w:val="231F20"/>
          <w:lang w:val="en-US"/>
        </w:rPr>
        <w:t xml:space="preserve">UP separation. </w:t>
      </w:r>
      <w:r w:rsidR="005F1B39" w:rsidRPr="007B63E6">
        <w:rPr>
          <w:rFonts w:cs="Arial"/>
          <w:color w:val="231F20"/>
          <w:lang w:val="en-US"/>
        </w:rPr>
        <w:t xml:space="preserve"> </w:t>
      </w:r>
    </w:p>
    <w:p w14:paraId="505D8DB1" w14:textId="455B75F7" w:rsidR="000C4CBB" w:rsidRDefault="000C4CBB" w:rsidP="000C4CBB">
      <w:pPr>
        <w:pStyle w:val="TOC1"/>
        <w:jc w:val="both"/>
      </w:pPr>
      <w:r>
        <w:t xml:space="preserve">Observation </w:t>
      </w:r>
      <w:r w:rsidR="006E6A1C">
        <w:t>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 the disaggregated gNB deployment, </w:t>
      </w:r>
      <w:r w:rsidR="00584256">
        <w:t xml:space="preserve">the separation of CU-CP and CU-UP offers </w:t>
      </w:r>
      <w:r w:rsidR="00584256" w:rsidRPr="007B63E6">
        <w:rPr>
          <w:rFonts w:cs="Arial"/>
          <w:color w:val="231F20"/>
        </w:rPr>
        <w:t>the possibility of optimizing the location of different RAN functions based on the scenario and desired performance</w:t>
      </w:r>
      <w:r w:rsidR="00584256">
        <w:rPr>
          <w:rFonts w:cs="Arial"/>
          <w:color w:val="231F20"/>
        </w:rPr>
        <w:t>.</w:t>
      </w:r>
    </w:p>
    <w:p w14:paraId="002E879F" w14:textId="77777777" w:rsidR="000C4CBB" w:rsidRPr="000C4CBB" w:rsidRDefault="000C4CBB" w:rsidP="000C4CBB">
      <w:pPr>
        <w:overflowPunct/>
        <w:spacing w:after="0"/>
        <w:textAlignment w:val="auto"/>
        <w:rPr>
          <w:rFonts w:cs="Arial"/>
          <w:color w:val="231F20"/>
          <w:lang w:val="en-US"/>
        </w:rPr>
      </w:pPr>
    </w:p>
    <w:p w14:paraId="0087DB8D" w14:textId="578A881D" w:rsidR="003F1E63" w:rsidRDefault="003F1E63" w:rsidP="003F1E63">
      <w:pPr>
        <w:overflowPunct/>
        <w:spacing w:after="0"/>
        <w:textAlignment w:val="auto"/>
        <w:rPr>
          <w:rFonts w:cs="Arial"/>
          <w:color w:val="231F20"/>
          <w:lang w:val="en-US"/>
        </w:rPr>
      </w:pPr>
    </w:p>
    <w:p w14:paraId="78949E1E" w14:textId="246A719C" w:rsidR="005F1B39" w:rsidRDefault="005F1B39" w:rsidP="005F1B39">
      <w:pPr>
        <w:overflowPunct/>
        <w:spacing w:after="0"/>
        <w:jc w:val="center"/>
        <w:textAlignment w:val="auto"/>
        <w:rPr>
          <w:rFonts w:cs="Arial"/>
          <w:color w:val="231F20"/>
          <w:lang w:val="en-US"/>
        </w:rPr>
      </w:pPr>
      <w:r>
        <w:rPr>
          <w:rFonts w:cs="Arial"/>
          <w:noProof/>
          <w:color w:val="231F20"/>
          <w:lang w:eastAsia="en-GB"/>
        </w:rPr>
        <w:drawing>
          <wp:inline distT="0" distB="0" distL="0" distR="0" wp14:anchorId="229543C4" wp14:editId="1E9ED132">
            <wp:extent cx="4358502" cy="234000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1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8502" cy="23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18E14" w14:textId="6BC0B277" w:rsidR="00F15BB8" w:rsidRPr="00F15BB8" w:rsidRDefault="00F15BB8" w:rsidP="00F15BB8">
      <w:pPr>
        <w:overflowPunct/>
        <w:spacing w:before="120" w:after="240"/>
        <w:jc w:val="center"/>
        <w:textAlignment w:val="auto"/>
        <w:rPr>
          <w:rFonts w:cs="Arial"/>
          <w:b/>
          <w:color w:val="231F20"/>
          <w:lang w:val="en-US"/>
        </w:rPr>
      </w:pPr>
      <w:r w:rsidRPr="00F15BB8">
        <w:rPr>
          <w:rFonts w:cs="Arial"/>
          <w:b/>
          <w:color w:val="231F20"/>
          <w:lang w:val="en-US"/>
        </w:rPr>
        <w:t>Figure 1: Different deployment options for 5G.</w:t>
      </w:r>
    </w:p>
    <w:p w14:paraId="62C42656" w14:textId="77777777" w:rsidR="006107AB" w:rsidRDefault="008E294D" w:rsidP="002F525A">
      <w:pPr>
        <w:overflowPunct/>
        <w:spacing w:after="40"/>
        <w:textAlignment w:val="auto"/>
        <w:rPr>
          <w:rFonts w:cs="Arial"/>
          <w:color w:val="231F20"/>
          <w:lang w:val="en-US"/>
        </w:rPr>
      </w:pPr>
      <w:r>
        <w:rPr>
          <w:rFonts w:cs="Arial"/>
          <w:color w:val="231F20"/>
          <w:lang w:val="en-US"/>
        </w:rPr>
        <w:t>In the disaggregated gNB of Fig. 1(b) there is a need to coordinate the CU-CP and the CU-UP.</w:t>
      </w:r>
      <w:r w:rsidR="009022A5">
        <w:rPr>
          <w:rFonts w:cs="Arial"/>
          <w:color w:val="231F20"/>
          <w:lang w:val="en-US"/>
        </w:rPr>
        <w:t xml:space="preserve"> For instance,</w:t>
      </w:r>
      <w:r w:rsidR="006107AB">
        <w:rPr>
          <w:rFonts w:cs="Arial"/>
          <w:color w:val="231F20"/>
          <w:lang w:val="en-US"/>
        </w:rPr>
        <w:t xml:space="preserve"> some functions that require coordination between CU-CP and CU-UP are:</w:t>
      </w:r>
      <w:r w:rsidR="009022A5">
        <w:rPr>
          <w:rFonts w:cs="Arial"/>
          <w:color w:val="231F20"/>
          <w:lang w:val="en-US"/>
        </w:rPr>
        <w:t xml:space="preserve"> </w:t>
      </w:r>
    </w:p>
    <w:p w14:paraId="5FE11170" w14:textId="3ADD5E11" w:rsidR="006107AB" w:rsidRDefault="009022A5" w:rsidP="002F525A">
      <w:pPr>
        <w:pStyle w:val="ListParagraph"/>
        <w:numPr>
          <w:ilvl w:val="0"/>
          <w:numId w:val="32"/>
        </w:numPr>
        <w:overflowPunct/>
        <w:spacing w:after="40"/>
        <w:ind w:left="714" w:hanging="357"/>
        <w:contextualSpacing w:val="0"/>
        <w:textAlignment w:val="auto"/>
        <w:rPr>
          <w:rFonts w:cs="Arial"/>
          <w:color w:val="231F20"/>
          <w:lang w:val="en-US"/>
        </w:rPr>
      </w:pPr>
      <w:r w:rsidRPr="006107AB">
        <w:rPr>
          <w:rFonts w:cs="Arial"/>
          <w:color w:val="231F20"/>
          <w:lang w:val="en-US"/>
        </w:rPr>
        <w:t xml:space="preserve">CU-CP shall </w:t>
      </w:r>
      <w:r w:rsidR="00921212" w:rsidRPr="006107AB">
        <w:rPr>
          <w:rFonts w:cs="Arial"/>
          <w:color w:val="231F20"/>
          <w:lang w:val="en-US"/>
        </w:rPr>
        <w:t>set-up, modify and c</w:t>
      </w:r>
      <w:r w:rsidR="006107AB">
        <w:rPr>
          <w:rFonts w:cs="Arial"/>
          <w:color w:val="231F20"/>
          <w:lang w:val="en-US"/>
        </w:rPr>
        <w:t>onfigure the DRBs in the CU-UP;</w:t>
      </w:r>
    </w:p>
    <w:p w14:paraId="5C74366A" w14:textId="37AF77B4" w:rsidR="006107AB" w:rsidRDefault="00921212" w:rsidP="002F525A">
      <w:pPr>
        <w:pStyle w:val="ListParagraph"/>
        <w:numPr>
          <w:ilvl w:val="0"/>
          <w:numId w:val="32"/>
        </w:numPr>
        <w:overflowPunct/>
        <w:spacing w:after="40"/>
        <w:ind w:left="714" w:hanging="357"/>
        <w:contextualSpacing w:val="0"/>
        <w:textAlignment w:val="auto"/>
        <w:rPr>
          <w:rFonts w:cs="Arial"/>
          <w:color w:val="231F20"/>
          <w:lang w:val="en-US"/>
        </w:rPr>
      </w:pPr>
      <w:r w:rsidRPr="006107AB">
        <w:rPr>
          <w:rFonts w:cs="Arial"/>
          <w:color w:val="231F20"/>
          <w:lang w:val="en-US"/>
        </w:rPr>
        <w:t xml:space="preserve">CU-CP shall </w:t>
      </w:r>
      <w:r w:rsidR="0030016B">
        <w:rPr>
          <w:rFonts w:cs="Arial"/>
          <w:color w:val="231F20"/>
          <w:lang w:val="en-US"/>
        </w:rPr>
        <w:t>configure</w:t>
      </w:r>
      <w:r w:rsidRPr="006107AB">
        <w:rPr>
          <w:rFonts w:cs="Arial"/>
          <w:color w:val="231F20"/>
          <w:lang w:val="en-US"/>
        </w:rPr>
        <w:t xml:space="preserve"> the security keys</w:t>
      </w:r>
      <w:r w:rsidR="0030016B">
        <w:rPr>
          <w:rFonts w:cs="Arial"/>
          <w:color w:val="231F20"/>
          <w:lang w:val="en-US"/>
        </w:rPr>
        <w:t xml:space="preserve"> in the CU-UP</w:t>
      </w:r>
      <w:r w:rsidRPr="006107AB">
        <w:rPr>
          <w:rFonts w:cs="Arial"/>
          <w:color w:val="231F20"/>
          <w:lang w:val="en-US"/>
        </w:rPr>
        <w:t xml:space="preserve"> for RAN securit</w:t>
      </w:r>
      <w:r w:rsidR="006107AB">
        <w:rPr>
          <w:rFonts w:cs="Arial"/>
          <w:color w:val="231F20"/>
          <w:lang w:val="en-US"/>
        </w:rPr>
        <w:t>y activation and configuration;</w:t>
      </w:r>
    </w:p>
    <w:p w14:paraId="5C4C83D9" w14:textId="77777777" w:rsidR="006107AB" w:rsidRDefault="006107AB" w:rsidP="002F525A">
      <w:pPr>
        <w:pStyle w:val="ListParagraph"/>
        <w:numPr>
          <w:ilvl w:val="0"/>
          <w:numId w:val="32"/>
        </w:numPr>
        <w:overflowPunct/>
        <w:spacing w:after="40"/>
        <w:ind w:left="714" w:hanging="357"/>
        <w:contextualSpacing w:val="0"/>
        <w:textAlignment w:val="auto"/>
        <w:rPr>
          <w:rFonts w:cs="Arial"/>
          <w:color w:val="231F20"/>
          <w:lang w:val="en-US"/>
        </w:rPr>
      </w:pPr>
      <w:r>
        <w:rPr>
          <w:rFonts w:cs="Arial"/>
          <w:color w:val="231F20"/>
          <w:lang w:val="en-US"/>
        </w:rPr>
        <w:t>U</w:t>
      </w:r>
      <w:r w:rsidR="00921212" w:rsidRPr="006107AB">
        <w:rPr>
          <w:rFonts w:cs="Arial"/>
          <w:color w:val="231F20"/>
          <w:lang w:val="en-US"/>
        </w:rPr>
        <w:t xml:space="preserve">sing the new QoS framework, CU-CP shall configure </w:t>
      </w:r>
      <w:r w:rsidR="00C440A0" w:rsidRPr="006107AB">
        <w:rPr>
          <w:rFonts w:cs="Arial"/>
          <w:color w:val="231F20"/>
          <w:lang w:val="en-US"/>
        </w:rPr>
        <w:t xml:space="preserve">CU-UP on how to perform </w:t>
      </w:r>
      <w:r w:rsidR="0049713D" w:rsidRPr="006107AB">
        <w:rPr>
          <w:rFonts w:cs="Arial"/>
          <w:color w:val="231F20"/>
          <w:lang w:val="en-US"/>
        </w:rPr>
        <w:t xml:space="preserve">the </w:t>
      </w:r>
      <w:r w:rsidR="00921212" w:rsidRPr="006107AB">
        <w:rPr>
          <w:rFonts w:cs="Arial"/>
          <w:color w:val="231F20"/>
          <w:lang w:val="en-US"/>
        </w:rPr>
        <w:t xml:space="preserve">mapping between QoS-flows and DRBs, e.g., by configuring the SDAP protocol. </w:t>
      </w:r>
    </w:p>
    <w:p w14:paraId="03546AF1" w14:textId="01BDA5F0" w:rsidR="006107AB" w:rsidRDefault="0049713D" w:rsidP="006107AB">
      <w:pPr>
        <w:overflowPunct/>
        <w:spacing w:after="0"/>
        <w:textAlignment w:val="auto"/>
      </w:pPr>
      <w:r w:rsidRPr="006107AB">
        <w:rPr>
          <w:rFonts w:cs="Arial"/>
          <w:color w:val="231F20"/>
          <w:lang w:val="en-US"/>
        </w:rPr>
        <w:t xml:space="preserve">For this reason, we observe that a new </w:t>
      </w:r>
      <w:r w:rsidR="006107AB">
        <w:rPr>
          <w:rFonts w:cs="Arial"/>
          <w:color w:val="231F20"/>
          <w:lang w:val="en-US"/>
        </w:rPr>
        <w:t xml:space="preserve">open </w:t>
      </w:r>
      <w:r w:rsidRPr="006107AB">
        <w:rPr>
          <w:rFonts w:cs="Arial"/>
          <w:color w:val="231F20"/>
          <w:lang w:val="en-US"/>
        </w:rPr>
        <w:t>interface between CU-CP and CU-UP is required</w:t>
      </w:r>
      <w:r w:rsidR="006107AB">
        <w:rPr>
          <w:rFonts w:cs="Arial"/>
          <w:color w:val="231F20"/>
          <w:lang w:val="en-US"/>
        </w:rPr>
        <w:t xml:space="preserve"> to enable these functions</w:t>
      </w:r>
      <w:r w:rsidRPr="006107AB">
        <w:rPr>
          <w:rFonts w:cs="Arial"/>
          <w:color w:val="231F20"/>
          <w:lang w:val="en-US"/>
        </w:rPr>
        <w:t>. We refer to this new interface as E1.</w:t>
      </w:r>
      <w:r w:rsidR="006107AB">
        <w:rPr>
          <w:rFonts w:cs="Arial"/>
          <w:color w:val="231F20"/>
          <w:lang w:val="en-US"/>
        </w:rPr>
        <w:t xml:space="preserve"> The E1 is purely a control interface and it does not require a UP part. This is because CU-CP and CU-UP shall not exchange UP traffic.</w:t>
      </w:r>
      <w:r w:rsidR="004C1FC6">
        <w:rPr>
          <w:rFonts w:cs="Arial"/>
          <w:color w:val="231F20"/>
          <w:lang w:val="en-US"/>
        </w:rPr>
        <w:t xml:space="preserve"> </w:t>
      </w:r>
      <w:r w:rsidR="00F71A11">
        <w:t xml:space="preserve"> </w:t>
      </w:r>
    </w:p>
    <w:p w14:paraId="3F874043" w14:textId="443EB7BE" w:rsidR="002F525A" w:rsidRDefault="002F525A" w:rsidP="006107AB">
      <w:pPr>
        <w:pStyle w:val="TOC1"/>
        <w:jc w:val="both"/>
      </w:pPr>
      <w:r>
        <w:t>Observation</w:t>
      </w:r>
      <w:r w:rsidR="006107AB">
        <w:t xml:space="preserve"> </w:t>
      </w:r>
      <w:r w:rsidR="00584256">
        <w:t>2</w:t>
      </w:r>
      <w:r w:rsidR="006107AB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 the disaggregated gNB deployment, a control interfcace is required to provide coordination between CU-CP and CU-UP. </w:t>
      </w:r>
      <w:r w:rsidR="006107AB">
        <w:t xml:space="preserve"> </w:t>
      </w:r>
    </w:p>
    <w:p w14:paraId="7CDF1E48" w14:textId="7A1E4B01" w:rsidR="001A2BDA" w:rsidRDefault="002F525A" w:rsidP="004D3B7A">
      <w:pPr>
        <w:pStyle w:val="TOC1"/>
        <w:jc w:val="both"/>
        <w:rPr>
          <w:rFonts w:cs="Arial"/>
          <w:color w:val="231F20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RAN3 is kindly asked to agree to standardize a new control interface between CU-CP and CU-UP. We suggest to name this interface E1.  </w:t>
      </w:r>
      <w:r w:rsidR="006107AB">
        <w:t xml:space="preserve"> </w:t>
      </w:r>
    </w:p>
    <w:p w14:paraId="06F293C9" w14:textId="4C08CF5B" w:rsidR="001A2BDA" w:rsidRDefault="001A2BDA" w:rsidP="001A2BDA">
      <w:pPr>
        <w:pStyle w:val="Heading1"/>
        <w:jc w:val="both"/>
      </w:pPr>
      <w:r>
        <w:t xml:space="preserve">Conclusion </w:t>
      </w:r>
    </w:p>
    <w:p w14:paraId="1909C946" w14:textId="2A203103" w:rsidR="001A2BDA" w:rsidRDefault="00545A94" w:rsidP="003F1E63">
      <w:pPr>
        <w:overflowPunct/>
        <w:spacing w:after="0"/>
        <w:textAlignment w:val="auto"/>
        <w:rPr>
          <w:rFonts w:cs="Arial"/>
          <w:color w:val="231F20"/>
          <w:lang w:val="en-US"/>
        </w:rPr>
      </w:pPr>
      <w:r>
        <w:rPr>
          <w:rFonts w:cs="Arial"/>
          <w:color w:val="231F20"/>
          <w:lang w:val="en-US"/>
        </w:rPr>
        <w:t>In this paper we discussed different 5G deployments, namely collapsed gNB and disaggregated gNB. We discussed the benefits of the separation of CU-CP and CU-UP in the disaggregated gNB deployment. We made the following observations and proposal:</w:t>
      </w:r>
    </w:p>
    <w:p w14:paraId="2FC3F6B4" w14:textId="77777777" w:rsidR="00545A94" w:rsidRDefault="00545A94" w:rsidP="00545A94">
      <w:pPr>
        <w:pStyle w:val="TOC1"/>
        <w:jc w:val="both"/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 the disaggregated gNB deployment, the separation of CU-CP and CU-UP offers </w:t>
      </w:r>
      <w:r w:rsidRPr="007B63E6">
        <w:rPr>
          <w:rFonts w:cs="Arial"/>
          <w:color w:val="231F20"/>
        </w:rPr>
        <w:t>the possibility of optimizing the location of different RAN functions based on the scenario and desired performance</w:t>
      </w:r>
      <w:r>
        <w:rPr>
          <w:rFonts w:cs="Arial"/>
          <w:color w:val="231F20"/>
        </w:rPr>
        <w:t>.</w:t>
      </w:r>
    </w:p>
    <w:p w14:paraId="497DDB02" w14:textId="77777777" w:rsidR="00545A94" w:rsidRDefault="00545A94" w:rsidP="003F1E63">
      <w:pPr>
        <w:overflowPunct/>
        <w:spacing w:after="0"/>
        <w:textAlignment w:val="auto"/>
        <w:rPr>
          <w:rFonts w:cs="Arial"/>
          <w:color w:val="231F20"/>
          <w:lang w:val="en-US"/>
        </w:rPr>
      </w:pPr>
    </w:p>
    <w:p w14:paraId="5FAA576E" w14:textId="77777777" w:rsidR="00545A94" w:rsidRDefault="00545A94" w:rsidP="00545A94">
      <w:pPr>
        <w:pStyle w:val="TOC1"/>
        <w:jc w:val="both"/>
      </w:pPr>
      <w:r>
        <w:lastRenderedPageBreak/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 the disaggregated gNB deployment, a control interfcace is required to provide coordination between CU-CP and CU-UP.  </w:t>
      </w:r>
    </w:p>
    <w:p w14:paraId="24E91152" w14:textId="77777777" w:rsidR="00545A94" w:rsidRDefault="00545A94" w:rsidP="00545A94">
      <w:pPr>
        <w:pStyle w:val="TOC1"/>
        <w:jc w:val="both"/>
        <w:rPr>
          <w:rFonts w:cs="Arial"/>
          <w:color w:val="231F20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RAN3 is kindly asked to agree to standardize a new control interface between CU-CP and CU-UP. We suggest to name this interface E1.   </w:t>
      </w:r>
    </w:p>
    <w:p w14:paraId="31A8AE34" w14:textId="77777777" w:rsidR="00FB4539" w:rsidRPr="00CE0424" w:rsidRDefault="00FB4539" w:rsidP="00FB4539">
      <w:pPr>
        <w:pStyle w:val="Heading1"/>
        <w:jc w:val="both"/>
      </w:pPr>
      <w:r w:rsidRPr="00CE0424">
        <w:t>References</w:t>
      </w:r>
    </w:p>
    <w:p w14:paraId="2F2FDDA7" w14:textId="3CA75AB7" w:rsidR="00FB4539" w:rsidRDefault="00FB4539" w:rsidP="004B28E7">
      <w:pPr>
        <w:pStyle w:val="Reference"/>
      </w:pPr>
      <w:bookmarkStart w:id="1" w:name="_Ref471906497"/>
      <w:bookmarkStart w:id="2" w:name="_Ref174151459"/>
      <w:bookmarkStart w:id="3" w:name="_Ref189809556"/>
      <w:r>
        <w:t>R3</w:t>
      </w:r>
      <w:bookmarkEnd w:id="1"/>
      <w:bookmarkEnd w:id="2"/>
      <w:bookmarkEnd w:id="3"/>
      <w:r>
        <w:t xml:space="preserve">-171203, </w:t>
      </w:r>
      <w:r w:rsidR="004B28E7" w:rsidRPr="004B28E7">
        <w:t>High Layer Functional Spilt with Separated Control and User Planes</w:t>
      </w:r>
      <w:r>
        <w:t xml:space="preserve">, </w:t>
      </w:r>
      <w:r w:rsidR="004B28E7">
        <w:t>Vodafone</w:t>
      </w:r>
    </w:p>
    <w:p w14:paraId="5A57248F" w14:textId="13BDE0D7" w:rsidR="00FB4539" w:rsidRDefault="00FB4539" w:rsidP="004B28E7">
      <w:pPr>
        <w:pStyle w:val="Reference"/>
      </w:pPr>
      <w:r>
        <w:t>R</w:t>
      </w:r>
      <w:r w:rsidR="004B28E7">
        <w:t>2</w:t>
      </w:r>
      <w:r>
        <w:t>-17</w:t>
      </w:r>
      <w:r w:rsidR="004B28E7">
        <w:t>03954</w:t>
      </w:r>
      <w:r>
        <w:t xml:space="preserve">, </w:t>
      </w:r>
      <w:r w:rsidR="004B28E7">
        <w:t>“</w:t>
      </w:r>
      <w:r w:rsidR="004B28E7" w:rsidRPr="004B28E7">
        <w:t>Reply LS on SA3 LS in S3-170944 “LS on security termination for the User Plane in 5G” and RAN3 LS in R3-171306 on LS on LS on Status of Higher-Layer Functional split betwee</w:t>
      </w:r>
      <w:r w:rsidR="004B28E7">
        <w:t>n Central and Distributed unit.”, RAN2</w:t>
      </w:r>
      <w:r>
        <w:t xml:space="preserve"> </w:t>
      </w:r>
    </w:p>
    <w:p w14:paraId="12A15E9B" w14:textId="77777777" w:rsidR="00FB4539" w:rsidRPr="00FB4539" w:rsidRDefault="00FB4539" w:rsidP="003F1E63">
      <w:pPr>
        <w:overflowPunct/>
        <w:spacing w:after="0"/>
        <w:textAlignment w:val="auto"/>
        <w:rPr>
          <w:rFonts w:cs="Arial"/>
          <w:color w:val="231F20"/>
        </w:rPr>
      </w:pPr>
    </w:p>
    <w:sectPr w:rsidR="00FB4539" w:rsidRPr="00FB4539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87EE0" w14:textId="77777777" w:rsidR="008512B6" w:rsidRDefault="008512B6">
      <w:r>
        <w:separator/>
      </w:r>
    </w:p>
  </w:endnote>
  <w:endnote w:type="continuationSeparator" w:id="0">
    <w:p w14:paraId="0D893610" w14:textId="77777777" w:rsidR="008512B6" w:rsidRDefault="00851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5E8F142A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655F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655F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CD0DB" w14:textId="77777777" w:rsidR="008512B6" w:rsidRDefault="008512B6">
      <w:r>
        <w:separator/>
      </w:r>
    </w:p>
  </w:footnote>
  <w:footnote w:type="continuationSeparator" w:id="0">
    <w:p w14:paraId="7DEE53C1" w14:textId="77777777" w:rsidR="008512B6" w:rsidRDefault="008512B6">
      <w:r>
        <w:continuationSeparator/>
      </w:r>
    </w:p>
  </w:footnote>
  <w:footnote w:id="1">
    <w:p w14:paraId="64B8DBCA" w14:textId="2553D933" w:rsidR="00E61BCF" w:rsidRPr="00E61BCF" w:rsidRDefault="00E61BCF" w:rsidP="00E61BCF">
      <w:pPr>
        <w:pStyle w:val="FootnoteText"/>
        <w:ind w:left="0" w:firstLine="0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970E21">
        <w:rPr>
          <w:lang w:val="en-US"/>
        </w:rPr>
        <w:t xml:space="preserve">It is worth to remind that RAN2 is </w:t>
      </w:r>
      <w:r w:rsidR="005335BD">
        <w:t xml:space="preserve">optimizing the design of </w:t>
      </w:r>
      <w:r w:rsidRPr="00970E21">
        <w:t xml:space="preserve">the NR L2/L3 protocol stack </w:t>
      </w:r>
      <w:r w:rsidR="005335BD">
        <w:t>for the case where</w:t>
      </w:r>
      <w:r w:rsidRPr="00970E21">
        <w:t xml:space="preserve"> the </w:t>
      </w:r>
      <w:r>
        <w:t xml:space="preserve">transport </w:t>
      </w:r>
      <w:r w:rsidRPr="00970E21">
        <w:t>latency between PHY/MAC/RLC and PDCP-C/RRC is negligibly low</w:t>
      </w:r>
      <w:r w:rsidR="004D3B7A">
        <w:t xml:space="preserve"> [2]</w:t>
      </w:r>
      <w:r w:rsidRPr="00970E21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87360"/>
    <w:multiLevelType w:val="hybridMultilevel"/>
    <w:tmpl w:val="AB5421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1E562E"/>
    <w:multiLevelType w:val="hybridMultilevel"/>
    <w:tmpl w:val="F08845F0"/>
    <w:lvl w:ilvl="0" w:tplc="976A6C8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A836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67A3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29FA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495E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76835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051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16A96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6E0D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E1E71"/>
    <w:multiLevelType w:val="hybridMultilevel"/>
    <w:tmpl w:val="542E0396"/>
    <w:lvl w:ilvl="0" w:tplc="0409000F">
      <w:start w:val="1"/>
      <w:numFmt w:val="decimal"/>
      <w:lvlText w:val="%1."/>
      <w:lvlJc w:val="left"/>
      <w:pPr>
        <w:ind w:left="363" w:hanging="360"/>
      </w:p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1" w15:restartNumberingAfterBreak="0">
    <w:nsid w:val="7DDE7389"/>
    <w:multiLevelType w:val="hybridMultilevel"/>
    <w:tmpl w:val="712E5812"/>
    <w:lvl w:ilvl="0" w:tplc="29FACFA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4"/>
  </w:num>
  <w:num w:numId="4">
    <w:abstractNumId w:val="15"/>
  </w:num>
  <w:num w:numId="5">
    <w:abstractNumId w:val="11"/>
  </w:num>
  <w:num w:numId="6">
    <w:abstractNumId w:val="19"/>
  </w:num>
  <w:num w:numId="7">
    <w:abstractNumId w:val="24"/>
  </w:num>
  <w:num w:numId="8">
    <w:abstractNumId w:val="12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6"/>
  </w:num>
  <w:num w:numId="15">
    <w:abstractNumId w:val="20"/>
  </w:num>
  <w:num w:numId="16">
    <w:abstractNumId w:val="29"/>
  </w:num>
  <w:num w:numId="17">
    <w:abstractNumId w:val="25"/>
  </w:num>
  <w:num w:numId="18">
    <w:abstractNumId w:val="9"/>
  </w:num>
  <w:num w:numId="19">
    <w:abstractNumId w:val="6"/>
  </w:num>
  <w:num w:numId="20">
    <w:abstractNumId w:val="22"/>
  </w:num>
  <w:num w:numId="21">
    <w:abstractNumId w:val="4"/>
  </w:num>
  <w:num w:numId="22">
    <w:abstractNumId w:val="16"/>
  </w:num>
  <w:num w:numId="23">
    <w:abstractNumId w:val="10"/>
  </w:num>
  <w:num w:numId="24">
    <w:abstractNumId w:val="7"/>
  </w:num>
  <w:num w:numId="25">
    <w:abstractNumId w:val="28"/>
  </w:num>
  <w:num w:numId="26">
    <w:abstractNumId w:val="27"/>
  </w:num>
  <w:num w:numId="27">
    <w:abstractNumId w:val="13"/>
  </w:num>
  <w:num w:numId="28">
    <w:abstractNumId w:val="18"/>
  </w:num>
  <w:num w:numId="29">
    <w:abstractNumId w:val="5"/>
  </w:num>
  <w:num w:numId="30">
    <w:abstractNumId w:val="17"/>
  </w:num>
  <w:num w:numId="31">
    <w:abstractNumId w:val="30"/>
  </w:num>
  <w:num w:numId="32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6DF6"/>
    <w:rsid w:val="00007172"/>
    <w:rsid w:val="00007CDC"/>
    <w:rsid w:val="00011B28"/>
    <w:rsid w:val="00015D15"/>
    <w:rsid w:val="00020219"/>
    <w:rsid w:val="000205E7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A07"/>
    <w:rsid w:val="000534E3"/>
    <w:rsid w:val="0005606A"/>
    <w:rsid w:val="000570DC"/>
    <w:rsid w:val="00057117"/>
    <w:rsid w:val="000616E7"/>
    <w:rsid w:val="0006487E"/>
    <w:rsid w:val="00065E1A"/>
    <w:rsid w:val="00067548"/>
    <w:rsid w:val="00070C42"/>
    <w:rsid w:val="00073CE1"/>
    <w:rsid w:val="000740B2"/>
    <w:rsid w:val="00074543"/>
    <w:rsid w:val="00077E5F"/>
    <w:rsid w:val="0008036A"/>
    <w:rsid w:val="00081AE6"/>
    <w:rsid w:val="00084222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7BC"/>
    <w:rsid w:val="000D0D07"/>
    <w:rsid w:val="000D4797"/>
    <w:rsid w:val="000D4EC3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F0B"/>
    <w:rsid w:val="00137FBC"/>
    <w:rsid w:val="001410A7"/>
    <w:rsid w:val="001433E3"/>
    <w:rsid w:val="0014455D"/>
    <w:rsid w:val="00146D5B"/>
    <w:rsid w:val="00151E23"/>
    <w:rsid w:val="001526E0"/>
    <w:rsid w:val="00153BAD"/>
    <w:rsid w:val="001551B5"/>
    <w:rsid w:val="00157902"/>
    <w:rsid w:val="00160EEC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AF9"/>
    <w:rsid w:val="00190AC1"/>
    <w:rsid w:val="0019341A"/>
    <w:rsid w:val="00194319"/>
    <w:rsid w:val="00196B48"/>
    <w:rsid w:val="00197DF9"/>
    <w:rsid w:val="001A1987"/>
    <w:rsid w:val="001A1E20"/>
    <w:rsid w:val="001A2564"/>
    <w:rsid w:val="001A2BDA"/>
    <w:rsid w:val="001A4135"/>
    <w:rsid w:val="001A4EB6"/>
    <w:rsid w:val="001A6173"/>
    <w:rsid w:val="001A6CBA"/>
    <w:rsid w:val="001B0D97"/>
    <w:rsid w:val="001B5A5D"/>
    <w:rsid w:val="001B6978"/>
    <w:rsid w:val="001C1CE5"/>
    <w:rsid w:val="001C2E8A"/>
    <w:rsid w:val="001C3D2A"/>
    <w:rsid w:val="001C4529"/>
    <w:rsid w:val="001C543A"/>
    <w:rsid w:val="001C6495"/>
    <w:rsid w:val="001D0623"/>
    <w:rsid w:val="001D0C4C"/>
    <w:rsid w:val="001D0CEA"/>
    <w:rsid w:val="001D4D2D"/>
    <w:rsid w:val="001D51BA"/>
    <w:rsid w:val="001D6342"/>
    <w:rsid w:val="001D6D53"/>
    <w:rsid w:val="001E58E2"/>
    <w:rsid w:val="001E7AED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8EB"/>
    <w:rsid w:val="002500C8"/>
    <w:rsid w:val="00255D85"/>
    <w:rsid w:val="00257543"/>
    <w:rsid w:val="00260065"/>
    <w:rsid w:val="002617E7"/>
    <w:rsid w:val="00261FC8"/>
    <w:rsid w:val="00263710"/>
    <w:rsid w:val="00264228"/>
    <w:rsid w:val="00264334"/>
    <w:rsid w:val="0026473E"/>
    <w:rsid w:val="00266214"/>
    <w:rsid w:val="00267C83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0C8B"/>
    <w:rsid w:val="0028192F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54A0"/>
    <w:rsid w:val="00296029"/>
    <w:rsid w:val="00296227"/>
    <w:rsid w:val="00296F44"/>
    <w:rsid w:val="0029777D"/>
    <w:rsid w:val="002A055E"/>
    <w:rsid w:val="002A1D4E"/>
    <w:rsid w:val="002A2869"/>
    <w:rsid w:val="002B24D6"/>
    <w:rsid w:val="002C41E6"/>
    <w:rsid w:val="002C6D51"/>
    <w:rsid w:val="002D071A"/>
    <w:rsid w:val="002D0B56"/>
    <w:rsid w:val="002D2DE7"/>
    <w:rsid w:val="002D34B2"/>
    <w:rsid w:val="002D47E3"/>
    <w:rsid w:val="002D7637"/>
    <w:rsid w:val="002E17F2"/>
    <w:rsid w:val="002E1B67"/>
    <w:rsid w:val="002E7CAE"/>
    <w:rsid w:val="002F2771"/>
    <w:rsid w:val="002F37A9"/>
    <w:rsid w:val="002F525A"/>
    <w:rsid w:val="002F53B3"/>
    <w:rsid w:val="002F6541"/>
    <w:rsid w:val="002F67B8"/>
    <w:rsid w:val="0030016B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C9F"/>
    <w:rsid w:val="003242F4"/>
    <w:rsid w:val="00324D23"/>
    <w:rsid w:val="00326C94"/>
    <w:rsid w:val="00331751"/>
    <w:rsid w:val="003335CC"/>
    <w:rsid w:val="00334579"/>
    <w:rsid w:val="00335858"/>
    <w:rsid w:val="00336BDA"/>
    <w:rsid w:val="00340D15"/>
    <w:rsid w:val="00342BD7"/>
    <w:rsid w:val="00343A07"/>
    <w:rsid w:val="00346DB5"/>
    <w:rsid w:val="00346F8A"/>
    <w:rsid w:val="003477B1"/>
    <w:rsid w:val="00347F5E"/>
    <w:rsid w:val="0035482C"/>
    <w:rsid w:val="00357380"/>
    <w:rsid w:val="003602D9"/>
    <w:rsid w:val="003604CE"/>
    <w:rsid w:val="00361F95"/>
    <w:rsid w:val="00363BE2"/>
    <w:rsid w:val="00364029"/>
    <w:rsid w:val="003655FA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3896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16CAC"/>
    <w:rsid w:val="00417786"/>
    <w:rsid w:val="00421105"/>
    <w:rsid w:val="00423198"/>
    <w:rsid w:val="004242F4"/>
    <w:rsid w:val="00427248"/>
    <w:rsid w:val="00432E75"/>
    <w:rsid w:val="00437343"/>
    <w:rsid w:val="00437447"/>
    <w:rsid w:val="00440B16"/>
    <w:rsid w:val="00441A92"/>
    <w:rsid w:val="00443ED6"/>
    <w:rsid w:val="00444F56"/>
    <w:rsid w:val="00446488"/>
    <w:rsid w:val="004517AA"/>
    <w:rsid w:val="00452690"/>
    <w:rsid w:val="00452CAC"/>
    <w:rsid w:val="004538DC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56B"/>
    <w:rsid w:val="00477768"/>
    <w:rsid w:val="0048043F"/>
    <w:rsid w:val="00484ECE"/>
    <w:rsid w:val="00490723"/>
    <w:rsid w:val="004914A3"/>
    <w:rsid w:val="00492BC5"/>
    <w:rsid w:val="00493FEC"/>
    <w:rsid w:val="004951A6"/>
    <w:rsid w:val="00495411"/>
    <w:rsid w:val="004964F1"/>
    <w:rsid w:val="0049713D"/>
    <w:rsid w:val="004A099B"/>
    <w:rsid w:val="004A16BC"/>
    <w:rsid w:val="004A2B94"/>
    <w:rsid w:val="004A3007"/>
    <w:rsid w:val="004B28E7"/>
    <w:rsid w:val="004B30AA"/>
    <w:rsid w:val="004B7C0C"/>
    <w:rsid w:val="004C1FC6"/>
    <w:rsid w:val="004C3898"/>
    <w:rsid w:val="004C3C78"/>
    <w:rsid w:val="004C7C52"/>
    <w:rsid w:val="004D36B1"/>
    <w:rsid w:val="004D3B7A"/>
    <w:rsid w:val="004D7EBD"/>
    <w:rsid w:val="004E2680"/>
    <w:rsid w:val="004E28F9"/>
    <w:rsid w:val="004E40EA"/>
    <w:rsid w:val="004E462E"/>
    <w:rsid w:val="004E4B67"/>
    <w:rsid w:val="004E56DC"/>
    <w:rsid w:val="004E6CBB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31534"/>
    <w:rsid w:val="005335BD"/>
    <w:rsid w:val="005338D0"/>
    <w:rsid w:val="00534B59"/>
    <w:rsid w:val="00535829"/>
    <w:rsid w:val="00536759"/>
    <w:rsid w:val="00537C62"/>
    <w:rsid w:val="00537CC1"/>
    <w:rsid w:val="00545A94"/>
    <w:rsid w:val="00545D7F"/>
    <w:rsid w:val="00546970"/>
    <w:rsid w:val="00552589"/>
    <w:rsid w:val="00554E19"/>
    <w:rsid w:val="005550A9"/>
    <w:rsid w:val="0056121F"/>
    <w:rsid w:val="00561BED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559A"/>
    <w:rsid w:val="005C74FB"/>
    <w:rsid w:val="005D1602"/>
    <w:rsid w:val="005D217E"/>
    <w:rsid w:val="005E04E9"/>
    <w:rsid w:val="005E3477"/>
    <w:rsid w:val="005E36D5"/>
    <w:rsid w:val="005E385F"/>
    <w:rsid w:val="005E42F9"/>
    <w:rsid w:val="005E5B81"/>
    <w:rsid w:val="005E6491"/>
    <w:rsid w:val="005E650F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A46FB"/>
    <w:rsid w:val="006A5E28"/>
    <w:rsid w:val="006A697B"/>
    <w:rsid w:val="006A7AFF"/>
    <w:rsid w:val="006B0435"/>
    <w:rsid w:val="006B1816"/>
    <w:rsid w:val="006B2099"/>
    <w:rsid w:val="006B26A5"/>
    <w:rsid w:val="006B3F71"/>
    <w:rsid w:val="006B50CF"/>
    <w:rsid w:val="006B6D28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21593"/>
    <w:rsid w:val="007215D3"/>
    <w:rsid w:val="00726EA6"/>
    <w:rsid w:val="00727208"/>
    <w:rsid w:val="00727680"/>
    <w:rsid w:val="007306CB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524B"/>
    <w:rsid w:val="007472BA"/>
    <w:rsid w:val="00747D77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49A3"/>
    <w:rsid w:val="00785490"/>
    <w:rsid w:val="00787264"/>
    <w:rsid w:val="00787B8E"/>
    <w:rsid w:val="007925EA"/>
    <w:rsid w:val="00793CD8"/>
    <w:rsid w:val="00795148"/>
    <w:rsid w:val="00795C92"/>
    <w:rsid w:val="00796231"/>
    <w:rsid w:val="007965E2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1DF"/>
    <w:rsid w:val="007B56B7"/>
    <w:rsid w:val="007B63E6"/>
    <w:rsid w:val="007B75C8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7216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37C71"/>
    <w:rsid w:val="00843558"/>
    <w:rsid w:val="008444E8"/>
    <w:rsid w:val="00844E80"/>
    <w:rsid w:val="00846FE7"/>
    <w:rsid w:val="00847423"/>
    <w:rsid w:val="00850CEC"/>
    <w:rsid w:val="008512B6"/>
    <w:rsid w:val="00852973"/>
    <w:rsid w:val="00856911"/>
    <w:rsid w:val="008570A8"/>
    <w:rsid w:val="00857CD8"/>
    <w:rsid w:val="0086091A"/>
    <w:rsid w:val="008662C1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BF3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31BD9"/>
    <w:rsid w:val="00934CE7"/>
    <w:rsid w:val="009353C8"/>
    <w:rsid w:val="009368F3"/>
    <w:rsid w:val="00937917"/>
    <w:rsid w:val="00940B89"/>
    <w:rsid w:val="00941636"/>
    <w:rsid w:val="00942317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0671"/>
    <w:rsid w:val="00970E21"/>
    <w:rsid w:val="00971F08"/>
    <w:rsid w:val="0097603D"/>
    <w:rsid w:val="00976949"/>
    <w:rsid w:val="00980477"/>
    <w:rsid w:val="009826F5"/>
    <w:rsid w:val="00985253"/>
    <w:rsid w:val="009853B3"/>
    <w:rsid w:val="009863D1"/>
    <w:rsid w:val="00990630"/>
    <w:rsid w:val="00991761"/>
    <w:rsid w:val="00994DCA"/>
    <w:rsid w:val="009960EC"/>
    <w:rsid w:val="00996279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403E"/>
    <w:rsid w:val="009C62B8"/>
    <w:rsid w:val="009C6918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344F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3E54"/>
    <w:rsid w:val="00A17F63"/>
    <w:rsid w:val="00A2193B"/>
    <w:rsid w:val="00A2351A"/>
    <w:rsid w:val="00A24107"/>
    <w:rsid w:val="00A264A9"/>
    <w:rsid w:val="00A26A20"/>
    <w:rsid w:val="00A26F88"/>
    <w:rsid w:val="00A27785"/>
    <w:rsid w:val="00A30187"/>
    <w:rsid w:val="00A31E60"/>
    <w:rsid w:val="00A33AE9"/>
    <w:rsid w:val="00A3448A"/>
    <w:rsid w:val="00A36297"/>
    <w:rsid w:val="00A37657"/>
    <w:rsid w:val="00A41E2B"/>
    <w:rsid w:val="00A4227C"/>
    <w:rsid w:val="00A42E35"/>
    <w:rsid w:val="00A43AFC"/>
    <w:rsid w:val="00A45B74"/>
    <w:rsid w:val="00A50426"/>
    <w:rsid w:val="00A50F2F"/>
    <w:rsid w:val="00A52E1D"/>
    <w:rsid w:val="00A54721"/>
    <w:rsid w:val="00A56F4A"/>
    <w:rsid w:val="00A61047"/>
    <w:rsid w:val="00A61499"/>
    <w:rsid w:val="00A62A77"/>
    <w:rsid w:val="00A63483"/>
    <w:rsid w:val="00A657D7"/>
    <w:rsid w:val="00A660AC"/>
    <w:rsid w:val="00A67E6C"/>
    <w:rsid w:val="00A71B99"/>
    <w:rsid w:val="00A72935"/>
    <w:rsid w:val="00A739D0"/>
    <w:rsid w:val="00A761D4"/>
    <w:rsid w:val="00A76A4F"/>
    <w:rsid w:val="00A77EC4"/>
    <w:rsid w:val="00A82105"/>
    <w:rsid w:val="00A835FB"/>
    <w:rsid w:val="00A83A1A"/>
    <w:rsid w:val="00A85D83"/>
    <w:rsid w:val="00A90D70"/>
    <w:rsid w:val="00A92096"/>
    <w:rsid w:val="00A92879"/>
    <w:rsid w:val="00A9442A"/>
    <w:rsid w:val="00A94664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4AB8"/>
    <w:rsid w:val="00AB655E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F1C5D"/>
    <w:rsid w:val="00AF20DE"/>
    <w:rsid w:val="00AF42D7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157F9"/>
    <w:rsid w:val="00B167F1"/>
    <w:rsid w:val="00B1772D"/>
    <w:rsid w:val="00B20256"/>
    <w:rsid w:val="00B20D09"/>
    <w:rsid w:val="00B20E32"/>
    <w:rsid w:val="00B25A92"/>
    <w:rsid w:val="00B2763F"/>
    <w:rsid w:val="00B27AAC"/>
    <w:rsid w:val="00B30929"/>
    <w:rsid w:val="00B35CD9"/>
    <w:rsid w:val="00B372AA"/>
    <w:rsid w:val="00B40445"/>
    <w:rsid w:val="00B41888"/>
    <w:rsid w:val="00B42BDB"/>
    <w:rsid w:val="00B45A52"/>
    <w:rsid w:val="00B46175"/>
    <w:rsid w:val="00B5105F"/>
    <w:rsid w:val="00B5151B"/>
    <w:rsid w:val="00B54C09"/>
    <w:rsid w:val="00B56AFB"/>
    <w:rsid w:val="00B572DC"/>
    <w:rsid w:val="00B60372"/>
    <w:rsid w:val="00B628B0"/>
    <w:rsid w:val="00B62AAA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D2E"/>
    <w:rsid w:val="00BD48AC"/>
    <w:rsid w:val="00BD5F1A"/>
    <w:rsid w:val="00BE0F16"/>
    <w:rsid w:val="00BE1234"/>
    <w:rsid w:val="00BE2FA6"/>
    <w:rsid w:val="00BE333F"/>
    <w:rsid w:val="00BE4810"/>
    <w:rsid w:val="00BE4AD5"/>
    <w:rsid w:val="00BE7406"/>
    <w:rsid w:val="00BE7603"/>
    <w:rsid w:val="00BF041C"/>
    <w:rsid w:val="00BF3279"/>
    <w:rsid w:val="00BF74C7"/>
    <w:rsid w:val="00BF7AD0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4105"/>
    <w:rsid w:val="00C3719D"/>
    <w:rsid w:val="00C379C1"/>
    <w:rsid w:val="00C440A0"/>
    <w:rsid w:val="00C51EEF"/>
    <w:rsid w:val="00C54995"/>
    <w:rsid w:val="00C54D41"/>
    <w:rsid w:val="00C60783"/>
    <w:rsid w:val="00C64672"/>
    <w:rsid w:val="00C701FA"/>
    <w:rsid w:val="00C70697"/>
    <w:rsid w:val="00C71BFC"/>
    <w:rsid w:val="00C72EF4"/>
    <w:rsid w:val="00C743E5"/>
    <w:rsid w:val="00C759A5"/>
    <w:rsid w:val="00C75D2F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B40"/>
    <w:rsid w:val="00C9773E"/>
    <w:rsid w:val="00CA1ED8"/>
    <w:rsid w:val="00CA2126"/>
    <w:rsid w:val="00CA6CEB"/>
    <w:rsid w:val="00CB06CA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5803"/>
    <w:rsid w:val="00CF625B"/>
    <w:rsid w:val="00CF687E"/>
    <w:rsid w:val="00D0349B"/>
    <w:rsid w:val="00D04434"/>
    <w:rsid w:val="00D10249"/>
    <w:rsid w:val="00D115C3"/>
    <w:rsid w:val="00D11897"/>
    <w:rsid w:val="00D118A0"/>
    <w:rsid w:val="00D13135"/>
    <w:rsid w:val="00D13E4E"/>
    <w:rsid w:val="00D17E6E"/>
    <w:rsid w:val="00D239A7"/>
    <w:rsid w:val="00D23F47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5007"/>
    <w:rsid w:val="00DA5417"/>
    <w:rsid w:val="00DA56E8"/>
    <w:rsid w:val="00DA79E6"/>
    <w:rsid w:val="00DB0A9F"/>
    <w:rsid w:val="00DB0AB1"/>
    <w:rsid w:val="00DB377D"/>
    <w:rsid w:val="00DB41F6"/>
    <w:rsid w:val="00DC2D36"/>
    <w:rsid w:val="00DC53EF"/>
    <w:rsid w:val="00DC6710"/>
    <w:rsid w:val="00DC6807"/>
    <w:rsid w:val="00DD2997"/>
    <w:rsid w:val="00DD4BE3"/>
    <w:rsid w:val="00DD6B05"/>
    <w:rsid w:val="00DE3616"/>
    <w:rsid w:val="00DE5557"/>
    <w:rsid w:val="00DE5608"/>
    <w:rsid w:val="00DE58D0"/>
    <w:rsid w:val="00DE642C"/>
    <w:rsid w:val="00DE654F"/>
    <w:rsid w:val="00DF0B6E"/>
    <w:rsid w:val="00DF15E0"/>
    <w:rsid w:val="00DF37A0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7FA2"/>
    <w:rsid w:val="00E215A5"/>
    <w:rsid w:val="00E22330"/>
    <w:rsid w:val="00E226D4"/>
    <w:rsid w:val="00E22C8E"/>
    <w:rsid w:val="00E22D98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566D"/>
    <w:rsid w:val="00E3723A"/>
    <w:rsid w:val="00E37860"/>
    <w:rsid w:val="00E446F1"/>
    <w:rsid w:val="00E46886"/>
    <w:rsid w:val="00E47AEF"/>
    <w:rsid w:val="00E502A5"/>
    <w:rsid w:val="00E50C00"/>
    <w:rsid w:val="00E51EF3"/>
    <w:rsid w:val="00E53B75"/>
    <w:rsid w:val="00E54E3B"/>
    <w:rsid w:val="00E559C6"/>
    <w:rsid w:val="00E57565"/>
    <w:rsid w:val="00E57E7D"/>
    <w:rsid w:val="00E61BCF"/>
    <w:rsid w:val="00E63838"/>
    <w:rsid w:val="00E64434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D1006"/>
    <w:rsid w:val="00ED222F"/>
    <w:rsid w:val="00ED543E"/>
    <w:rsid w:val="00EE500A"/>
    <w:rsid w:val="00EE7987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5BB8"/>
    <w:rsid w:val="00F15FA5"/>
    <w:rsid w:val="00F16DB6"/>
    <w:rsid w:val="00F17710"/>
    <w:rsid w:val="00F17B99"/>
    <w:rsid w:val="00F17DB6"/>
    <w:rsid w:val="00F209B7"/>
    <w:rsid w:val="00F216F1"/>
    <w:rsid w:val="00F21A76"/>
    <w:rsid w:val="00F2376F"/>
    <w:rsid w:val="00F23C17"/>
    <w:rsid w:val="00F243D8"/>
    <w:rsid w:val="00F24B7A"/>
    <w:rsid w:val="00F30828"/>
    <w:rsid w:val="00F313D6"/>
    <w:rsid w:val="00F35D17"/>
    <w:rsid w:val="00F40F0C"/>
    <w:rsid w:val="00F434FA"/>
    <w:rsid w:val="00F46E1D"/>
    <w:rsid w:val="00F4766C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2BEE"/>
    <w:rsid w:val="00F93AA9"/>
    <w:rsid w:val="00F9668D"/>
    <w:rsid w:val="00F968BD"/>
    <w:rsid w:val="00F96985"/>
    <w:rsid w:val="00F97838"/>
    <w:rsid w:val="00FA1026"/>
    <w:rsid w:val="00FA2BB3"/>
    <w:rsid w:val="00FB4539"/>
    <w:rsid w:val="00FB4C80"/>
    <w:rsid w:val="00FB4D8E"/>
    <w:rsid w:val="00FB6A6A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55B53D1-C606-42CD-A534-94E70CD3C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2568</TotalTime>
  <Pages>3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 User</cp:lastModifiedBy>
  <cp:revision>192</cp:revision>
  <cp:lastPrinted>2008-01-31T06:09:00Z</cp:lastPrinted>
  <dcterms:created xsi:type="dcterms:W3CDTF">2017-02-04T03:01:00Z</dcterms:created>
  <dcterms:modified xsi:type="dcterms:W3CDTF">2017-05-15T04:23:00Z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