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2E0E77" w14:textId="7D2B3210"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845F3F">
        <w:rPr>
          <w:b/>
          <w:noProof/>
          <w:sz w:val="24"/>
        </w:rPr>
        <w:t>5</w:t>
      </w:r>
      <w:r w:rsidRPr="00116EF7">
        <w:rPr>
          <w:b/>
          <w:noProof/>
          <w:sz w:val="24"/>
        </w:rPr>
        <w:tab/>
      </w:r>
      <w:r w:rsidR="00024C18" w:rsidRPr="00116EF7">
        <w:rPr>
          <w:b/>
          <w:noProof/>
          <w:sz w:val="24"/>
        </w:rPr>
        <w:t>R3-</w:t>
      </w:r>
      <w:r w:rsidR="00646C7D" w:rsidRPr="00116EF7">
        <w:rPr>
          <w:b/>
          <w:noProof/>
          <w:sz w:val="24"/>
        </w:rPr>
        <w:t>2</w:t>
      </w:r>
      <w:r w:rsidR="00417685">
        <w:rPr>
          <w:b/>
          <w:noProof/>
          <w:sz w:val="24"/>
        </w:rPr>
        <w:t>4</w:t>
      </w:r>
      <w:r w:rsidR="009F4146">
        <w:rPr>
          <w:b/>
          <w:noProof/>
          <w:sz w:val="24"/>
        </w:rPr>
        <w:t>4148</w:t>
      </w:r>
    </w:p>
    <w:p w14:paraId="33EDC931" w14:textId="5FEB0C7D" w:rsidR="00EE0733" w:rsidRDefault="009608B1" w:rsidP="002A37C8">
      <w:pPr>
        <w:pStyle w:val="CRCoverPage"/>
        <w:rPr>
          <w:b/>
          <w:noProof/>
          <w:sz w:val="24"/>
        </w:rPr>
      </w:pPr>
      <w:bookmarkStart w:id="2" w:name="_Hlk19781143"/>
      <w:r>
        <w:rPr>
          <w:b/>
          <w:noProof/>
          <w:sz w:val="24"/>
        </w:rPr>
        <w:t>Maastricht, Netherlands</w:t>
      </w:r>
      <w:r w:rsidR="001E4B6E">
        <w:rPr>
          <w:b/>
          <w:noProof/>
          <w:sz w:val="24"/>
        </w:rPr>
        <w:t xml:space="preserve">, </w:t>
      </w:r>
      <w:r>
        <w:rPr>
          <w:b/>
          <w:noProof/>
          <w:sz w:val="24"/>
        </w:rPr>
        <w:t>19-23</w:t>
      </w:r>
      <w:r w:rsidR="001E4B6E">
        <w:rPr>
          <w:b/>
          <w:noProof/>
          <w:sz w:val="24"/>
        </w:rPr>
        <w:t xml:space="preserve"> </w:t>
      </w:r>
      <w:r w:rsidR="00845F3F">
        <w:rPr>
          <w:b/>
          <w:noProof/>
          <w:sz w:val="24"/>
        </w:rPr>
        <w:t>August</w:t>
      </w:r>
      <w:r w:rsidR="00082238">
        <w:rPr>
          <w:b/>
          <w:noProof/>
          <w:sz w:val="24"/>
        </w:rPr>
        <w:t xml:space="preserve"> 2024</w:t>
      </w:r>
    </w:p>
    <w:bookmarkEnd w:id="0"/>
    <w:bookmarkEnd w:id="2"/>
    <w:p w14:paraId="399151FE" w14:textId="77777777" w:rsidR="00EE0733" w:rsidRPr="00116EF7" w:rsidRDefault="00EE0733" w:rsidP="00116EF7">
      <w:pPr>
        <w:pStyle w:val="CRCoverPage"/>
        <w:rPr>
          <w:b/>
          <w:bCs/>
          <w:sz w:val="24"/>
          <w:lang w:eastAsia="ja-JP"/>
        </w:rPr>
      </w:pPr>
    </w:p>
    <w:p w14:paraId="1703601B" w14:textId="6AB5AE30"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4260ED">
        <w:rPr>
          <w:b/>
          <w:bCs/>
        </w:rPr>
        <w:t>16.2</w:t>
      </w:r>
    </w:p>
    <w:p w14:paraId="778AB5AF" w14:textId="68B7C30F" w:rsidR="005F436C" w:rsidRPr="00116EF7" w:rsidRDefault="005F436C" w:rsidP="00116EF7">
      <w:pPr>
        <w:pStyle w:val="CRCoverPage"/>
        <w:ind w:left="1985" w:hanging="1985"/>
        <w:rPr>
          <w:b/>
          <w:bCs/>
          <w:lang w:eastAsia="ja-JP"/>
        </w:rPr>
      </w:pPr>
      <w:r w:rsidRPr="00116EF7">
        <w:rPr>
          <w:b/>
          <w:bCs/>
        </w:rPr>
        <w:t>Source:</w:t>
      </w:r>
      <w:r w:rsidRPr="00116EF7">
        <w:rPr>
          <w:b/>
          <w:bCs/>
        </w:rPr>
        <w:tab/>
      </w:r>
      <w:r w:rsidR="00845F3F">
        <w:rPr>
          <w:b/>
          <w:bCs/>
        </w:rPr>
        <w:t xml:space="preserve">MediaTek Inc. </w:t>
      </w:r>
    </w:p>
    <w:p w14:paraId="1F68FE86" w14:textId="7F2D0D7F" w:rsidR="005F436C" w:rsidRPr="00116EF7" w:rsidRDefault="005F436C" w:rsidP="009A1081">
      <w:pPr>
        <w:pStyle w:val="CRCoverPage"/>
        <w:ind w:left="1985" w:hanging="1985"/>
        <w:rPr>
          <w:b/>
          <w:bCs/>
          <w:lang w:eastAsia="ja-JP"/>
        </w:rPr>
      </w:pPr>
      <w:r w:rsidRPr="00116EF7">
        <w:rPr>
          <w:b/>
          <w:bCs/>
        </w:rPr>
        <w:t>Title:</w:t>
      </w:r>
      <w:r w:rsidRPr="00116EF7">
        <w:rPr>
          <w:b/>
          <w:bCs/>
        </w:rPr>
        <w:tab/>
      </w:r>
      <w:r w:rsidR="00A01605" w:rsidRPr="00A01605">
        <w:rPr>
          <w:b/>
          <w:bCs/>
        </w:rPr>
        <w:t>A</w:t>
      </w:r>
      <w:r w:rsidR="00845F3F">
        <w:rPr>
          <w:b/>
          <w:bCs/>
        </w:rPr>
        <w:t>-</w:t>
      </w:r>
      <w:r w:rsidR="00A01605" w:rsidRPr="00A01605">
        <w:rPr>
          <w:b/>
          <w:bCs/>
        </w:rPr>
        <w:t>IoT</w:t>
      </w:r>
      <w:r w:rsidR="00845F3F">
        <w:rPr>
          <w:b/>
          <w:bCs/>
        </w:rPr>
        <w:t xml:space="preserve"> </w:t>
      </w:r>
      <w:r w:rsidR="00A01605" w:rsidRPr="00A01605">
        <w:rPr>
          <w:b/>
          <w:bCs/>
        </w:rPr>
        <w:t>Architecture</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3C9C1B0D" w14:textId="6A2E4181" w:rsidR="00845F3F" w:rsidRPr="00357155" w:rsidRDefault="00EE0733" w:rsidP="00357155">
      <w:pPr>
        <w:pStyle w:val="Heading1"/>
        <w:rPr>
          <w:rFonts w:cs="Arial"/>
        </w:rPr>
      </w:pPr>
      <w:r>
        <w:rPr>
          <w:rFonts w:cs="Arial"/>
        </w:rPr>
        <w:t>1</w:t>
      </w:r>
      <w:r>
        <w:rPr>
          <w:rFonts w:cs="Arial"/>
        </w:rPr>
        <w:tab/>
        <w:t>Introduction</w:t>
      </w:r>
      <w:r w:rsidR="00845F3F">
        <w:t xml:space="preserve"> </w:t>
      </w:r>
    </w:p>
    <w:p w14:paraId="253B8B08" w14:textId="55503D8E" w:rsidR="009608B1" w:rsidRDefault="009608B1" w:rsidP="009608B1">
      <w:r>
        <w:t xml:space="preserve">Ambient IoT involves the following </w:t>
      </w:r>
      <w:r w:rsidR="0070229F">
        <w:t xml:space="preserve">considerations </w:t>
      </w:r>
      <w:r>
        <w:t>for the reader:</w:t>
      </w:r>
    </w:p>
    <w:p w14:paraId="4BC690FF" w14:textId="7BB9E2B7" w:rsidR="00845F3F" w:rsidRDefault="00845F3F" w:rsidP="00CB6633">
      <w:pPr>
        <w:pStyle w:val="ListParagraph"/>
        <w:numPr>
          <w:ilvl w:val="0"/>
          <w:numId w:val="19"/>
        </w:numPr>
      </w:pPr>
      <w:r>
        <w:t>It is important to allow implementation of a small portable A-IoT reader</w:t>
      </w:r>
      <w:r w:rsidR="00357155">
        <w:t xml:space="preserve"> entity</w:t>
      </w:r>
      <w:r>
        <w:t xml:space="preserve">, especially since wide coverage cannot be expected even with high performance reader implementations. </w:t>
      </w:r>
    </w:p>
    <w:p w14:paraId="1BB56739" w14:textId="1652F0E2" w:rsidR="00845F3F" w:rsidRDefault="00845F3F" w:rsidP="00CB6633">
      <w:pPr>
        <w:pStyle w:val="ListParagraph"/>
        <w:numPr>
          <w:ilvl w:val="0"/>
          <w:numId w:val="19"/>
        </w:numPr>
      </w:pPr>
      <w:r>
        <w:t xml:space="preserve">It is important to allow such portable reader </w:t>
      </w:r>
      <w:r w:rsidR="00357155">
        <w:t xml:space="preserve">entity </w:t>
      </w:r>
      <w:r>
        <w:t xml:space="preserve">to be implemented as a consumer device, based on a UE platform. </w:t>
      </w:r>
    </w:p>
    <w:p w14:paraId="1945AE5B" w14:textId="4207D991" w:rsidR="00845F3F" w:rsidRDefault="006C1288" w:rsidP="00CB6633">
      <w:r w:rsidRPr="00942BF3">
        <w:rPr>
          <w:b/>
          <w:bCs/>
        </w:rPr>
        <w:t>Opinion</w:t>
      </w:r>
      <w:r>
        <w:t xml:space="preserve">: </w:t>
      </w:r>
      <w:r w:rsidR="00845F3F">
        <w:t>The above is the main purpose of A-IoT Topology 2.</w:t>
      </w:r>
      <w:r w:rsidR="00357155">
        <w:t xml:space="preserve"> This paper discusses the related architectural consequences. </w:t>
      </w:r>
    </w:p>
    <w:p w14:paraId="614DD669" w14:textId="328A9A91" w:rsidR="00357155" w:rsidRDefault="00EE0733" w:rsidP="00357155">
      <w:pPr>
        <w:pStyle w:val="Heading1"/>
      </w:pPr>
      <w:r>
        <w:t>2</w:t>
      </w:r>
      <w:r>
        <w:tab/>
      </w:r>
      <w:r w:rsidR="00357155">
        <w:t>Reader as a Consumer Device in Topology 2</w:t>
      </w:r>
      <w:bookmarkStart w:id="3" w:name="_Toc367182965"/>
      <w:bookmarkStart w:id="4" w:name="_Toc160111601"/>
    </w:p>
    <w:p w14:paraId="177B56F6" w14:textId="4232573C" w:rsidR="009608B1" w:rsidRPr="00CB6633" w:rsidRDefault="009608B1" w:rsidP="00357155">
      <w:r>
        <w:t xml:space="preserve">This discussion relates to topology 2, in which the reader entity is </w:t>
      </w:r>
      <w:r w:rsidR="009259AE">
        <w:t>an intermediate</w:t>
      </w:r>
      <w:r>
        <w:t xml:space="preserve"> </w:t>
      </w:r>
      <w:r w:rsidR="00CB6633">
        <w:t>node</w:t>
      </w:r>
      <w:r>
        <w:t xml:space="preserve">, intended as described in section 1 to be realised in a small portable device on a consumer UE platform. </w:t>
      </w:r>
    </w:p>
    <w:p w14:paraId="5CA1E20C" w14:textId="65696602" w:rsidR="00357155" w:rsidRPr="00357155" w:rsidRDefault="00357155" w:rsidP="00357155">
      <w:pPr>
        <w:rPr>
          <w:b/>
          <w:bCs/>
          <w:u w:val="single"/>
        </w:rPr>
      </w:pPr>
      <w:r w:rsidRPr="00357155">
        <w:rPr>
          <w:b/>
          <w:bCs/>
          <w:u w:val="single"/>
        </w:rPr>
        <w:t xml:space="preserve">For topology 2: </w:t>
      </w:r>
    </w:p>
    <w:p w14:paraId="32A7DD9A" w14:textId="63DB8FC5" w:rsidR="00357155" w:rsidRDefault="00357155" w:rsidP="00357155">
      <w:r>
        <w:t xml:space="preserve">A </w:t>
      </w:r>
      <w:r w:rsidRPr="00357155">
        <w:t xml:space="preserve">portable reader </w:t>
      </w:r>
      <w:r>
        <w:t xml:space="preserve">entity </w:t>
      </w:r>
      <w:r w:rsidRPr="00357155">
        <w:t>be</w:t>
      </w:r>
      <w:r>
        <w:t>ing</w:t>
      </w:r>
      <w:r w:rsidRPr="00357155">
        <w:t xml:space="preserve"> implemented as a consumer device, based on a UE platform</w:t>
      </w:r>
      <w:r>
        <w:t xml:space="preserve">, involves </w:t>
      </w:r>
      <w:r w:rsidR="009259AE">
        <w:t xml:space="preserve">minimising impact especially to the </w:t>
      </w:r>
      <w:proofErr w:type="spellStart"/>
      <w:r w:rsidR="009259AE">
        <w:t>Uu</w:t>
      </w:r>
      <w:proofErr w:type="spellEnd"/>
      <w:r w:rsidR="009259AE">
        <w:t xml:space="preserve"> interface and related layers of the UE.  In particular, the existing </w:t>
      </w:r>
      <w:proofErr w:type="spellStart"/>
      <w:r w:rsidR="009259AE">
        <w:t>Uu</w:t>
      </w:r>
      <w:proofErr w:type="spellEnd"/>
      <w:r w:rsidR="009259AE">
        <w:t xml:space="preserve"> functionality should be reused wherever possible, with the expectation that there are protocol impacts at layer 3 to introduce control of the UE reader by the </w:t>
      </w:r>
      <w:proofErr w:type="spellStart"/>
      <w:r w:rsidR="009259AE">
        <w:t>gNB</w:t>
      </w:r>
      <w:proofErr w:type="spellEnd"/>
      <w:r w:rsidR="009259AE">
        <w:t xml:space="preserve">.  No </w:t>
      </w:r>
      <w:r w:rsidR="006C1288">
        <w:t xml:space="preserve">RAN </w:t>
      </w:r>
      <w:r w:rsidR="009259AE">
        <w:t>network protocol should be extended to the reader, as this would impose significant impacts on the UE platform specific to A-IoT, preventing a clean implementation of the reader functionality on a consumer platform.  We thus have the following proposals:</w:t>
      </w:r>
    </w:p>
    <w:p w14:paraId="642277F7" w14:textId="0EEBD92A" w:rsidR="00357155" w:rsidRDefault="00357155" w:rsidP="00357155">
      <w:r w:rsidRPr="00357155">
        <w:rPr>
          <w:b/>
          <w:bCs/>
        </w:rPr>
        <w:t>Proposal 1:</w:t>
      </w:r>
      <w:r>
        <w:t xml:space="preserve"> </w:t>
      </w:r>
      <w:r w:rsidR="003F234E">
        <w:t xml:space="preserve">[RAN2/RAN3] </w:t>
      </w:r>
      <w:r>
        <w:t>For communication between the 3GPP network and the portable A-IoT reader entity</w:t>
      </w:r>
      <w:r w:rsidR="009259AE">
        <w:t xml:space="preserve"> in topology 2</w:t>
      </w:r>
      <w:r w:rsidR="006C1288">
        <w:t xml:space="preserve"> (</w:t>
      </w:r>
      <w:proofErr w:type="spellStart"/>
      <w:r w:rsidR="006C1288">
        <w:t>AIoT</w:t>
      </w:r>
      <w:proofErr w:type="spellEnd"/>
      <w:r w:rsidR="006C1288">
        <w:t>-enabled UE)</w:t>
      </w:r>
      <w:r>
        <w:t>, reuse of Rel-1</w:t>
      </w:r>
      <w:r w:rsidR="00CB6633">
        <w:t>8</w:t>
      </w:r>
      <w:r>
        <w:t xml:space="preserve"> </w:t>
      </w:r>
      <w:proofErr w:type="spellStart"/>
      <w:r>
        <w:t>Uu</w:t>
      </w:r>
      <w:proofErr w:type="spellEnd"/>
      <w:r>
        <w:t xml:space="preserve"> functionality, protocols and principles </w:t>
      </w:r>
      <w:r w:rsidR="006C1288">
        <w:t>is assumed</w:t>
      </w:r>
      <w:r>
        <w:t>, with no requirement to use any Rel-1</w:t>
      </w:r>
      <w:r w:rsidR="00CB6633">
        <w:t>8</w:t>
      </w:r>
      <w:r>
        <w:t xml:space="preserve"> network protocol</w:t>
      </w:r>
      <w:r w:rsidR="006C1288">
        <w:t>, neither</w:t>
      </w:r>
      <w:r w:rsidR="0070229F">
        <w:t xml:space="preserve"> </w:t>
      </w:r>
      <w:r w:rsidR="006C1288">
        <w:t>CP nor UP</w:t>
      </w:r>
      <w:r>
        <w:t>.</w:t>
      </w:r>
    </w:p>
    <w:p w14:paraId="128B5E2B" w14:textId="3F700533" w:rsidR="00357155" w:rsidRDefault="00357155" w:rsidP="00357155">
      <w:r w:rsidRPr="00357155">
        <w:rPr>
          <w:b/>
          <w:bCs/>
        </w:rPr>
        <w:t xml:space="preserve">Proposal 2: </w:t>
      </w:r>
      <w:r w:rsidR="003F234E">
        <w:t xml:space="preserve">[RAN2/RAN3] </w:t>
      </w:r>
      <w:r>
        <w:t>For communication between the 3GPP network and the portable A-IoT reader entity</w:t>
      </w:r>
      <w:r w:rsidR="009259AE">
        <w:t xml:space="preserve"> in topology 2</w:t>
      </w:r>
      <w:r w:rsidR="006C1288">
        <w:t xml:space="preserve"> (</w:t>
      </w:r>
      <w:proofErr w:type="spellStart"/>
      <w:r w:rsidR="006C1288">
        <w:t>AIoT</w:t>
      </w:r>
      <w:proofErr w:type="spellEnd"/>
      <w:r w:rsidR="006C1288">
        <w:t>-enabled UE)</w:t>
      </w:r>
      <w:r>
        <w:t xml:space="preserve">, </w:t>
      </w:r>
      <w:proofErr w:type="spellStart"/>
      <w:r>
        <w:t>Uu</w:t>
      </w:r>
      <w:proofErr w:type="spellEnd"/>
      <w:r>
        <w:t xml:space="preserve"> L1/L2 is re-used as-is, including e.g. </w:t>
      </w:r>
      <w:proofErr w:type="spellStart"/>
      <w:r>
        <w:t>Uu</w:t>
      </w:r>
      <w:proofErr w:type="spellEnd"/>
      <w:r>
        <w:t xml:space="preserve"> AS security in PDCP. </w:t>
      </w:r>
    </w:p>
    <w:p w14:paraId="75D527CB" w14:textId="559641FD" w:rsidR="0070229F" w:rsidRDefault="0070229F" w:rsidP="0070229F">
      <w:pPr>
        <w:rPr>
          <w:noProof/>
        </w:rPr>
      </w:pPr>
      <w:r>
        <w:rPr>
          <w:noProof/>
        </w:rPr>
        <w:t xml:space="preserve">The AIoT RAN node function is assumed to do mainly resource handling for AIoT Radio, and thus there is a need for control information exchange between AIoT RAN node function and the Common Reader function. In topology 2, such communication between AIoT RAN node function and Common reader function can be carried by existing Uu protocols (RRC). </w:t>
      </w:r>
    </w:p>
    <w:p w14:paraId="7A753333" w14:textId="08F6EA11" w:rsidR="00357155" w:rsidRDefault="00357155" w:rsidP="00357155">
      <w:r w:rsidRPr="00357155">
        <w:rPr>
          <w:b/>
          <w:bCs/>
        </w:rPr>
        <w:t xml:space="preserve">Proposal </w:t>
      </w:r>
      <w:r w:rsidR="005854B9">
        <w:rPr>
          <w:b/>
          <w:bCs/>
        </w:rPr>
        <w:t>3</w:t>
      </w:r>
      <w:r w:rsidRPr="00357155">
        <w:rPr>
          <w:b/>
          <w:bCs/>
        </w:rPr>
        <w:t>:</w:t>
      </w:r>
      <w:r>
        <w:t xml:space="preserve"> </w:t>
      </w:r>
      <w:r w:rsidR="003F234E">
        <w:t>[RAN2</w:t>
      </w:r>
      <w:r w:rsidR="006C1288">
        <w:t>/RAN3</w:t>
      </w:r>
      <w:r w:rsidR="003F234E">
        <w:t xml:space="preserve">] </w:t>
      </w:r>
      <w:proofErr w:type="spellStart"/>
      <w:r>
        <w:t>Uu</w:t>
      </w:r>
      <w:proofErr w:type="spellEnd"/>
      <w:r>
        <w:t xml:space="preserve"> L3 </w:t>
      </w:r>
      <w:r w:rsidR="00CB6633">
        <w:t xml:space="preserve">(RRC) </w:t>
      </w:r>
      <w:r w:rsidR="009259AE">
        <w:t xml:space="preserve">may </w:t>
      </w:r>
      <w:r>
        <w:t>be extended for A-IoT radio resource handling between common reader and A-IoT</w:t>
      </w:r>
      <w:r w:rsidR="00224E0B">
        <w:t>-enabled</w:t>
      </w:r>
      <w:r>
        <w:t xml:space="preserve"> </w:t>
      </w:r>
      <w:proofErr w:type="spellStart"/>
      <w:r w:rsidR="00224E0B">
        <w:t>gNB</w:t>
      </w:r>
      <w:proofErr w:type="spellEnd"/>
      <w:r>
        <w:t>.</w:t>
      </w:r>
      <w:r w:rsidR="009259AE">
        <w:t xml:space="preserve"> No new protocol is foreseen.</w:t>
      </w:r>
    </w:p>
    <w:p w14:paraId="4643CDDB" w14:textId="03339AB3" w:rsidR="00357155" w:rsidRDefault="00357155" w:rsidP="00357155">
      <w:r w:rsidRPr="00357155">
        <w:rPr>
          <w:b/>
          <w:bCs/>
        </w:rPr>
        <w:t xml:space="preserve">Proposal </w:t>
      </w:r>
      <w:r w:rsidR="005854B9">
        <w:rPr>
          <w:b/>
          <w:bCs/>
        </w:rPr>
        <w:t>4</w:t>
      </w:r>
      <w:r w:rsidRPr="00357155">
        <w:rPr>
          <w:b/>
          <w:bCs/>
        </w:rPr>
        <w:t>:</w:t>
      </w:r>
      <w:r>
        <w:t xml:space="preserve"> </w:t>
      </w:r>
      <w:r w:rsidR="003F234E">
        <w:t>[</w:t>
      </w:r>
      <w:r w:rsidR="006C1288">
        <w:t>RAN2/</w:t>
      </w:r>
      <w:r w:rsidR="003F234E">
        <w:t xml:space="preserve">RAN3] </w:t>
      </w:r>
      <w:proofErr w:type="spellStart"/>
      <w:r>
        <w:t>Uu</w:t>
      </w:r>
      <w:proofErr w:type="spellEnd"/>
      <w:r>
        <w:t xml:space="preserve"> L3 </w:t>
      </w:r>
      <w:r w:rsidR="00CB6633">
        <w:t>(NAS)</w:t>
      </w:r>
      <w:r w:rsidR="006C1288">
        <w:t xml:space="preserve"> or </w:t>
      </w:r>
      <w:proofErr w:type="spellStart"/>
      <w:r w:rsidR="006C1288">
        <w:t>Uu</w:t>
      </w:r>
      <w:proofErr w:type="spellEnd"/>
      <w:r w:rsidR="006C1288">
        <w:t xml:space="preserve"> user plane</w:t>
      </w:r>
      <w:r w:rsidR="00CB6633">
        <w:t xml:space="preserve"> </w:t>
      </w:r>
      <w:r w:rsidR="005854B9">
        <w:t xml:space="preserve">may </w:t>
      </w:r>
      <w:r>
        <w:t xml:space="preserve">be </w:t>
      </w:r>
      <w:r w:rsidR="006C1288">
        <w:t xml:space="preserve">used to carry </w:t>
      </w:r>
      <w:r>
        <w:t xml:space="preserve">communication </w:t>
      </w:r>
      <w:r w:rsidR="006C1288">
        <w:t>between A-IoT common reader and</w:t>
      </w:r>
      <w:r>
        <w:t xml:space="preserve"> </w:t>
      </w:r>
      <w:r w:rsidR="006C1288">
        <w:t xml:space="preserve">A-IoT </w:t>
      </w:r>
      <w:r>
        <w:t xml:space="preserve">Core Network. </w:t>
      </w:r>
      <w:r w:rsidR="009259AE">
        <w:t xml:space="preserve"> Whether a new protocol is introduced for this purpose is outside RAN scope.</w:t>
      </w:r>
      <w:r w:rsidR="006C1288">
        <w:t xml:space="preserve"> </w:t>
      </w:r>
    </w:p>
    <w:p w14:paraId="17DAE955" w14:textId="6DC28324" w:rsidR="009259AE" w:rsidRDefault="009259AE" w:rsidP="00357155">
      <w:r>
        <w:t>The model shown in figure 1 below was proposed at RAN3#124, introducing the concept of an A</w:t>
      </w:r>
      <w:r w:rsidR="00224E0B">
        <w:t>-</w:t>
      </w:r>
      <w:r>
        <w:t>IoT “RAS” (Radio Access System)</w:t>
      </w:r>
      <w:r w:rsidR="00B42501">
        <w:t xml:space="preserve"> comprising the A-IoT-specific functions of the </w:t>
      </w:r>
      <w:proofErr w:type="spellStart"/>
      <w:r w:rsidR="00B42501">
        <w:t>gNB</w:t>
      </w:r>
      <w:proofErr w:type="spellEnd"/>
      <w:r w:rsidR="00B42501">
        <w:t xml:space="preserve"> and the </w:t>
      </w:r>
      <w:r w:rsidR="0070229F">
        <w:t xml:space="preserve">common reader function housed with the </w:t>
      </w:r>
      <w:proofErr w:type="spellStart"/>
      <w:r w:rsidR="0070229F">
        <w:t>AIoT</w:t>
      </w:r>
      <w:proofErr w:type="spellEnd"/>
      <w:r w:rsidR="0070229F">
        <w:t xml:space="preserve">-enabled </w:t>
      </w:r>
      <w:r w:rsidR="00B42501">
        <w:t xml:space="preserve">UE.  </w:t>
      </w:r>
    </w:p>
    <w:bookmarkEnd w:id="3"/>
    <w:bookmarkEnd w:id="4"/>
    <w:p w14:paraId="411EAA8C" w14:textId="77777777" w:rsidR="00357155" w:rsidRDefault="00357155" w:rsidP="004260ED">
      <w:pPr>
        <w:pStyle w:val="TF"/>
      </w:pPr>
    </w:p>
    <w:p w14:paraId="1F18EC72" w14:textId="77777777" w:rsidR="009259AE" w:rsidRDefault="00D20313" w:rsidP="009259AE">
      <w:pPr>
        <w:pStyle w:val="TH"/>
      </w:pPr>
      <w:r>
        <w:object w:dxaOrig="10546" w:dyaOrig="3677" w14:anchorId="1151A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7.25pt" o:ole="">
            <v:imagedata r:id="rId12" o:title=""/>
          </v:shape>
          <o:OLEObject Type="Embed" ProgID="Visio.Drawing.15" ShapeID="_x0000_i1025" DrawAspect="Content" ObjectID="_1784630484" r:id="rId13"/>
        </w:object>
      </w:r>
    </w:p>
    <w:p w14:paraId="7037697F" w14:textId="643BB43C" w:rsidR="00165C37" w:rsidRDefault="009259AE" w:rsidP="00CB6633">
      <w:pPr>
        <w:pStyle w:val="Caption"/>
        <w:jc w:val="center"/>
      </w:pPr>
      <w:r>
        <w:t xml:space="preserve">Figure </w:t>
      </w:r>
      <w:fldSimple w:instr=" SEQ Figure \* ARABIC ">
        <w:r>
          <w:rPr>
            <w:noProof/>
          </w:rPr>
          <w:t>1</w:t>
        </w:r>
      </w:fldSimple>
      <w:r>
        <w:t>: Deployment scenario for topology 2</w:t>
      </w:r>
    </w:p>
    <w:p w14:paraId="376F21FC" w14:textId="4BA1035A" w:rsidR="001E41F3" w:rsidRDefault="00B42501">
      <w:pPr>
        <w:rPr>
          <w:noProof/>
        </w:rPr>
      </w:pPr>
      <w:r>
        <w:rPr>
          <w:b/>
          <w:bCs/>
          <w:noProof/>
        </w:rPr>
        <w:t xml:space="preserve">Proposal </w:t>
      </w:r>
      <w:r w:rsidR="005854B9">
        <w:rPr>
          <w:b/>
          <w:bCs/>
          <w:noProof/>
        </w:rPr>
        <w:t>5</w:t>
      </w:r>
      <w:r>
        <w:rPr>
          <w:b/>
          <w:bCs/>
          <w:noProof/>
        </w:rPr>
        <w:t>:</w:t>
      </w:r>
      <w:r>
        <w:rPr>
          <w:noProof/>
        </w:rPr>
        <w:t xml:space="preserve"> </w:t>
      </w:r>
      <w:r w:rsidR="003F234E">
        <w:rPr>
          <w:noProof/>
        </w:rPr>
        <w:t xml:space="preserve">[RAN2/RAN3] </w:t>
      </w:r>
      <w:r w:rsidR="0070229F">
        <w:rPr>
          <w:noProof/>
        </w:rPr>
        <w:t xml:space="preserve">WG Responsibilites to be confirmed as follows: </w:t>
      </w:r>
    </w:p>
    <w:p w14:paraId="3FEBF1FD" w14:textId="77777777" w:rsidR="0070229F" w:rsidRDefault="00B42501" w:rsidP="00B42501">
      <w:pPr>
        <w:pStyle w:val="ListParagraph"/>
        <w:numPr>
          <w:ilvl w:val="0"/>
          <w:numId w:val="19"/>
        </w:numPr>
        <w:rPr>
          <w:noProof/>
        </w:rPr>
      </w:pPr>
      <w:r>
        <w:rPr>
          <w:noProof/>
        </w:rPr>
        <w:t>The Uu interface is reused under RAN2 responsibility between the A-IoT-enabled gNB and the A-IoT-enabled UE</w:t>
      </w:r>
      <w:r w:rsidR="0070229F">
        <w:rPr>
          <w:noProof/>
        </w:rPr>
        <w:t xml:space="preserve">. </w:t>
      </w:r>
    </w:p>
    <w:p w14:paraId="373244CE" w14:textId="1D8AA9B7" w:rsidR="00B42501" w:rsidRDefault="0070229F" w:rsidP="00B42501">
      <w:pPr>
        <w:pStyle w:val="ListParagraph"/>
        <w:numPr>
          <w:ilvl w:val="0"/>
          <w:numId w:val="19"/>
        </w:numPr>
        <w:rPr>
          <w:noProof/>
        </w:rPr>
      </w:pPr>
      <w:r>
        <w:rPr>
          <w:noProof/>
        </w:rPr>
        <w:t>RAN3 is expected to, in cooperation with other relevant groups, specify the role and responsibility of the AIoT RAN Node Function</w:t>
      </w:r>
      <w:r w:rsidR="007C70E3">
        <w:rPr>
          <w:noProof/>
        </w:rPr>
        <w:t>.</w:t>
      </w:r>
    </w:p>
    <w:p w14:paraId="510333BA" w14:textId="1783A552" w:rsidR="0070229F" w:rsidRDefault="00B42501" w:rsidP="007C70E3">
      <w:pPr>
        <w:pStyle w:val="ListParagraph"/>
        <w:numPr>
          <w:ilvl w:val="0"/>
          <w:numId w:val="19"/>
        </w:numPr>
        <w:rPr>
          <w:noProof/>
        </w:rPr>
      </w:pPr>
      <w:r>
        <w:rPr>
          <w:noProof/>
        </w:rPr>
        <w:t>The interface</w:t>
      </w:r>
      <w:r w:rsidR="00224E0B">
        <w:rPr>
          <w:noProof/>
        </w:rPr>
        <w:t xml:space="preserve"> between the CN and the A-IoT-enabled gNB</w:t>
      </w:r>
      <w:r>
        <w:rPr>
          <w:noProof/>
        </w:rPr>
        <w:t xml:space="preserve"> </w:t>
      </w:r>
      <w:r w:rsidR="00224E0B">
        <w:rPr>
          <w:noProof/>
        </w:rPr>
        <w:t>(</w:t>
      </w:r>
      <w:r>
        <w:rPr>
          <w:noProof/>
        </w:rPr>
        <w:t>labelled as “XX”</w:t>
      </w:r>
      <w:r w:rsidR="00224E0B">
        <w:rPr>
          <w:noProof/>
        </w:rPr>
        <w:t xml:space="preserve"> in the figure)</w:t>
      </w:r>
      <w:r>
        <w:rPr>
          <w:noProof/>
        </w:rPr>
        <w:t xml:space="preserve"> is specified under RAN3 responsibility between the A-IoT CN and the A-IoT-enabled gNB</w:t>
      </w:r>
      <w:r w:rsidR="007C70E3">
        <w:rPr>
          <w:noProof/>
        </w:rPr>
        <w:t>.</w:t>
      </w:r>
    </w:p>
    <w:p w14:paraId="01655698" w14:textId="69B00657" w:rsidR="00B42501" w:rsidRPr="00B42501" w:rsidRDefault="00B42501" w:rsidP="006C1288">
      <w:pPr>
        <w:pStyle w:val="ListParagraph"/>
        <w:numPr>
          <w:ilvl w:val="0"/>
          <w:numId w:val="19"/>
        </w:numPr>
        <w:rPr>
          <w:noProof/>
        </w:rPr>
      </w:pPr>
      <w:r>
        <w:rPr>
          <w:noProof/>
        </w:rPr>
        <w:t>The A-IoT radio is specified under RAN2</w:t>
      </w:r>
      <w:r w:rsidR="0070229F">
        <w:rPr>
          <w:noProof/>
        </w:rPr>
        <w:t>/RAN1</w:t>
      </w:r>
      <w:r>
        <w:rPr>
          <w:noProof/>
        </w:rPr>
        <w:t xml:space="preserve"> responsibility between the common reader function and the A-IoT device (i.e., no change from current specification responsibilities and processes)</w:t>
      </w:r>
      <w:r w:rsidR="007C70E3">
        <w:rPr>
          <w:noProof/>
        </w:rPr>
        <w:t>.</w:t>
      </w:r>
    </w:p>
    <w:p w14:paraId="569FD9AC" w14:textId="388D471F" w:rsidR="00357155" w:rsidRDefault="000C33CB" w:rsidP="00357155">
      <w:r>
        <w:t>A generic version of the architecture, excluding the topology 2-specific aspects, is shown in figure 2.</w:t>
      </w:r>
    </w:p>
    <w:p w14:paraId="3848EB8D" w14:textId="77777777" w:rsidR="009259AE" w:rsidRDefault="00357155" w:rsidP="009259AE">
      <w:pPr>
        <w:pStyle w:val="TH"/>
      </w:pPr>
      <w:r>
        <w:object w:dxaOrig="9970" w:dyaOrig="1110" w14:anchorId="2C3DB6F0">
          <v:shape id="_x0000_i1026" type="#_x0000_t75" style="width:498.75pt;height:55.5pt" o:ole="">
            <v:imagedata r:id="rId14" o:title=""/>
          </v:shape>
          <o:OLEObject Type="Embed" ProgID="Visio.Drawing.15" ShapeID="_x0000_i1026" DrawAspect="Content" ObjectID="_1784630485" r:id="rId15"/>
        </w:object>
      </w:r>
    </w:p>
    <w:p w14:paraId="4D6E7612" w14:textId="695FC92C" w:rsidR="00357155" w:rsidRDefault="009259AE" w:rsidP="00CB6633">
      <w:pPr>
        <w:pStyle w:val="Caption"/>
        <w:jc w:val="center"/>
      </w:pPr>
      <w:r>
        <w:t xml:space="preserve">Figure </w:t>
      </w:r>
      <w:fldSimple w:instr=" SEQ Figure \* ARABIC ">
        <w:r>
          <w:rPr>
            <w:noProof/>
          </w:rPr>
          <w:t>2</w:t>
        </w:r>
      </w:fldSimple>
      <w:r>
        <w:t>: Logical system architecture for A-IoT, common for topology 1 and topology 2</w:t>
      </w:r>
    </w:p>
    <w:p w14:paraId="492354A5" w14:textId="2EB8CBBD" w:rsidR="000C33CB" w:rsidRDefault="000C33CB" w:rsidP="000C33CB">
      <w:r>
        <w:t xml:space="preserve">This architecture </w:t>
      </w:r>
      <w:r w:rsidR="0070229F">
        <w:t>is</w:t>
      </w:r>
      <w:r>
        <w:t xml:space="preserve"> compatible with both topologies and should be workable in both RAN2 and RAN3 scope.</w:t>
      </w:r>
    </w:p>
    <w:p w14:paraId="0A18F533" w14:textId="026CE25D" w:rsidR="003F234E" w:rsidRPr="003F234E" w:rsidRDefault="003F234E" w:rsidP="000C33CB">
      <w:r>
        <w:rPr>
          <w:b/>
          <w:bCs/>
        </w:rPr>
        <w:t>Proposal 6:</w:t>
      </w:r>
      <w:r>
        <w:t xml:space="preserve"> [RAN3] Capture the logical architecture of figure 2 and the topology 2 deployment model in figure 1, and send an LS to SA2/RAN2 notifying them of the RAN3 view of the architecture.</w:t>
      </w:r>
    </w:p>
    <w:p w14:paraId="5D915D3B" w14:textId="26D3AF14" w:rsidR="00357155" w:rsidRDefault="00357155" w:rsidP="00357155">
      <w:pPr>
        <w:pStyle w:val="Heading1"/>
      </w:pPr>
      <w:r>
        <w:t>3</w:t>
      </w:r>
      <w:r>
        <w:tab/>
        <w:t>Conclusions</w:t>
      </w:r>
    </w:p>
    <w:p w14:paraId="7E287F68" w14:textId="30A7E3AF" w:rsidR="00BC2F40" w:rsidRDefault="00BC2F40">
      <w:pPr>
        <w:rPr>
          <w:noProof/>
        </w:rPr>
      </w:pPr>
      <w:r>
        <w:rPr>
          <w:noProof/>
        </w:rPr>
        <w:t>This document promulgated the following proposals:</w:t>
      </w:r>
    </w:p>
    <w:p w14:paraId="0B0A6475" w14:textId="77777777" w:rsidR="0070229F" w:rsidRDefault="0070229F" w:rsidP="0070229F">
      <w:r>
        <w:rPr>
          <w:b/>
          <w:bCs/>
        </w:rPr>
        <w:t>Proposal 1:</w:t>
      </w:r>
      <w:r>
        <w:t xml:space="preserve"> [RAN2/RAN3] For communication between the 3GPP network and the portable A-IoT reader entity in topology 2 (</w:t>
      </w:r>
      <w:proofErr w:type="spellStart"/>
      <w:r>
        <w:t>AIoT</w:t>
      </w:r>
      <w:proofErr w:type="spellEnd"/>
      <w:r>
        <w:t xml:space="preserve">-enabled UE), reuse of Rel-18 </w:t>
      </w:r>
      <w:proofErr w:type="spellStart"/>
      <w:r>
        <w:t>Uu</w:t>
      </w:r>
      <w:proofErr w:type="spellEnd"/>
      <w:r>
        <w:t xml:space="preserve"> functionality, protocols and principles is assumed, with no requirement to use any Rel-18 network protocol, neither CP nor UP.</w:t>
      </w:r>
    </w:p>
    <w:p w14:paraId="28BC86C4" w14:textId="77777777" w:rsidR="0070229F" w:rsidRDefault="0070229F" w:rsidP="0070229F">
      <w:r>
        <w:rPr>
          <w:b/>
          <w:bCs/>
        </w:rPr>
        <w:t xml:space="preserve">Proposal 2: </w:t>
      </w:r>
      <w:r>
        <w:t>[RAN2/RAN3] For communication between the 3GPP network and the portable A-IoT reader entity in topology 2 (</w:t>
      </w:r>
      <w:proofErr w:type="spellStart"/>
      <w:r>
        <w:t>AIoT</w:t>
      </w:r>
      <w:proofErr w:type="spellEnd"/>
      <w:r>
        <w:t xml:space="preserve">-enabled UE), </w:t>
      </w:r>
      <w:proofErr w:type="spellStart"/>
      <w:r>
        <w:t>Uu</w:t>
      </w:r>
      <w:proofErr w:type="spellEnd"/>
      <w:r>
        <w:t xml:space="preserve"> L1/L2 is re-used as-is, including e.g. </w:t>
      </w:r>
      <w:proofErr w:type="spellStart"/>
      <w:r>
        <w:t>Uu</w:t>
      </w:r>
      <w:proofErr w:type="spellEnd"/>
      <w:r>
        <w:t xml:space="preserve"> AS security in PDCP. </w:t>
      </w:r>
    </w:p>
    <w:p w14:paraId="5F9E0765" w14:textId="77777777" w:rsidR="0070229F" w:rsidRDefault="0070229F" w:rsidP="0070229F">
      <w:r>
        <w:rPr>
          <w:b/>
          <w:bCs/>
        </w:rPr>
        <w:t>Proposal 3:</w:t>
      </w:r>
      <w:r>
        <w:t xml:space="preserve"> [RAN2/RAN3] </w:t>
      </w:r>
      <w:proofErr w:type="spellStart"/>
      <w:r>
        <w:t>Uu</w:t>
      </w:r>
      <w:proofErr w:type="spellEnd"/>
      <w:r>
        <w:t xml:space="preserve"> L3 (RRC) may be extended for A-IoT radio resource handling between common reader and A-IoT-enabled </w:t>
      </w:r>
      <w:proofErr w:type="spellStart"/>
      <w:r>
        <w:t>gNB</w:t>
      </w:r>
      <w:proofErr w:type="spellEnd"/>
      <w:r>
        <w:t>. No new protocol is foreseen.</w:t>
      </w:r>
    </w:p>
    <w:p w14:paraId="7713A230" w14:textId="7471378F" w:rsidR="0070229F" w:rsidRDefault="0070229F">
      <w:r>
        <w:rPr>
          <w:b/>
          <w:bCs/>
        </w:rPr>
        <w:t>Proposal 4:</w:t>
      </w:r>
      <w:r>
        <w:t xml:space="preserve"> [RAN2/RAN3] </w:t>
      </w:r>
      <w:proofErr w:type="spellStart"/>
      <w:r>
        <w:t>Uu</w:t>
      </w:r>
      <w:proofErr w:type="spellEnd"/>
      <w:r>
        <w:t xml:space="preserve"> L3 (NAS) or </w:t>
      </w:r>
      <w:proofErr w:type="spellStart"/>
      <w:r>
        <w:t>Uu</w:t>
      </w:r>
      <w:proofErr w:type="spellEnd"/>
      <w:r>
        <w:t xml:space="preserve"> user plane may be used to carry communication between A-IoT common reader and A-IoT Core Network.  Whether a new protocol is introduced for this purpose is outside RAN scope. </w:t>
      </w:r>
    </w:p>
    <w:p w14:paraId="1811C420" w14:textId="77777777" w:rsidR="0070229F" w:rsidRDefault="0070229F" w:rsidP="0070229F">
      <w:pPr>
        <w:rPr>
          <w:noProof/>
        </w:rPr>
      </w:pPr>
      <w:r>
        <w:rPr>
          <w:b/>
          <w:bCs/>
          <w:noProof/>
        </w:rPr>
        <w:t>Proposal 5:</w:t>
      </w:r>
      <w:r>
        <w:rPr>
          <w:noProof/>
        </w:rPr>
        <w:t xml:space="preserve"> [RAN2/RAN3] WG Responsibilites to be confirmed as follows: </w:t>
      </w:r>
    </w:p>
    <w:p w14:paraId="7C9DBA84" w14:textId="77777777" w:rsidR="0070229F" w:rsidRDefault="0070229F" w:rsidP="0070229F">
      <w:pPr>
        <w:pStyle w:val="ListParagraph"/>
        <w:numPr>
          <w:ilvl w:val="0"/>
          <w:numId w:val="20"/>
        </w:numPr>
        <w:rPr>
          <w:noProof/>
        </w:rPr>
      </w:pPr>
      <w:r>
        <w:rPr>
          <w:noProof/>
        </w:rPr>
        <w:lastRenderedPageBreak/>
        <w:t xml:space="preserve">The Uu interface is reused under RAN2 responsibility between the A-IoT-enabled gNB and the A-IoT-enabled UE. </w:t>
      </w:r>
    </w:p>
    <w:p w14:paraId="4A095150" w14:textId="383E2D08" w:rsidR="0070229F" w:rsidRDefault="0070229F" w:rsidP="0070229F">
      <w:pPr>
        <w:pStyle w:val="ListParagraph"/>
        <w:numPr>
          <w:ilvl w:val="0"/>
          <w:numId w:val="20"/>
        </w:numPr>
        <w:rPr>
          <w:noProof/>
        </w:rPr>
      </w:pPr>
      <w:r>
        <w:rPr>
          <w:noProof/>
        </w:rPr>
        <w:t>RAN3 is expected to, in cooperation with other relevant groups, specify the role and responsibility of the AIoT RAN Node Function</w:t>
      </w:r>
      <w:r w:rsidR="007C70E3">
        <w:rPr>
          <w:noProof/>
        </w:rPr>
        <w:t>.</w:t>
      </w:r>
    </w:p>
    <w:p w14:paraId="62815189" w14:textId="257B4010" w:rsidR="0070229F" w:rsidRDefault="0070229F" w:rsidP="0070229F">
      <w:pPr>
        <w:pStyle w:val="ListParagraph"/>
        <w:numPr>
          <w:ilvl w:val="0"/>
          <w:numId w:val="20"/>
        </w:numPr>
        <w:rPr>
          <w:noProof/>
        </w:rPr>
      </w:pPr>
      <w:r>
        <w:rPr>
          <w:noProof/>
        </w:rPr>
        <w:t>The interface between the CN and the A-IoT-enabled gNB (labelled as “XX” in the figure) is specified under RAN3 responsibility between the A-IoT CN and the A-IoT-enabled gNB</w:t>
      </w:r>
      <w:r w:rsidR="007C70E3">
        <w:rPr>
          <w:noProof/>
        </w:rPr>
        <w:t>.</w:t>
      </w:r>
    </w:p>
    <w:p w14:paraId="3155AA18" w14:textId="5E8AC14A" w:rsidR="0070229F" w:rsidRPr="0070229F" w:rsidRDefault="0070229F" w:rsidP="00942BF3">
      <w:pPr>
        <w:pStyle w:val="ListParagraph"/>
        <w:numPr>
          <w:ilvl w:val="0"/>
          <w:numId w:val="20"/>
        </w:numPr>
        <w:rPr>
          <w:b/>
          <w:bCs/>
        </w:rPr>
      </w:pPr>
      <w:r>
        <w:rPr>
          <w:noProof/>
        </w:rPr>
        <w:t>The A-IoT radio is specified under RAN2/RAN1 responsibility between the common reader function and the A-IoT device (i.e., no change from current specification responsibilities and processes)</w:t>
      </w:r>
      <w:r w:rsidR="007C70E3">
        <w:rPr>
          <w:noProof/>
        </w:rPr>
        <w:t>.</w:t>
      </w:r>
    </w:p>
    <w:p w14:paraId="52BAB741" w14:textId="41D55CCB" w:rsidR="00357155" w:rsidRDefault="0070229F">
      <w:pPr>
        <w:rPr>
          <w:noProof/>
        </w:rPr>
      </w:pPr>
      <w:r>
        <w:rPr>
          <w:b/>
          <w:bCs/>
        </w:rPr>
        <w:t>Proposal 6:</w:t>
      </w:r>
      <w:r>
        <w:t xml:space="preserve"> [RAN3] Capture the logical architecture of figure 2 and the topology 2 deployment model in figure 1, and send an LS to SA2/RAN2 notifying them of the RAN3 view of the architecture.</w:t>
      </w:r>
    </w:p>
    <w:sectPr w:rsidR="00357155"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2CC90" w14:textId="77777777" w:rsidR="00B306CC" w:rsidRDefault="00B306CC">
      <w:r>
        <w:separator/>
      </w:r>
    </w:p>
  </w:endnote>
  <w:endnote w:type="continuationSeparator" w:id="0">
    <w:p w14:paraId="7289718B" w14:textId="77777777" w:rsidR="00B306CC" w:rsidRDefault="00B3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C216A" w14:textId="77777777" w:rsidR="00B306CC" w:rsidRDefault="00B306CC">
      <w:r>
        <w:separator/>
      </w:r>
    </w:p>
  </w:footnote>
  <w:footnote w:type="continuationSeparator" w:id="0">
    <w:p w14:paraId="6AD437E5" w14:textId="77777777" w:rsidR="00B306CC" w:rsidRDefault="00B30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B102642"/>
    <w:multiLevelType w:val="hybridMultilevel"/>
    <w:tmpl w:val="DE74C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292F98"/>
    <w:multiLevelType w:val="hybridMultilevel"/>
    <w:tmpl w:val="4D04F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E59017F"/>
    <w:multiLevelType w:val="hybridMultilevel"/>
    <w:tmpl w:val="20DA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2F40F7"/>
    <w:multiLevelType w:val="multilevel"/>
    <w:tmpl w:val="07BC0ECA"/>
    <w:lvl w:ilvl="0">
      <w:start w:val="2"/>
      <w:numFmt w:val="decimal"/>
      <w:lvlText w:val="%1"/>
      <w:lvlJc w:val="left"/>
      <w:pPr>
        <w:ind w:left="450" w:hanging="450"/>
      </w:pPr>
      <w:rPr>
        <w:rFonts w:ascii="Times New Roman" w:hAnsi="Times New Roman" w:hint="default"/>
        <w:sz w:val="20"/>
      </w:rPr>
    </w:lvl>
    <w:lvl w:ilvl="1">
      <w:start w:val="1"/>
      <w:numFmt w:val="decimal"/>
      <w:lvlText w:val="%1.%2"/>
      <w:lvlJc w:val="left"/>
      <w:pPr>
        <w:ind w:left="450" w:hanging="450"/>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720" w:hanging="72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080" w:hanging="108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39130625">
    <w:abstractNumId w:val="2"/>
  </w:num>
  <w:num w:numId="2" w16cid:durableId="1627196519">
    <w:abstractNumId w:val="1"/>
  </w:num>
  <w:num w:numId="3" w16cid:durableId="796073114">
    <w:abstractNumId w:val="0"/>
  </w:num>
  <w:num w:numId="4" w16cid:durableId="876698214">
    <w:abstractNumId w:val="10"/>
  </w:num>
  <w:num w:numId="5" w16cid:durableId="1450587324">
    <w:abstractNumId w:val="9"/>
  </w:num>
  <w:num w:numId="6" w16cid:durableId="794911852">
    <w:abstractNumId w:val="7"/>
  </w:num>
  <w:num w:numId="7" w16cid:durableId="1455639490">
    <w:abstractNumId w:val="6"/>
  </w:num>
  <w:num w:numId="8" w16cid:durableId="1777944428">
    <w:abstractNumId w:val="5"/>
  </w:num>
  <w:num w:numId="9" w16cid:durableId="1025789196">
    <w:abstractNumId w:val="4"/>
  </w:num>
  <w:num w:numId="10" w16cid:durableId="897282585">
    <w:abstractNumId w:val="8"/>
  </w:num>
  <w:num w:numId="11" w16cid:durableId="1926576205">
    <w:abstractNumId w:val="3"/>
  </w:num>
  <w:num w:numId="12" w16cid:durableId="1729183800">
    <w:abstractNumId w:val="17"/>
  </w:num>
  <w:num w:numId="13" w16cid:durableId="671879519">
    <w:abstractNumId w:val="14"/>
  </w:num>
  <w:num w:numId="14" w16cid:durableId="1154490185">
    <w:abstractNumId w:val="13"/>
  </w:num>
  <w:num w:numId="15" w16cid:durableId="235286184">
    <w:abstractNumId w:val="12"/>
  </w:num>
  <w:num w:numId="16" w16cid:durableId="1943298387">
    <w:abstractNumId w:val="12"/>
  </w:num>
  <w:num w:numId="17" w16cid:durableId="1818062349">
    <w:abstractNumId w:val="15"/>
  </w:num>
  <w:num w:numId="18" w16cid:durableId="1460682454">
    <w:abstractNumId w:val="16"/>
  </w:num>
  <w:num w:numId="19" w16cid:durableId="1440368578">
    <w:abstractNumId w:val="11"/>
  </w:num>
  <w:num w:numId="20" w16cid:durableId="14080722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55099"/>
    <w:rsid w:val="00061D0F"/>
    <w:rsid w:val="00067DCD"/>
    <w:rsid w:val="00082238"/>
    <w:rsid w:val="000A6394"/>
    <w:rsid w:val="000B6A4F"/>
    <w:rsid w:val="000C038A"/>
    <w:rsid w:val="000C2FBB"/>
    <w:rsid w:val="000C33CB"/>
    <w:rsid w:val="000C6598"/>
    <w:rsid w:val="000D6382"/>
    <w:rsid w:val="000F23FA"/>
    <w:rsid w:val="00103E0E"/>
    <w:rsid w:val="00110516"/>
    <w:rsid w:val="00112C4C"/>
    <w:rsid w:val="0011326B"/>
    <w:rsid w:val="00116EF7"/>
    <w:rsid w:val="00140ED2"/>
    <w:rsid w:val="00145D43"/>
    <w:rsid w:val="0016286B"/>
    <w:rsid w:val="00165C37"/>
    <w:rsid w:val="001670C1"/>
    <w:rsid w:val="001703C6"/>
    <w:rsid w:val="00172312"/>
    <w:rsid w:val="001763A1"/>
    <w:rsid w:val="00192C46"/>
    <w:rsid w:val="001A179A"/>
    <w:rsid w:val="001A7B60"/>
    <w:rsid w:val="001B7A65"/>
    <w:rsid w:val="001D2CB8"/>
    <w:rsid w:val="001E0AE5"/>
    <w:rsid w:val="001E41F3"/>
    <w:rsid w:val="001E48D4"/>
    <w:rsid w:val="001E4B6E"/>
    <w:rsid w:val="001E5546"/>
    <w:rsid w:val="00201F3B"/>
    <w:rsid w:val="00207931"/>
    <w:rsid w:val="002218D6"/>
    <w:rsid w:val="00224E0B"/>
    <w:rsid w:val="002374C5"/>
    <w:rsid w:val="00246D65"/>
    <w:rsid w:val="0026004D"/>
    <w:rsid w:val="00262C39"/>
    <w:rsid w:val="002632C5"/>
    <w:rsid w:val="002636A7"/>
    <w:rsid w:val="00274611"/>
    <w:rsid w:val="0027588B"/>
    <w:rsid w:val="00275D12"/>
    <w:rsid w:val="002769EB"/>
    <w:rsid w:val="002860C4"/>
    <w:rsid w:val="002A37C8"/>
    <w:rsid w:val="002A47EF"/>
    <w:rsid w:val="002A70CB"/>
    <w:rsid w:val="002B23F9"/>
    <w:rsid w:val="002B24C6"/>
    <w:rsid w:val="002B41EC"/>
    <w:rsid w:val="002B5741"/>
    <w:rsid w:val="002B5B7A"/>
    <w:rsid w:val="002C238A"/>
    <w:rsid w:val="002C275D"/>
    <w:rsid w:val="002C7B4F"/>
    <w:rsid w:val="002E35D3"/>
    <w:rsid w:val="002E595A"/>
    <w:rsid w:val="002F7C1E"/>
    <w:rsid w:val="00305409"/>
    <w:rsid w:val="003116DF"/>
    <w:rsid w:val="003205E7"/>
    <w:rsid w:val="0035319E"/>
    <w:rsid w:val="00353346"/>
    <w:rsid w:val="00357155"/>
    <w:rsid w:val="00376EE0"/>
    <w:rsid w:val="00392B19"/>
    <w:rsid w:val="00396631"/>
    <w:rsid w:val="003A4E1D"/>
    <w:rsid w:val="003A5266"/>
    <w:rsid w:val="003A7AC4"/>
    <w:rsid w:val="003B597F"/>
    <w:rsid w:val="003B7609"/>
    <w:rsid w:val="003C12C0"/>
    <w:rsid w:val="003D15E8"/>
    <w:rsid w:val="003E176B"/>
    <w:rsid w:val="003E1A36"/>
    <w:rsid w:val="003E5581"/>
    <w:rsid w:val="003F234E"/>
    <w:rsid w:val="003F54CE"/>
    <w:rsid w:val="0040623E"/>
    <w:rsid w:val="004165D0"/>
    <w:rsid w:val="00417685"/>
    <w:rsid w:val="004242F1"/>
    <w:rsid w:val="004260ED"/>
    <w:rsid w:val="0044116A"/>
    <w:rsid w:val="00447131"/>
    <w:rsid w:val="004634EA"/>
    <w:rsid w:val="00466857"/>
    <w:rsid w:val="00467657"/>
    <w:rsid w:val="0046776C"/>
    <w:rsid w:val="004718DB"/>
    <w:rsid w:val="00477480"/>
    <w:rsid w:val="00477891"/>
    <w:rsid w:val="004839DB"/>
    <w:rsid w:val="004865D4"/>
    <w:rsid w:val="004972A1"/>
    <w:rsid w:val="004A1950"/>
    <w:rsid w:val="004A20E3"/>
    <w:rsid w:val="004A3F07"/>
    <w:rsid w:val="004A4A1A"/>
    <w:rsid w:val="004B75B7"/>
    <w:rsid w:val="004C1598"/>
    <w:rsid w:val="004C2182"/>
    <w:rsid w:val="004F02CD"/>
    <w:rsid w:val="004F242B"/>
    <w:rsid w:val="00501900"/>
    <w:rsid w:val="005124D6"/>
    <w:rsid w:val="0051580D"/>
    <w:rsid w:val="00520062"/>
    <w:rsid w:val="00523F19"/>
    <w:rsid w:val="005406DA"/>
    <w:rsid w:val="00564BDC"/>
    <w:rsid w:val="00566B03"/>
    <w:rsid w:val="005854B9"/>
    <w:rsid w:val="00592D74"/>
    <w:rsid w:val="00592FB9"/>
    <w:rsid w:val="005B5292"/>
    <w:rsid w:val="005C4D70"/>
    <w:rsid w:val="005D428A"/>
    <w:rsid w:val="005E2C44"/>
    <w:rsid w:val="005E3D2A"/>
    <w:rsid w:val="005E4D8A"/>
    <w:rsid w:val="005F2108"/>
    <w:rsid w:val="005F436C"/>
    <w:rsid w:val="00603A8F"/>
    <w:rsid w:val="0060567A"/>
    <w:rsid w:val="00612C5E"/>
    <w:rsid w:val="00621188"/>
    <w:rsid w:val="00625052"/>
    <w:rsid w:val="006257ED"/>
    <w:rsid w:val="0062763C"/>
    <w:rsid w:val="006310E9"/>
    <w:rsid w:val="0063486D"/>
    <w:rsid w:val="006370F5"/>
    <w:rsid w:val="00646C7D"/>
    <w:rsid w:val="006708F9"/>
    <w:rsid w:val="006760A7"/>
    <w:rsid w:val="006804C7"/>
    <w:rsid w:val="006848B8"/>
    <w:rsid w:val="00691756"/>
    <w:rsid w:val="00693465"/>
    <w:rsid w:val="00695808"/>
    <w:rsid w:val="0069746C"/>
    <w:rsid w:val="006A1B40"/>
    <w:rsid w:val="006A5614"/>
    <w:rsid w:val="006B46FB"/>
    <w:rsid w:val="006B6F80"/>
    <w:rsid w:val="006C1288"/>
    <w:rsid w:val="006D56BC"/>
    <w:rsid w:val="006E21FB"/>
    <w:rsid w:val="006E74F4"/>
    <w:rsid w:val="006F4468"/>
    <w:rsid w:val="0070229F"/>
    <w:rsid w:val="0071052A"/>
    <w:rsid w:val="00710D31"/>
    <w:rsid w:val="00711130"/>
    <w:rsid w:val="00711250"/>
    <w:rsid w:val="0071190E"/>
    <w:rsid w:val="007342B2"/>
    <w:rsid w:val="00742578"/>
    <w:rsid w:val="00765952"/>
    <w:rsid w:val="00775CD6"/>
    <w:rsid w:val="007767A3"/>
    <w:rsid w:val="007771F7"/>
    <w:rsid w:val="00792342"/>
    <w:rsid w:val="00795237"/>
    <w:rsid w:val="007A2FA3"/>
    <w:rsid w:val="007A34F3"/>
    <w:rsid w:val="007A6F2E"/>
    <w:rsid w:val="007B512A"/>
    <w:rsid w:val="007B572B"/>
    <w:rsid w:val="007C2097"/>
    <w:rsid w:val="007C2145"/>
    <w:rsid w:val="007C67A7"/>
    <w:rsid w:val="007C70E3"/>
    <w:rsid w:val="007D6A07"/>
    <w:rsid w:val="007E4113"/>
    <w:rsid w:val="007E5FC8"/>
    <w:rsid w:val="008058BF"/>
    <w:rsid w:val="008227DB"/>
    <w:rsid w:val="00826B8B"/>
    <w:rsid w:val="008279FA"/>
    <w:rsid w:val="00845D17"/>
    <w:rsid w:val="00845F3F"/>
    <w:rsid w:val="008525C7"/>
    <w:rsid w:val="00852CB9"/>
    <w:rsid w:val="008579E4"/>
    <w:rsid w:val="008626E7"/>
    <w:rsid w:val="00870EE7"/>
    <w:rsid w:val="008B1F20"/>
    <w:rsid w:val="008C4751"/>
    <w:rsid w:val="008E71D4"/>
    <w:rsid w:val="008F444C"/>
    <w:rsid w:val="008F686C"/>
    <w:rsid w:val="00900CD3"/>
    <w:rsid w:val="009017EE"/>
    <w:rsid w:val="00913222"/>
    <w:rsid w:val="00916443"/>
    <w:rsid w:val="0091696C"/>
    <w:rsid w:val="00917C9F"/>
    <w:rsid w:val="009259AE"/>
    <w:rsid w:val="009350B9"/>
    <w:rsid w:val="00936638"/>
    <w:rsid w:val="00942BF3"/>
    <w:rsid w:val="00955FBC"/>
    <w:rsid w:val="009608B1"/>
    <w:rsid w:val="0096225E"/>
    <w:rsid w:val="00972525"/>
    <w:rsid w:val="009777D9"/>
    <w:rsid w:val="00991B88"/>
    <w:rsid w:val="00995252"/>
    <w:rsid w:val="00996397"/>
    <w:rsid w:val="00997A4F"/>
    <w:rsid w:val="009A1081"/>
    <w:rsid w:val="009A579D"/>
    <w:rsid w:val="009D58B4"/>
    <w:rsid w:val="009D77B0"/>
    <w:rsid w:val="009E0762"/>
    <w:rsid w:val="009E3297"/>
    <w:rsid w:val="009F251D"/>
    <w:rsid w:val="009F4146"/>
    <w:rsid w:val="009F734F"/>
    <w:rsid w:val="00A01605"/>
    <w:rsid w:val="00A04081"/>
    <w:rsid w:val="00A06295"/>
    <w:rsid w:val="00A07158"/>
    <w:rsid w:val="00A20AB3"/>
    <w:rsid w:val="00A21256"/>
    <w:rsid w:val="00A246B6"/>
    <w:rsid w:val="00A2474B"/>
    <w:rsid w:val="00A3732B"/>
    <w:rsid w:val="00A47E70"/>
    <w:rsid w:val="00A53AEF"/>
    <w:rsid w:val="00A7671C"/>
    <w:rsid w:val="00AB00C3"/>
    <w:rsid w:val="00AB1244"/>
    <w:rsid w:val="00AD1CD8"/>
    <w:rsid w:val="00AE5A38"/>
    <w:rsid w:val="00AE6E2C"/>
    <w:rsid w:val="00AF0748"/>
    <w:rsid w:val="00AF43A8"/>
    <w:rsid w:val="00B0502B"/>
    <w:rsid w:val="00B124DB"/>
    <w:rsid w:val="00B24807"/>
    <w:rsid w:val="00B258BB"/>
    <w:rsid w:val="00B306CC"/>
    <w:rsid w:val="00B40634"/>
    <w:rsid w:val="00B40FC6"/>
    <w:rsid w:val="00B42501"/>
    <w:rsid w:val="00B437CA"/>
    <w:rsid w:val="00B50379"/>
    <w:rsid w:val="00B53B98"/>
    <w:rsid w:val="00B560B5"/>
    <w:rsid w:val="00B604FB"/>
    <w:rsid w:val="00B67B97"/>
    <w:rsid w:val="00B70BDD"/>
    <w:rsid w:val="00B76C75"/>
    <w:rsid w:val="00B82515"/>
    <w:rsid w:val="00B914E5"/>
    <w:rsid w:val="00B968C8"/>
    <w:rsid w:val="00BA3EC5"/>
    <w:rsid w:val="00BA4A45"/>
    <w:rsid w:val="00BB5DFC"/>
    <w:rsid w:val="00BC2F40"/>
    <w:rsid w:val="00BD279D"/>
    <w:rsid w:val="00BD32F3"/>
    <w:rsid w:val="00BD6BB8"/>
    <w:rsid w:val="00BE3B42"/>
    <w:rsid w:val="00C02A73"/>
    <w:rsid w:val="00C12DBC"/>
    <w:rsid w:val="00C31B69"/>
    <w:rsid w:val="00C31BE8"/>
    <w:rsid w:val="00C53496"/>
    <w:rsid w:val="00C5481B"/>
    <w:rsid w:val="00C573F0"/>
    <w:rsid w:val="00C735F0"/>
    <w:rsid w:val="00C74ED2"/>
    <w:rsid w:val="00C950A1"/>
    <w:rsid w:val="00C95985"/>
    <w:rsid w:val="00C95B80"/>
    <w:rsid w:val="00CA6304"/>
    <w:rsid w:val="00CB512D"/>
    <w:rsid w:val="00CB6633"/>
    <w:rsid w:val="00CC1969"/>
    <w:rsid w:val="00CC5026"/>
    <w:rsid w:val="00CD01A2"/>
    <w:rsid w:val="00CE5C0E"/>
    <w:rsid w:val="00CE7299"/>
    <w:rsid w:val="00CF03D8"/>
    <w:rsid w:val="00D03F9A"/>
    <w:rsid w:val="00D04069"/>
    <w:rsid w:val="00D07DEF"/>
    <w:rsid w:val="00D104E0"/>
    <w:rsid w:val="00D157AF"/>
    <w:rsid w:val="00D202FA"/>
    <w:rsid w:val="00D20313"/>
    <w:rsid w:val="00D35F6F"/>
    <w:rsid w:val="00D608C3"/>
    <w:rsid w:val="00D63018"/>
    <w:rsid w:val="00D75BE1"/>
    <w:rsid w:val="00D763BD"/>
    <w:rsid w:val="00D85D73"/>
    <w:rsid w:val="00DB66FE"/>
    <w:rsid w:val="00DC1A94"/>
    <w:rsid w:val="00DD5724"/>
    <w:rsid w:val="00DE34CF"/>
    <w:rsid w:val="00DE6E1D"/>
    <w:rsid w:val="00E065DE"/>
    <w:rsid w:val="00E06CE0"/>
    <w:rsid w:val="00E15BA1"/>
    <w:rsid w:val="00E16438"/>
    <w:rsid w:val="00E27E18"/>
    <w:rsid w:val="00E64117"/>
    <w:rsid w:val="00E75F6A"/>
    <w:rsid w:val="00E771ED"/>
    <w:rsid w:val="00E9743C"/>
    <w:rsid w:val="00EA32CF"/>
    <w:rsid w:val="00EB2397"/>
    <w:rsid w:val="00EB3F46"/>
    <w:rsid w:val="00EE0733"/>
    <w:rsid w:val="00EE1CC2"/>
    <w:rsid w:val="00EE7D7C"/>
    <w:rsid w:val="00EF227F"/>
    <w:rsid w:val="00EF376B"/>
    <w:rsid w:val="00EF3A19"/>
    <w:rsid w:val="00F03AED"/>
    <w:rsid w:val="00F03C76"/>
    <w:rsid w:val="00F10B0F"/>
    <w:rsid w:val="00F11694"/>
    <w:rsid w:val="00F145FA"/>
    <w:rsid w:val="00F2517E"/>
    <w:rsid w:val="00F25A0A"/>
    <w:rsid w:val="00F25D98"/>
    <w:rsid w:val="00F300FB"/>
    <w:rsid w:val="00F3190B"/>
    <w:rsid w:val="00F54A0D"/>
    <w:rsid w:val="00F61596"/>
    <w:rsid w:val="00F75006"/>
    <w:rsid w:val="00F7558E"/>
    <w:rsid w:val="00F77D84"/>
    <w:rsid w:val="00F9031B"/>
    <w:rsid w:val="00FA55A0"/>
    <w:rsid w:val="00FB6386"/>
    <w:rsid w:val="00FB7DE3"/>
    <w:rsid w:val="00FD5528"/>
    <w:rsid w:val="00FD65E2"/>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docId w15:val="{99B84FBF-44C3-4B4A-BA04-F5C2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B1Char1">
    <w:name w:val="B1 Char1"/>
    <w:rsid w:val="004260ED"/>
    <w:rPr>
      <w:rFonts w:eastAsia="MS Mincho"/>
      <w:lang w:val="en-GB" w:eastAsia="en-US" w:bidi="ar-SA"/>
    </w:rPr>
  </w:style>
  <w:style w:type="character" w:styleId="CommentReference">
    <w:name w:val="annotation reference"/>
    <w:basedOn w:val="DefaultParagraphFont"/>
    <w:rsid w:val="00B124DB"/>
    <w:rPr>
      <w:sz w:val="21"/>
      <w:szCs w:val="21"/>
    </w:rPr>
  </w:style>
  <w:style w:type="paragraph" w:styleId="CommentText">
    <w:name w:val="annotation text"/>
    <w:basedOn w:val="Normal"/>
    <w:link w:val="CommentTextChar"/>
    <w:rsid w:val="00B124DB"/>
  </w:style>
  <w:style w:type="character" w:customStyle="1" w:styleId="CommentTextChar">
    <w:name w:val="Comment Text Char"/>
    <w:basedOn w:val="DefaultParagraphFont"/>
    <w:link w:val="CommentText"/>
    <w:rsid w:val="00B124DB"/>
    <w:rPr>
      <w:rFonts w:ascii="Times New Roman" w:hAnsi="Times New Roman"/>
      <w:lang w:eastAsia="en-US"/>
    </w:rPr>
  </w:style>
  <w:style w:type="paragraph" w:styleId="CommentSubject">
    <w:name w:val="annotation subject"/>
    <w:basedOn w:val="CommentText"/>
    <w:next w:val="CommentText"/>
    <w:link w:val="CommentSubjectChar"/>
    <w:rsid w:val="00B124DB"/>
    <w:rPr>
      <w:b/>
      <w:bCs/>
    </w:rPr>
  </w:style>
  <w:style w:type="character" w:customStyle="1" w:styleId="CommentSubjectChar">
    <w:name w:val="Comment Subject Char"/>
    <w:basedOn w:val="CommentTextChar"/>
    <w:link w:val="CommentSubject"/>
    <w:rsid w:val="00B124DB"/>
    <w:rPr>
      <w:rFonts w:ascii="Times New Roman" w:hAnsi="Times New Roman"/>
      <w:b/>
      <w:bCs/>
      <w:lang w:eastAsia="en-US"/>
    </w:rPr>
  </w:style>
  <w:style w:type="paragraph" w:styleId="BalloonText">
    <w:name w:val="Balloon Text"/>
    <w:basedOn w:val="Normal"/>
    <w:link w:val="BalloonTextChar"/>
    <w:rsid w:val="0046776C"/>
    <w:pPr>
      <w:spacing w:after="0"/>
    </w:pPr>
    <w:rPr>
      <w:sz w:val="18"/>
      <w:szCs w:val="18"/>
    </w:rPr>
  </w:style>
  <w:style w:type="character" w:customStyle="1" w:styleId="BalloonTextChar">
    <w:name w:val="Balloon Text Char"/>
    <w:basedOn w:val="DefaultParagraphFont"/>
    <w:link w:val="BalloonText"/>
    <w:rsid w:val="0046776C"/>
    <w:rPr>
      <w:rFonts w:ascii="Times New Roman" w:hAnsi="Times New Roman"/>
      <w:sz w:val="18"/>
      <w:szCs w:val="18"/>
      <w:lang w:eastAsia="en-US"/>
    </w:rPr>
  </w:style>
  <w:style w:type="paragraph" w:styleId="Header">
    <w:name w:val="header"/>
    <w:basedOn w:val="Normal"/>
    <w:link w:val="HeaderChar"/>
    <w:rsid w:val="0046776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46776C"/>
    <w:rPr>
      <w:rFonts w:ascii="Times New Roman" w:hAnsi="Times New Roman"/>
      <w:sz w:val="18"/>
      <w:szCs w:val="18"/>
      <w:lang w:eastAsia="en-US"/>
    </w:rPr>
  </w:style>
  <w:style w:type="paragraph" w:styleId="Footer">
    <w:name w:val="footer"/>
    <w:basedOn w:val="Normal"/>
    <w:link w:val="FooterChar"/>
    <w:rsid w:val="0046776C"/>
    <w:pPr>
      <w:tabs>
        <w:tab w:val="center" w:pos="4153"/>
        <w:tab w:val="right" w:pos="8306"/>
      </w:tabs>
      <w:snapToGrid w:val="0"/>
    </w:pPr>
    <w:rPr>
      <w:sz w:val="18"/>
      <w:szCs w:val="18"/>
    </w:rPr>
  </w:style>
  <w:style w:type="character" w:customStyle="1" w:styleId="FooterChar">
    <w:name w:val="Footer Char"/>
    <w:basedOn w:val="DefaultParagraphFont"/>
    <w:link w:val="Footer"/>
    <w:rsid w:val="0046776C"/>
    <w:rPr>
      <w:rFonts w:ascii="Times New Roman" w:hAnsi="Times New Roman"/>
      <w:sz w:val="18"/>
      <w:szCs w:val="18"/>
      <w:lang w:eastAsia="en-US"/>
    </w:rPr>
  </w:style>
  <w:style w:type="paragraph" w:styleId="ListParagraph">
    <w:name w:val="List Paragraph"/>
    <w:basedOn w:val="Normal"/>
    <w:uiPriority w:val="34"/>
    <w:qFormat/>
    <w:rsid w:val="00357155"/>
    <w:pPr>
      <w:ind w:left="720"/>
      <w:contextualSpacing/>
    </w:pPr>
  </w:style>
  <w:style w:type="paragraph" w:styleId="Caption">
    <w:name w:val="caption"/>
    <w:basedOn w:val="Normal"/>
    <w:next w:val="Normal"/>
    <w:unhideWhenUsed/>
    <w:qFormat/>
    <w:rsid w:val="009259A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892489">
      <w:bodyDiv w:val="1"/>
      <w:marLeft w:val="0"/>
      <w:marRight w:val="0"/>
      <w:marTop w:val="0"/>
      <w:marBottom w:val="0"/>
      <w:divBdr>
        <w:top w:val="none" w:sz="0" w:space="0" w:color="auto"/>
        <w:left w:val="none" w:sz="0" w:space="0" w:color="auto"/>
        <w:bottom w:val="none" w:sz="0" w:space="0" w:color="auto"/>
        <w:right w:val="none" w:sz="0" w:space="0" w:color="auto"/>
      </w:divBdr>
    </w:div>
    <w:div w:id="193740250">
      <w:bodyDiv w:val="1"/>
      <w:marLeft w:val="0"/>
      <w:marRight w:val="0"/>
      <w:marTop w:val="0"/>
      <w:marBottom w:val="0"/>
      <w:divBdr>
        <w:top w:val="none" w:sz="0" w:space="0" w:color="auto"/>
        <w:left w:val="none" w:sz="0" w:space="0" w:color="auto"/>
        <w:bottom w:val="none" w:sz="0" w:space="0" w:color="auto"/>
        <w:right w:val="none" w:sz="0" w:space="0" w:color="auto"/>
      </w:divBdr>
    </w:div>
    <w:div w:id="543756476">
      <w:bodyDiv w:val="1"/>
      <w:marLeft w:val="0"/>
      <w:marRight w:val="0"/>
      <w:marTop w:val="0"/>
      <w:marBottom w:val="0"/>
      <w:divBdr>
        <w:top w:val="none" w:sz="0" w:space="0" w:color="auto"/>
        <w:left w:val="none" w:sz="0" w:space="0" w:color="auto"/>
        <w:bottom w:val="none" w:sz="0" w:space="0" w:color="auto"/>
        <w:right w:val="none" w:sz="0" w:space="0" w:color="auto"/>
      </w:divBdr>
    </w:div>
    <w:div w:id="1000696062">
      <w:bodyDiv w:val="1"/>
      <w:marLeft w:val="0"/>
      <w:marRight w:val="0"/>
      <w:marTop w:val="0"/>
      <w:marBottom w:val="0"/>
      <w:divBdr>
        <w:top w:val="none" w:sz="0" w:space="0" w:color="auto"/>
        <w:left w:val="none" w:sz="0" w:space="0" w:color="auto"/>
        <w:bottom w:val="none" w:sz="0" w:space="0" w:color="auto"/>
        <w:right w:val="none" w:sz="0" w:space="0" w:color="auto"/>
      </w:divBdr>
    </w:div>
    <w:div w:id="1018963861">
      <w:bodyDiv w:val="1"/>
      <w:marLeft w:val="0"/>
      <w:marRight w:val="0"/>
      <w:marTop w:val="0"/>
      <w:marBottom w:val="0"/>
      <w:divBdr>
        <w:top w:val="none" w:sz="0" w:space="0" w:color="auto"/>
        <w:left w:val="none" w:sz="0" w:space="0" w:color="auto"/>
        <w:bottom w:val="none" w:sz="0" w:space="0" w:color="auto"/>
        <w:right w:val="none" w:sz="0" w:space="0" w:color="auto"/>
      </w:divBdr>
    </w:div>
    <w:div w:id="1212183335">
      <w:bodyDiv w:val="1"/>
      <w:marLeft w:val="0"/>
      <w:marRight w:val="0"/>
      <w:marTop w:val="0"/>
      <w:marBottom w:val="0"/>
      <w:divBdr>
        <w:top w:val="none" w:sz="0" w:space="0" w:color="auto"/>
        <w:left w:val="none" w:sz="0" w:space="0" w:color="auto"/>
        <w:bottom w:val="none" w:sz="0" w:space="0" w:color="auto"/>
        <w:right w:val="none" w:sz="0" w:space="0" w:color="auto"/>
      </w:divBdr>
    </w:div>
    <w:div w:id="1489899663">
      <w:bodyDiv w:val="1"/>
      <w:marLeft w:val="0"/>
      <w:marRight w:val="0"/>
      <w:marTop w:val="0"/>
      <w:marBottom w:val="0"/>
      <w:divBdr>
        <w:top w:val="none" w:sz="0" w:space="0" w:color="auto"/>
        <w:left w:val="none" w:sz="0" w:space="0" w:color="auto"/>
        <w:bottom w:val="none" w:sz="0" w:space="0" w:color="auto"/>
        <w:right w:val="none" w:sz="0" w:space="0" w:color="auto"/>
      </w:divBdr>
    </w:div>
    <w:div w:id="1666979740">
      <w:bodyDiv w:val="1"/>
      <w:marLeft w:val="0"/>
      <w:marRight w:val="0"/>
      <w:marTop w:val="0"/>
      <w:marBottom w:val="0"/>
      <w:divBdr>
        <w:top w:val="none" w:sz="0" w:space="0" w:color="auto"/>
        <w:left w:val="none" w:sz="0" w:space="0" w:color="auto"/>
        <w:bottom w:val="none" w:sz="0" w:space="0" w:color="auto"/>
        <w:right w:val="none" w:sz="0" w:space="0" w:color="auto"/>
      </w:divBdr>
    </w:div>
    <w:div w:id="196276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910bee43157b4c2e3b14d2d8dacc50d9">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fd6f01244851e7363930508c56b953f"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A4051D-8F3B-47AE-BEAB-F011554E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1D936-A299-4EC1-B64C-7F923C303EF8}">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AC2A1C2F-D965-4F03-8B9E-94D8C602738F}">
  <ds:schemaRefs>
    <ds:schemaRef ds:uri="http://schemas.openxmlformats.org/officeDocument/2006/bibliography"/>
  </ds:schemaRefs>
</ds:datastoreItem>
</file>

<file path=customXml/itemProps4.xml><?xml version="1.0" encoding="utf-8"?>
<ds:datastoreItem xmlns:ds="http://schemas.openxmlformats.org/officeDocument/2006/customXml" ds:itemID="{96C57FD8-FF1F-44DE-B708-E6C8116C014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920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124</vt:lpstr>
    </vt:vector>
  </TitlesOfParts>
  <Company>3GPP Support Team</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124</dc:title>
  <dc:subject/>
  <dc:creator>Michael Sanders, John M Meredith</dc:creator>
  <cp:keywords/>
  <cp:lastModifiedBy>MediaTek (Nathan Tenny)</cp:lastModifiedBy>
  <cp:revision>3</cp:revision>
  <cp:lastPrinted>1900-12-31T16:00:00Z</cp:lastPrinted>
  <dcterms:created xsi:type="dcterms:W3CDTF">2024-08-08T20:50:00Z</dcterms:created>
  <dcterms:modified xsi:type="dcterms:W3CDTF">2024-08-08T20:54:00Z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1716458112</vt:lpwstr>
  </property>
  <property fmtid="{D5CDD505-2E9C-101B-9397-08002B2CF9AE}" pid="8" name="MSIP_Label_83bcef13-7cac-433f-ba1d-47a323951816_Enabled">
    <vt:lpwstr>true</vt:lpwstr>
  </property>
  <property fmtid="{D5CDD505-2E9C-101B-9397-08002B2CF9AE}" pid="9" name="MSIP_Label_83bcef13-7cac-433f-ba1d-47a323951816_SetDate">
    <vt:lpwstr>2024-07-08T15:04:58Z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f3a5052c-6821-4703-8e9b-a87196e2ea84</vt:lpwstr>
  </property>
  <property fmtid="{D5CDD505-2E9C-101B-9397-08002B2CF9AE}" pid="14" name="MSIP_Label_83bcef13-7cac-433f-ba1d-47a323951816_ContentBits">
    <vt:lpwstr>0</vt:lpwstr>
  </property>
</Properties>
</file>