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8FEB" w14:textId="2DF7A529" w:rsidR="00276189" w:rsidRPr="009E3634" w:rsidRDefault="00276189" w:rsidP="00276189">
      <w:pPr>
        <w:pStyle w:val="CRCoverPage"/>
        <w:rPr>
          <w:b/>
          <w:sz w:val="24"/>
        </w:rPr>
      </w:pPr>
      <w:r w:rsidRPr="009E3634">
        <w:rPr>
          <w:b/>
          <w:sz w:val="24"/>
        </w:rPr>
        <w:t>3GPP TSG-RAN WG3 #12</w:t>
      </w:r>
      <w:r>
        <w:rPr>
          <w:b/>
          <w:sz w:val="24"/>
        </w:rPr>
        <w:t>4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E3634">
        <w:rPr>
          <w:b/>
          <w:sz w:val="24"/>
        </w:rPr>
        <w:t>R3-24</w:t>
      </w:r>
      <w:r w:rsidR="00520222">
        <w:rPr>
          <w:b/>
          <w:sz w:val="24"/>
        </w:rPr>
        <w:t>3455</w:t>
      </w:r>
    </w:p>
    <w:p w14:paraId="45E32388" w14:textId="77777777" w:rsidR="00276189" w:rsidRPr="00912BD6" w:rsidRDefault="00276189" w:rsidP="00276189">
      <w:pPr>
        <w:pStyle w:val="CRCoverPage"/>
        <w:rPr>
          <w:b/>
          <w:sz w:val="24"/>
        </w:rPr>
      </w:pPr>
      <w:r w:rsidRPr="009E3634">
        <w:rPr>
          <w:b/>
          <w:sz w:val="24"/>
        </w:rPr>
        <w:t>Fukuoka, Japan, 20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9E3634">
        <w:rPr>
          <w:b/>
          <w:sz w:val="24"/>
        </w:rPr>
        <w:t>24 May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40F75F65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A06509" w:rsidRPr="00912BD6">
        <w:rPr>
          <w:rFonts w:cs="Arial"/>
          <w:b/>
          <w:bCs/>
          <w:color w:val="000000"/>
          <w:sz w:val="24"/>
          <w:szCs w:val="24"/>
        </w:rPr>
        <w:t>13.2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82077" w:rsidRPr="00912BD6">
        <w:rPr>
          <w:rFonts w:ascii="Arial" w:hAnsi="Arial" w:cs="Arial"/>
          <w:b/>
          <w:bCs/>
          <w:color w:val="000000"/>
          <w:sz w:val="24"/>
          <w:szCs w:val="24"/>
        </w:rPr>
        <w:t>Ericsson</w:t>
      </w:r>
    </w:p>
    <w:p w14:paraId="27E412E2" w14:textId="016B21A9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4E1336">
        <w:rPr>
          <w:rFonts w:ascii="Arial" w:hAnsi="Arial" w:cs="Arial"/>
          <w:b/>
          <w:bCs/>
          <w:color w:val="000000"/>
          <w:sz w:val="24"/>
          <w:szCs w:val="24"/>
        </w:rPr>
        <w:t>High level</w:t>
      </w:r>
      <w:r w:rsidR="004E1336" w:rsidRPr="00912BD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A06509" w:rsidRPr="00912BD6">
        <w:rPr>
          <w:rFonts w:ascii="Arial" w:hAnsi="Arial" w:cs="Arial"/>
          <w:b/>
          <w:bCs/>
          <w:color w:val="000000"/>
          <w:sz w:val="24"/>
          <w:szCs w:val="24"/>
        </w:rPr>
        <w:t>design principle for inter-CU LTM</w:t>
      </w:r>
    </w:p>
    <w:p w14:paraId="73B51EF2" w14:textId="74729CDB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D621ED"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12AD622F" w14:textId="4DDAF8EE" w:rsidR="009E7C85" w:rsidRPr="00912BD6" w:rsidRDefault="00712AC0" w:rsidP="005F4DE9">
      <w:p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Rel-19 Mobility WI has been agreed in [1] with the following objectives for inter-CU LTM.</w:t>
      </w:r>
    </w:p>
    <w:p w14:paraId="36C0A270" w14:textId="77777777" w:rsidR="00712AC0" w:rsidRPr="00912BD6" w:rsidRDefault="00712AC0" w:rsidP="00712AC0">
      <w:pPr>
        <w:numPr>
          <w:ilvl w:val="0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Specify support for inter-CU Layer1/Layer 2 Triggered Mobility (LTM) [RAN2, RAN3]</w:t>
      </w:r>
    </w:p>
    <w:p w14:paraId="17246155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Prioritize the case when CU is acting as MN when DC is not configured</w:t>
      </w:r>
    </w:p>
    <w:p w14:paraId="69B6A7A8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As secondary priority, support the case when NR-DC is configured and CU is acting as SN and MCG is unchanged</w:t>
      </w:r>
    </w:p>
    <w:p w14:paraId="1F4AD790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As secondary priority, support the case when NR-DC is configured, CU is acting as MN and SCG is unchanged or SCG is released</w:t>
      </w:r>
    </w:p>
    <w:p w14:paraId="153C68A3" w14:textId="77777777" w:rsidR="00712AC0" w:rsidRPr="00912BD6" w:rsidRDefault="00712AC0" w:rsidP="00712AC0">
      <w:pPr>
        <w:numPr>
          <w:ilvl w:val="2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Note: The case that LTM is configured in both MCG and SCG is excluded </w:t>
      </w:r>
    </w:p>
    <w:p w14:paraId="4986E6F8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Specify support for subsequent LTM mobility procedures aiming to avoid RRC configuration between cell switches as per Rel-18 LTM</w:t>
      </w:r>
    </w:p>
    <w:p w14:paraId="575782F2" w14:textId="77777777" w:rsidR="00712AC0" w:rsidRPr="00912BD6" w:rsidRDefault="00712AC0" w:rsidP="00712AC0">
      <w:pPr>
        <w:numPr>
          <w:ilvl w:val="2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Coordination with SA3 needed with respect to security key handling </w:t>
      </w:r>
    </w:p>
    <w:p w14:paraId="5347695C" w14:textId="77777777" w:rsidR="00712AC0" w:rsidRPr="00912BD6" w:rsidRDefault="00712AC0" w:rsidP="00712AC0">
      <w:pPr>
        <w:numPr>
          <w:ilvl w:val="1"/>
          <w:numId w:val="15"/>
        </w:num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Note: Rel. 18 intra-CU LTM procedure is considered as baseline for adding inter-CU support</w:t>
      </w:r>
    </w:p>
    <w:p w14:paraId="496D416A" w14:textId="11BAA2DB" w:rsidR="006E39AB" w:rsidRDefault="00213FC1" w:rsidP="004D057B">
      <w:pPr>
        <w:rPr>
          <w:rFonts w:ascii="Arial" w:hAnsi="Arial" w:cs="Arial"/>
          <w:bCs/>
        </w:rPr>
      </w:pPr>
      <w:r w:rsidRPr="00213FC1">
        <w:rPr>
          <w:rFonts w:ascii="Arial" w:hAnsi="Arial" w:cs="Arial"/>
          <w:bCs/>
        </w:rPr>
        <w:t>Given the substantial impact of network signalings, it is important to identify the primary principles in high-level design</w:t>
      </w:r>
      <w:r>
        <w:rPr>
          <w:rFonts w:ascii="Arial" w:hAnsi="Arial" w:cs="Arial"/>
          <w:bCs/>
        </w:rPr>
        <w:t>.</w:t>
      </w:r>
    </w:p>
    <w:p w14:paraId="47C55F0B" w14:textId="77777777" w:rsidR="00E004FE" w:rsidRPr="00912BD6" w:rsidRDefault="00E004FE" w:rsidP="004D057B">
      <w:pPr>
        <w:rPr>
          <w:rFonts w:ascii="Arial" w:hAnsi="Arial" w:cs="Arial"/>
          <w:bCs/>
        </w:rPr>
      </w:pPr>
    </w:p>
    <w:p w14:paraId="6807C31D" w14:textId="2037CDF3" w:rsidR="005F4DE9" w:rsidRPr="00912BD6" w:rsidRDefault="005F4DE9" w:rsidP="005F4DE9">
      <w:pPr>
        <w:pStyle w:val="Heading1"/>
      </w:pPr>
      <w:r w:rsidRPr="00912BD6">
        <w:t>2</w:t>
      </w:r>
      <w:r w:rsidRPr="00912BD6">
        <w:tab/>
        <w:t>Discussion</w:t>
      </w:r>
    </w:p>
    <w:p w14:paraId="1AAB97E1" w14:textId="1CF47EDE" w:rsidR="00D26AF1" w:rsidRPr="00912BD6" w:rsidRDefault="00612179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>There are several phases for LTM as being depicted in Rel-18, i.e., LTM preparation, Early synchronization, LTM execution.</w:t>
      </w:r>
      <w:r w:rsidR="008F55FD" w:rsidRPr="00912BD6">
        <w:rPr>
          <w:rFonts w:ascii="Arial" w:hAnsi="Arial" w:cs="Arial"/>
          <w:bCs/>
        </w:rPr>
        <w:t xml:space="preserve"> </w:t>
      </w:r>
      <w:r w:rsidR="008E0DFD" w:rsidRPr="00912BD6">
        <w:rPr>
          <w:rFonts w:ascii="Arial" w:hAnsi="Arial" w:cs="Arial"/>
          <w:bCs/>
        </w:rPr>
        <w:t xml:space="preserve">In </w:t>
      </w:r>
      <w:r w:rsidR="00F321B1" w:rsidRPr="00912BD6">
        <w:rPr>
          <w:rFonts w:ascii="Arial" w:hAnsi="Arial" w:cs="Arial"/>
          <w:bCs/>
        </w:rPr>
        <w:t>th</w:t>
      </w:r>
      <w:r w:rsidR="00F321B1">
        <w:rPr>
          <w:rFonts w:ascii="Arial" w:hAnsi="Arial" w:cs="Arial"/>
          <w:bCs/>
        </w:rPr>
        <w:t>is contribution</w:t>
      </w:r>
      <w:r w:rsidR="008E0DFD" w:rsidRPr="00912BD6">
        <w:rPr>
          <w:rFonts w:ascii="Arial" w:hAnsi="Arial" w:cs="Arial"/>
          <w:bCs/>
        </w:rPr>
        <w:t xml:space="preserve">, we focus on the case that </w:t>
      </w:r>
      <w:r w:rsidR="00603D6A">
        <w:rPr>
          <w:rFonts w:ascii="Arial" w:hAnsi="Arial" w:cs="Arial"/>
          <w:bCs/>
        </w:rPr>
        <w:t xml:space="preserve">the </w:t>
      </w:r>
      <w:r w:rsidR="008E0DFD" w:rsidRPr="00912BD6">
        <w:rPr>
          <w:rFonts w:ascii="Arial" w:hAnsi="Arial" w:cs="Arial"/>
          <w:bCs/>
        </w:rPr>
        <w:t>CU is acting as MN without configured DC</w:t>
      </w:r>
      <w:r w:rsidR="00F069E1" w:rsidRPr="00912BD6">
        <w:rPr>
          <w:rFonts w:ascii="Arial" w:hAnsi="Arial" w:cs="Arial"/>
          <w:bCs/>
        </w:rPr>
        <w:t xml:space="preserve"> as a starting point.</w:t>
      </w:r>
    </w:p>
    <w:p w14:paraId="16A487F6" w14:textId="68017327" w:rsidR="00063B63" w:rsidRPr="00912BD6" w:rsidRDefault="008F55FD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 </w:t>
      </w:r>
    </w:p>
    <w:p w14:paraId="7637BDFC" w14:textId="20133C76" w:rsidR="008F55FD" w:rsidRPr="00912BD6" w:rsidRDefault="008F55FD" w:rsidP="008F55FD">
      <w:pPr>
        <w:pStyle w:val="Heading2"/>
      </w:pPr>
      <w:r w:rsidRPr="00912BD6">
        <w:t>2.1</w:t>
      </w:r>
      <w:r w:rsidRPr="00912BD6">
        <w:tab/>
        <w:t>LTM Preparation</w:t>
      </w:r>
    </w:p>
    <w:p w14:paraId="20F59689" w14:textId="57F61749" w:rsidR="008F55FD" w:rsidRPr="00912BD6" w:rsidRDefault="00171C2A" w:rsidP="008F55FD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It is essential to figure out how to configure LTM between the source NG-RAN node and </w:t>
      </w:r>
      <w:r w:rsidR="00C74102">
        <w:rPr>
          <w:rFonts w:ascii="Arial" w:hAnsi="Arial" w:cs="Arial"/>
          <w:bCs/>
        </w:rPr>
        <w:t xml:space="preserve">the </w:t>
      </w:r>
      <w:r w:rsidRPr="00912BD6">
        <w:rPr>
          <w:rFonts w:ascii="Arial" w:hAnsi="Arial" w:cs="Arial"/>
          <w:bCs/>
        </w:rPr>
        <w:t xml:space="preserve">target NG-RAN node. The involved nodes are different </w:t>
      </w:r>
      <w:r w:rsidR="00906AC8">
        <w:rPr>
          <w:rFonts w:ascii="Arial" w:hAnsi="Arial" w:cs="Arial"/>
          <w:bCs/>
        </w:rPr>
        <w:t>compared to</w:t>
      </w:r>
      <w:r w:rsidRPr="00912BD6">
        <w:rPr>
          <w:rFonts w:ascii="Arial" w:hAnsi="Arial" w:cs="Arial"/>
          <w:bCs/>
        </w:rPr>
        <w:t xml:space="preserve"> the intra-CU case, while the gNB-CU </w:t>
      </w:r>
      <w:r w:rsidR="00B0737F" w:rsidRPr="00912BD6">
        <w:rPr>
          <w:rFonts w:ascii="Arial" w:hAnsi="Arial" w:cs="Arial"/>
          <w:bCs/>
        </w:rPr>
        <w:t xml:space="preserve">makes the decision of LTM configuration based on L3 measurement report from the UE. </w:t>
      </w:r>
    </w:p>
    <w:p w14:paraId="31CFF8DC" w14:textId="77777777" w:rsidR="00152B10" w:rsidRPr="00152B10" w:rsidRDefault="00152B10" w:rsidP="00152B10">
      <w:pPr>
        <w:tabs>
          <w:tab w:val="num" w:pos="720"/>
        </w:tabs>
        <w:rPr>
          <w:rFonts w:ascii="Arial" w:hAnsi="Arial" w:cs="Arial"/>
          <w:bCs/>
        </w:rPr>
      </w:pPr>
      <w:r w:rsidRPr="00152B10">
        <w:rPr>
          <w:rFonts w:ascii="Arial" w:hAnsi="Arial" w:cs="Arial"/>
          <w:bCs/>
        </w:rPr>
        <w:t>In inter-CU LTM scenarios, similar to legacy mobility procedures, the source node initiates the request to the target node, after which the target node decides to prepare for LTM configuration.</w:t>
      </w:r>
    </w:p>
    <w:p w14:paraId="067FAD6A" w14:textId="77777777" w:rsidR="00DB6E63" w:rsidRDefault="00777611" w:rsidP="00D93B6A">
      <w:pPr>
        <w:pStyle w:val="Caption"/>
        <w:jc w:val="center"/>
        <w:rPr>
          <w:rFonts w:ascii="Arial" w:hAnsi="Arial" w:cs="Arial"/>
        </w:rPr>
      </w:pPr>
      <w:r w:rsidRPr="00777611">
        <w:rPr>
          <w:rFonts w:ascii="Arial" w:eastAsiaTheme="minorEastAsia" w:hAnsi="Arial" w:cs="Arial"/>
          <w:b w:val="0"/>
          <w:bCs/>
          <w:i/>
          <w:iCs/>
          <w:noProof/>
        </w:rPr>
        <w:lastRenderedPageBreak/>
        <w:drawing>
          <wp:inline distT="0" distB="0" distL="0" distR="0" wp14:anchorId="729AC33E" wp14:editId="73689ACD">
            <wp:extent cx="6120765" cy="2952115"/>
            <wp:effectExtent l="0" t="0" r="635" b="0"/>
            <wp:docPr id="1931359356" name="Picture 1931359356" descr="A diagram of a process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359356" name="Picture 1" descr="A diagram of a process flow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D5F5B" w14:textId="32151037" w:rsidR="00D93B6A" w:rsidRPr="00912BD6" w:rsidRDefault="00D93B6A" w:rsidP="00D93B6A">
      <w:pPr>
        <w:pStyle w:val="Caption"/>
        <w:jc w:val="center"/>
        <w:rPr>
          <w:rFonts w:ascii="Arial" w:hAnsi="Arial" w:cs="Arial"/>
        </w:rPr>
      </w:pPr>
      <w:r w:rsidRPr="00912BD6">
        <w:rPr>
          <w:rFonts w:ascii="Arial" w:hAnsi="Arial" w:cs="Arial"/>
        </w:rPr>
        <w:t xml:space="preserve">Figure </w:t>
      </w:r>
      <w:r w:rsidRPr="00912BD6">
        <w:rPr>
          <w:rFonts w:ascii="Arial" w:hAnsi="Arial" w:cs="Arial"/>
        </w:rPr>
        <w:fldChar w:fldCharType="begin"/>
      </w:r>
      <w:r w:rsidRPr="00912BD6">
        <w:rPr>
          <w:rFonts w:ascii="Arial" w:hAnsi="Arial" w:cs="Arial"/>
        </w:rPr>
        <w:instrText xml:space="preserve"> SEQ Figure \* ARABIC </w:instrText>
      </w:r>
      <w:r w:rsidRPr="00912BD6">
        <w:rPr>
          <w:rFonts w:ascii="Arial" w:hAnsi="Arial" w:cs="Arial"/>
        </w:rPr>
        <w:fldChar w:fldCharType="separate"/>
      </w:r>
      <w:r w:rsidR="00CC1EF3">
        <w:rPr>
          <w:rFonts w:ascii="Arial" w:hAnsi="Arial" w:cs="Arial"/>
          <w:noProof/>
        </w:rPr>
        <w:t>1</w:t>
      </w:r>
      <w:r w:rsidRPr="00912BD6">
        <w:rPr>
          <w:rFonts w:ascii="Arial" w:hAnsi="Arial" w:cs="Arial"/>
        </w:rPr>
        <w:fldChar w:fldCharType="end"/>
      </w:r>
      <w:r w:rsidRPr="00912BD6">
        <w:rPr>
          <w:rFonts w:ascii="Arial" w:hAnsi="Arial" w:cs="Arial"/>
        </w:rPr>
        <w:t xml:space="preserve">. Example signaling flows for </w:t>
      </w:r>
      <w:r w:rsidR="00A96015" w:rsidRPr="00912BD6">
        <w:rPr>
          <w:rFonts w:ascii="Arial" w:hAnsi="Arial" w:cs="Arial"/>
        </w:rPr>
        <w:t xml:space="preserve">Inter-CU </w:t>
      </w:r>
      <w:r w:rsidRPr="00912BD6">
        <w:rPr>
          <w:rFonts w:ascii="Arial" w:hAnsi="Arial" w:cs="Arial"/>
        </w:rPr>
        <w:t>LTM Configuration</w:t>
      </w:r>
    </w:p>
    <w:p w14:paraId="7B073706" w14:textId="29DABB8B" w:rsidR="00D44C0A" w:rsidRPr="00912BD6" w:rsidRDefault="00D44C0A" w:rsidP="00063B63">
      <w:pPr>
        <w:tabs>
          <w:tab w:val="num" w:pos="720"/>
        </w:tabs>
        <w:rPr>
          <w:rFonts w:ascii="Arial" w:hAnsi="Arial" w:cs="Arial"/>
          <w:bCs/>
        </w:rPr>
      </w:pPr>
    </w:p>
    <w:p w14:paraId="354A75B7" w14:textId="0E1AD8E8" w:rsidR="00D363C7" w:rsidRPr="00912BD6" w:rsidRDefault="000D52A7" w:rsidP="000D52A7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The main issue is whether to configure LTM candidate cells individually for each cell, like the </w:t>
      </w:r>
      <w:r w:rsidR="00D363C7" w:rsidRPr="00912BD6">
        <w:rPr>
          <w:rFonts w:ascii="Arial" w:hAnsi="Arial" w:cs="Arial"/>
          <w:bCs/>
        </w:rPr>
        <w:t>existing handling for</w:t>
      </w:r>
      <w:r w:rsidR="00BB39A7" w:rsidRPr="00912BD6">
        <w:rPr>
          <w:rFonts w:ascii="Arial" w:hAnsi="Arial" w:cs="Arial"/>
          <w:bCs/>
        </w:rPr>
        <w:t xml:space="preserve"> mobility</w:t>
      </w:r>
      <w:r w:rsidRPr="00912BD6">
        <w:rPr>
          <w:rFonts w:ascii="Arial" w:hAnsi="Arial" w:cs="Arial"/>
          <w:bCs/>
        </w:rPr>
        <w:t>.</w:t>
      </w:r>
      <w:r w:rsidR="00D363C7" w:rsidRPr="00912BD6">
        <w:rPr>
          <w:rFonts w:ascii="Arial" w:hAnsi="Arial" w:cs="Arial"/>
          <w:bCs/>
        </w:rPr>
        <w:t xml:space="preserve"> The following options are given:</w:t>
      </w:r>
    </w:p>
    <w:p w14:paraId="339E0C3C" w14:textId="2E1CD53D" w:rsidR="00D363C7" w:rsidRPr="00912BD6" w:rsidRDefault="00D363C7" w:rsidP="00D363C7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 xml:space="preserve">The configuration procedure is triggered per cell; That </w:t>
      </w:r>
      <w:r w:rsidR="002E623A" w:rsidRPr="00912BD6">
        <w:rPr>
          <w:rFonts w:ascii="Arial" w:hAnsi="Arial" w:cs="Arial"/>
          <w:bCs/>
          <w:sz w:val="20"/>
          <w:szCs w:val="20"/>
        </w:rPr>
        <w:t>is aligned with the cell specific information provided in the handover messages.</w:t>
      </w:r>
    </w:p>
    <w:p w14:paraId="1AB441F0" w14:textId="7725B311" w:rsidR="002E623A" w:rsidRPr="00912BD6" w:rsidRDefault="002E623A" w:rsidP="00D363C7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The configuration procedure is per node basis; That means the procedure will include a list of candidates cells within the same target NG-RAN node.</w:t>
      </w:r>
    </w:p>
    <w:p w14:paraId="30B2AF4E" w14:textId="70DF2766" w:rsidR="0040142C" w:rsidRPr="00912BD6" w:rsidRDefault="0040142C" w:rsidP="0040142C">
      <w:pPr>
        <w:tabs>
          <w:tab w:val="num" w:pos="720"/>
        </w:tabs>
        <w:rPr>
          <w:rFonts w:ascii="Arial" w:hAnsi="Arial" w:cs="Arial"/>
          <w:bCs/>
        </w:rPr>
      </w:pPr>
    </w:p>
    <w:p w14:paraId="18F3C2D5" w14:textId="63AFC179" w:rsidR="007867AA" w:rsidRPr="00912BD6" w:rsidRDefault="007867AA" w:rsidP="007867AA">
      <w:pPr>
        <w:pStyle w:val="Observation"/>
        <w:ind w:left="1701" w:hanging="1701"/>
      </w:pPr>
      <w:bookmarkStart w:id="0" w:name="_Toc166221903"/>
      <w:r w:rsidRPr="00912BD6">
        <w:t xml:space="preserve">The </w:t>
      </w:r>
      <w:r w:rsidR="008B19EA">
        <w:t>granularity</w:t>
      </w:r>
      <w:r w:rsidRPr="00912BD6">
        <w:t xml:space="preserve"> of</w:t>
      </w:r>
      <w:r w:rsidR="00E6464D">
        <w:t xml:space="preserve"> network signaling</w:t>
      </w:r>
      <w:r w:rsidRPr="00912BD6">
        <w:t xml:space="preserve"> </w:t>
      </w:r>
      <w:r w:rsidR="008B19EA">
        <w:t>during</w:t>
      </w:r>
      <w:r w:rsidRPr="00912BD6">
        <w:t xml:space="preserve"> the inter-CU LTM configuration </w:t>
      </w:r>
      <w:r w:rsidR="008B19EA">
        <w:t>phase</w:t>
      </w:r>
      <w:r w:rsidRPr="00912BD6">
        <w:t xml:space="preserve"> </w:t>
      </w:r>
      <w:r w:rsidR="008B19EA">
        <w:t xml:space="preserve">needs to </w:t>
      </w:r>
      <w:r w:rsidR="001D3AE7">
        <w:t xml:space="preserve">be </w:t>
      </w:r>
      <w:r w:rsidR="008B19EA">
        <w:t>evaluated</w:t>
      </w:r>
      <w:r w:rsidRPr="00912BD6">
        <w:t>.</w:t>
      </w:r>
      <w:bookmarkEnd w:id="0"/>
    </w:p>
    <w:p w14:paraId="7E60D7FA" w14:textId="77777777" w:rsidR="007867AA" w:rsidRPr="00912BD6" w:rsidRDefault="007867AA" w:rsidP="0040142C">
      <w:pPr>
        <w:tabs>
          <w:tab w:val="num" w:pos="720"/>
        </w:tabs>
        <w:rPr>
          <w:rFonts w:ascii="Arial" w:hAnsi="Arial" w:cs="Arial"/>
          <w:bCs/>
        </w:rPr>
      </w:pPr>
    </w:p>
    <w:p w14:paraId="57883D49" w14:textId="4226423C" w:rsidR="004E48ED" w:rsidRDefault="00C46BB3" w:rsidP="00A80335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Legacy</w:t>
      </w:r>
      <w:r w:rsidR="000F015C" w:rsidRPr="00912BD6">
        <w:rPr>
          <w:rFonts w:ascii="Arial" w:hAnsi="Arial" w:cs="Arial"/>
          <w:bCs/>
        </w:rPr>
        <w:t xml:space="preserve"> discussions have taken place regarding other topics, and currently, the approach remains focused on a per-cell basis.</w:t>
      </w:r>
      <w:r w:rsidR="00AA56D9" w:rsidRPr="00912BD6">
        <w:rPr>
          <w:rFonts w:ascii="Arial" w:hAnsi="Arial" w:cs="Arial"/>
          <w:bCs/>
        </w:rPr>
        <w:t xml:space="preserve"> </w:t>
      </w:r>
      <w:r w:rsidR="004E48ED">
        <w:rPr>
          <w:rFonts w:ascii="Arial" w:hAnsi="Arial" w:cs="Arial"/>
          <w:bCs/>
        </w:rPr>
        <w:t xml:space="preserve">Though, </w:t>
      </w:r>
      <w:r w:rsidR="004E48ED" w:rsidRPr="00603B5C">
        <w:rPr>
          <w:rFonts w:ascii="Arial" w:hAnsi="Arial" w:cs="Arial"/>
          <w:bCs/>
        </w:rPr>
        <w:t xml:space="preserve">CHO is intended to improve mobility robustness and is most beneficial in specific deployment scenario, e.g. along railway or for high speed UEs. And since CHO is UE initiated mobility </w:t>
      </w:r>
      <w:r w:rsidR="004E48ED">
        <w:rPr>
          <w:rFonts w:ascii="Arial" w:hAnsi="Arial" w:cs="Arial"/>
          <w:bCs/>
        </w:rPr>
        <w:t>thus</w:t>
      </w:r>
      <w:r w:rsidR="004E48ED" w:rsidRPr="00603B5C">
        <w:rPr>
          <w:rFonts w:ascii="Arial" w:hAnsi="Arial" w:cs="Arial"/>
          <w:bCs/>
        </w:rPr>
        <w:t xml:space="preserve"> </w:t>
      </w:r>
      <w:r w:rsidR="004E48ED">
        <w:rPr>
          <w:rFonts w:ascii="Arial" w:hAnsi="Arial" w:cs="Arial"/>
          <w:bCs/>
        </w:rPr>
        <w:t>network</w:t>
      </w:r>
      <w:r w:rsidR="004E48ED" w:rsidRPr="00603B5C">
        <w:rPr>
          <w:rFonts w:ascii="Arial" w:hAnsi="Arial" w:cs="Arial"/>
          <w:bCs/>
        </w:rPr>
        <w:t xml:space="preserve"> resources for candidate cells need to be preserved, it is expected that normally only one candidate cell should be configured. </w:t>
      </w:r>
      <w:r w:rsidR="004E48ED">
        <w:rPr>
          <w:rFonts w:ascii="Arial" w:hAnsi="Arial" w:cs="Arial"/>
          <w:bCs/>
        </w:rPr>
        <w:t>I</w:t>
      </w:r>
      <w:r w:rsidR="004E48ED" w:rsidRPr="00603B5C">
        <w:rPr>
          <w:rFonts w:ascii="Arial" w:hAnsi="Arial" w:cs="Arial"/>
          <w:bCs/>
        </w:rPr>
        <w:t>n the railway scenario</w:t>
      </w:r>
      <w:r w:rsidR="006C1C80">
        <w:rPr>
          <w:rFonts w:ascii="Arial" w:hAnsi="Arial" w:cs="Arial"/>
          <w:bCs/>
        </w:rPr>
        <w:t>,</w:t>
      </w:r>
      <w:r w:rsidR="004E48ED" w:rsidRPr="00603B5C">
        <w:rPr>
          <w:rFonts w:ascii="Arial" w:hAnsi="Arial" w:cs="Arial"/>
          <w:bCs/>
        </w:rPr>
        <w:t xml:space="preserve"> only one candidate cell is </w:t>
      </w:r>
      <w:r w:rsidR="006C1C80">
        <w:rPr>
          <w:rFonts w:ascii="Arial" w:hAnsi="Arial" w:cs="Arial"/>
          <w:bCs/>
        </w:rPr>
        <w:t>required</w:t>
      </w:r>
      <w:r w:rsidR="004E48ED" w:rsidRPr="00603B5C">
        <w:rPr>
          <w:rFonts w:ascii="Arial" w:hAnsi="Arial" w:cs="Arial"/>
          <w:bCs/>
        </w:rPr>
        <w:t xml:space="preserve">. But for LTM the purpose is different and therefore the number of LTM candidate cells would be more than one cell in almost all </w:t>
      </w:r>
      <w:r w:rsidR="0054629D">
        <w:rPr>
          <w:rFonts w:ascii="Arial" w:hAnsi="Arial" w:cs="Arial"/>
          <w:bCs/>
        </w:rPr>
        <w:t xml:space="preserve">the </w:t>
      </w:r>
      <w:r w:rsidR="004E48ED" w:rsidRPr="00603B5C">
        <w:rPr>
          <w:rFonts w:ascii="Arial" w:hAnsi="Arial" w:cs="Arial"/>
          <w:bCs/>
        </w:rPr>
        <w:t xml:space="preserve">deployment scenarios. This implies a different approach for LTM is required to avoid unnecessary signalling load.     </w:t>
      </w:r>
    </w:p>
    <w:p w14:paraId="3D24BFC0" w14:textId="7A8B92B6" w:rsidR="007325F2" w:rsidRDefault="00801C42" w:rsidP="00A80335">
      <w:pPr>
        <w:tabs>
          <w:tab w:val="num" w:pos="720"/>
        </w:tabs>
        <w:rPr>
          <w:rFonts w:ascii="Arial" w:hAnsi="Arial" w:cs="Arial"/>
          <w:bCs/>
        </w:rPr>
      </w:pPr>
      <w:r w:rsidRPr="00801C42">
        <w:rPr>
          <w:rFonts w:ascii="Arial" w:hAnsi="Arial" w:cs="Arial"/>
          <w:bCs/>
        </w:rPr>
        <w:t>Regarding LTM, we suggest the group taking a step forward towards a node-based solution.</w:t>
      </w:r>
      <w:r w:rsidRPr="00A80335">
        <w:rPr>
          <w:rFonts w:ascii="Arial" w:hAnsi="Arial" w:cs="Arial"/>
          <w:bCs/>
        </w:rPr>
        <w:t xml:space="preserve"> </w:t>
      </w:r>
      <w:r w:rsidR="005E500A" w:rsidRPr="00912BD6">
        <w:rPr>
          <w:rFonts w:ascii="Arial" w:hAnsi="Arial" w:cs="Arial"/>
          <w:bCs/>
        </w:rPr>
        <w:t xml:space="preserve">A key reason to consider configuring multiple cells in one procedure is to reduce signaling overload. When a single candidate gNB-CU is connected to </w:t>
      </w:r>
      <w:r w:rsidR="007E51BB">
        <w:rPr>
          <w:rFonts w:ascii="Arial" w:hAnsi="Arial" w:cs="Arial"/>
          <w:bCs/>
        </w:rPr>
        <w:t>an order of mag</w:t>
      </w:r>
      <w:r w:rsidR="00815ED3">
        <w:rPr>
          <w:rFonts w:ascii="Arial" w:hAnsi="Arial" w:cs="Arial"/>
          <w:bCs/>
        </w:rPr>
        <w:t>nitude</w:t>
      </w:r>
      <w:r w:rsidR="007E51BB" w:rsidRPr="00912BD6">
        <w:rPr>
          <w:rFonts w:ascii="Arial" w:hAnsi="Arial" w:cs="Arial"/>
          <w:bCs/>
        </w:rPr>
        <w:t xml:space="preserve"> </w:t>
      </w:r>
      <w:r w:rsidR="005E500A" w:rsidRPr="00912BD6">
        <w:rPr>
          <w:rFonts w:ascii="Arial" w:hAnsi="Arial" w:cs="Arial"/>
          <w:bCs/>
        </w:rPr>
        <w:t>of gNB-DUs, handling a large volume of signaling over the Xn interface becomes a major challenge.</w:t>
      </w:r>
      <w:r w:rsidR="007C7555" w:rsidRPr="00912BD6">
        <w:rPr>
          <w:rFonts w:ascii="Arial" w:hAnsi="Arial" w:cs="Arial"/>
          <w:bCs/>
        </w:rPr>
        <w:t xml:space="preserve"> </w:t>
      </w:r>
    </w:p>
    <w:p w14:paraId="4B1D2CFD" w14:textId="19FD4E2E" w:rsidR="00D44C0A" w:rsidRPr="00912BD6" w:rsidRDefault="007C7555" w:rsidP="00063B63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Accordingly, </w:t>
      </w:r>
      <w:r w:rsidR="008F0813" w:rsidRPr="00912BD6">
        <w:rPr>
          <w:rFonts w:ascii="Arial" w:hAnsi="Arial" w:cs="Arial"/>
          <w:bCs/>
        </w:rPr>
        <w:t>three possible options should be considered when go to details for signaling design.</w:t>
      </w:r>
    </w:p>
    <w:p w14:paraId="7A0B1C60" w14:textId="374B57C5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1: Enhance the existing handover procedure to include single cell in each message.</w:t>
      </w:r>
    </w:p>
    <w:p w14:paraId="1870716A" w14:textId="69524CB1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2: Enhance the existing handover procedure to include a list of candidate cells within one NG-RAN node.</w:t>
      </w:r>
    </w:p>
    <w:p w14:paraId="00E69DBC" w14:textId="60982652" w:rsidR="008F0813" w:rsidRPr="00912BD6" w:rsidRDefault="008F0813" w:rsidP="008F0813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912BD6">
        <w:rPr>
          <w:rFonts w:ascii="Arial" w:hAnsi="Arial" w:cs="Arial"/>
          <w:bCs/>
          <w:sz w:val="20"/>
          <w:szCs w:val="20"/>
        </w:rPr>
        <w:t>Option 3: Introduce a new procedure for LTM configuration purpose, which includes a list of candidate cells per node.</w:t>
      </w:r>
    </w:p>
    <w:p w14:paraId="715DA06B" w14:textId="77777777" w:rsidR="008F0813" w:rsidRPr="00912BD6" w:rsidRDefault="008F0813" w:rsidP="00365B60">
      <w:pPr>
        <w:tabs>
          <w:tab w:val="num" w:pos="720"/>
        </w:tabs>
        <w:rPr>
          <w:rFonts w:ascii="Arial" w:hAnsi="Arial" w:cs="Arial"/>
          <w:bCs/>
        </w:rPr>
      </w:pPr>
    </w:p>
    <w:p w14:paraId="6858AD86" w14:textId="2A17E4A6" w:rsidR="00365B60" w:rsidRDefault="00365B60" w:rsidP="00365B60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Before selecting any option, it's </w:t>
      </w:r>
      <w:r w:rsidR="005E559D">
        <w:rPr>
          <w:rFonts w:ascii="Arial" w:hAnsi="Arial" w:cs="Arial"/>
          <w:bCs/>
        </w:rPr>
        <w:t>important</w:t>
      </w:r>
      <w:r w:rsidRPr="00912BD6">
        <w:rPr>
          <w:rFonts w:ascii="Arial" w:hAnsi="Arial" w:cs="Arial"/>
          <w:bCs/>
        </w:rPr>
        <w:t xml:space="preserve"> to establish the high-level principle. </w:t>
      </w:r>
      <w:r w:rsidR="006574FD">
        <w:rPr>
          <w:rFonts w:ascii="Arial" w:hAnsi="Arial" w:cs="Arial"/>
          <w:bCs/>
        </w:rPr>
        <w:t>The most</w:t>
      </w:r>
      <w:r w:rsidRPr="00912BD6">
        <w:rPr>
          <w:rFonts w:ascii="Arial" w:hAnsi="Arial" w:cs="Arial"/>
          <w:bCs/>
        </w:rPr>
        <w:t xml:space="preserve"> efficient approach could be </w:t>
      </w:r>
      <w:r w:rsidR="00F64EF7">
        <w:rPr>
          <w:rFonts w:ascii="Arial" w:hAnsi="Arial" w:cs="Arial"/>
          <w:bCs/>
        </w:rPr>
        <w:t xml:space="preserve">using </w:t>
      </w:r>
      <w:r w:rsidRPr="00912BD6">
        <w:rPr>
          <w:rFonts w:ascii="Arial" w:hAnsi="Arial" w:cs="Arial"/>
          <w:bCs/>
        </w:rPr>
        <w:t>a procedure that configures multiple cells</w:t>
      </w:r>
      <w:r w:rsidR="0049692C">
        <w:rPr>
          <w:rFonts w:ascii="Arial" w:hAnsi="Arial" w:cs="Arial"/>
          <w:bCs/>
        </w:rPr>
        <w:t xml:space="preserve"> within one candidate gNB</w:t>
      </w:r>
      <w:r w:rsidR="00C9293F">
        <w:rPr>
          <w:rFonts w:ascii="Arial" w:hAnsi="Arial" w:cs="Arial"/>
          <w:bCs/>
        </w:rPr>
        <w:t xml:space="preserve"> in a UE associated signaling</w:t>
      </w:r>
      <w:r w:rsidRPr="00912BD6">
        <w:rPr>
          <w:rFonts w:ascii="Arial" w:hAnsi="Arial" w:cs="Arial"/>
          <w:bCs/>
        </w:rPr>
        <w:t>, serving as a solid foundation for Rel-19.</w:t>
      </w:r>
    </w:p>
    <w:p w14:paraId="0FF8F632" w14:textId="6CDFCD5F" w:rsidR="00AD4D1C" w:rsidRPr="00912BD6" w:rsidRDefault="00365B60" w:rsidP="001466A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" w:name="_Toc166221908"/>
      <w:r w:rsidRPr="00912BD6">
        <w:rPr>
          <w:rFonts w:ascii="Arial" w:hAnsi="Arial" w:cs="Arial"/>
        </w:rPr>
        <w:lastRenderedPageBreak/>
        <w:t xml:space="preserve">Agree </w:t>
      </w:r>
      <w:r w:rsidR="007D2D10" w:rsidRPr="00912BD6">
        <w:rPr>
          <w:rFonts w:ascii="Arial" w:hAnsi="Arial" w:cs="Arial"/>
        </w:rPr>
        <w:t>to use a procedure that handles multiple candidate cells for inter-CU LTM configuration.</w:t>
      </w:r>
      <w:bookmarkEnd w:id="1"/>
    </w:p>
    <w:p w14:paraId="453E5254" w14:textId="77777777" w:rsidR="00042913" w:rsidRPr="00912BD6" w:rsidRDefault="00042913" w:rsidP="0004291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00812215" w14:textId="42D285E5" w:rsidR="00227E0F" w:rsidRPr="00912BD6" w:rsidRDefault="00227E0F" w:rsidP="00227E0F">
      <w:pPr>
        <w:pStyle w:val="Heading2"/>
      </w:pPr>
      <w:r w:rsidRPr="00912BD6">
        <w:t>2.2</w:t>
      </w:r>
      <w:r w:rsidRPr="00912BD6">
        <w:tab/>
      </w:r>
      <w:r w:rsidR="008F55FD" w:rsidRPr="00912BD6">
        <w:t>Early Synchronization</w:t>
      </w:r>
    </w:p>
    <w:p w14:paraId="3B0FAD9B" w14:textId="69C2AF87" w:rsidR="00E87216" w:rsidRDefault="00E87216" w:rsidP="00E87216">
      <w:pPr>
        <w:tabs>
          <w:tab w:val="num" w:pos="720"/>
        </w:tabs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Prior to executing LTM, the network may prompt the UE to </w:t>
      </w:r>
      <w:r w:rsidR="00A01077">
        <w:rPr>
          <w:rFonts w:ascii="Arial" w:hAnsi="Arial" w:cs="Arial"/>
          <w:bCs/>
        </w:rPr>
        <w:t>perform</w:t>
      </w:r>
      <w:r w:rsidRPr="00912BD6">
        <w:rPr>
          <w:rFonts w:ascii="Arial" w:hAnsi="Arial" w:cs="Arial"/>
          <w:bCs/>
        </w:rPr>
        <w:t xml:space="preserve"> uplink and downlink pre-synchronization, also referred to as early UL/DL sync, with one or more candidate cells for LTM. This </w:t>
      </w:r>
      <w:r w:rsidR="00140F5B" w:rsidRPr="00912BD6">
        <w:rPr>
          <w:rFonts w:ascii="Arial" w:hAnsi="Arial" w:cs="Arial"/>
          <w:bCs/>
        </w:rPr>
        <w:t xml:space="preserve">would </w:t>
      </w:r>
      <w:r w:rsidRPr="00912BD6">
        <w:rPr>
          <w:rFonts w:ascii="Arial" w:hAnsi="Arial" w:cs="Arial"/>
          <w:bCs/>
        </w:rPr>
        <w:t>reduce mobility interruption time during cell changes.</w:t>
      </w:r>
    </w:p>
    <w:p w14:paraId="460702F8" w14:textId="3C43CD55" w:rsidR="008F6190" w:rsidRDefault="008F6190" w:rsidP="008F6190">
      <w:pPr>
        <w:tabs>
          <w:tab w:val="num" w:pos="720"/>
        </w:tabs>
        <w:jc w:val="center"/>
        <w:rPr>
          <w:rFonts w:ascii="Arial" w:hAnsi="Arial" w:cs="Arial"/>
          <w:bCs/>
        </w:rPr>
      </w:pPr>
      <w:r w:rsidRPr="00912BD6">
        <w:rPr>
          <w:rFonts w:ascii="Arial" w:hAnsi="Arial" w:cs="Arial"/>
          <w:bCs/>
          <w:noProof/>
        </w:rPr>
        <w:drawing>
          <wp:inline distT="0" distB="0" distL="0" distR="0" wp14:anchorId="10290DD9" wp14:editId="1204FAC0">
            <wp:extent cx="2077453" cy="939034"/>
            <wp:effectExtent l="0" t="0" r="0" b="1270"/>
            <wp:docPr id="1399027250" name="Picture 1399027250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027250" name="Picture 1" descr="A screenshot of a computer scree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0893" cy="95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88BD0" w14:textId="52AE9BC5" w:rsidR="008F6190" w:rsidRDefault="008F6190" w:rsidP="006D6F86">
      <w:pPr>
        <w:pStyle w:val="Caption"/>
        <w:jc w:val="center"/>
        <w:rPr>
          <w:rFonts w:ascii="Arial" w:hAnsi="Arial" w:cs="Arial"/>
        </w:rPr>
      </w:pPr>
      <w:r w:rsidRPr="00912BD6">
        <w:rPr>
          <w:rFonts w:ascii="Arial" w:hAnsi="Arial" w:cs="Arial"/>
        </w:rPr>
        <w:t>Figure 2. Early UL/DL pre-sync</w:t>
      </w:r>
    </w:p>
    <w:p w14:paraId="112F9216" w14:textId="77777777" w:rsidR="000B706B" w:rsidRDefault="000B706B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356D19ED" w14:textId="15DB27EB" w:rsidR="00DF7B80" w:rsidRPr="00DF7B80" w:rsidRDefault="00755E94" w:rsidP="00DF7B80">
      <w:pPr>
        <w:tabs>
          <w:tab w:val="num" w:pos="720"/>
        </w:tabs>
        <w:rPr>
          <w:rFonts w:ascii="Arial" w:hAnsi="Arial" w:cs="Arial"/>
          <w:bCs/>
        </w:rPr>
      </w:pPr>
      <w:r w:rsidRPr="00755E94">
        <w:rPr>
          <w:rFonts w:ascii="Arial" w:hAnsi="Arial" w:cs="Arial"/>
          <w:bCs/>
        </w:rPr>
        <w:t>To facilitate downlink pre-synchronization for inter-</w:t>
      </w:r>
      <w:r>
        <w:rPr>
          <w:rFonts w:ascii="Arial" w:hAnsi="Arial" w:cs="Arial"/>
          <w:bCs/>
        </w:rPr>
        <w:t>CU</w:t>
      </w:r>
      <w:r w:rsidRPr="00755E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LTM,</w:t>
      </w:r>
      <w:r w:rsidRPr="00755E94">
        <w:rPr>
          <w:rFonts w:ascii="Arial" w:hAnsi="Arial" w:cs="Arial"/>
          <w:bCs/>
        </w:rPr>
        <w:t xml:space="preserve"> the serving gNB </w:t>
      </w:r>
      <w:r>
        <w:rPr>
          <w:rFonts w:ascii="Arial" w:hAnsi="Arial" w:cs="Arial"/>
          <w:bCs/>
        </w:rPr>
        <w:t>needs to</w:t>
      </w:r>
      <w:r w:rsidRPr="00755E94">
        <w:rPr>
          <w:rFonts w:ascii="Arial" w:hAnsi="Arial" w:cs="Arial"/>
          <w:bCs/>
        </w:rPr>
        <w:t xml:space="preserve"> receive the TCI states configuration from the candidate gNB(s). As for uplink pre-synchronization, the primary steps involve obtaining the UE's preamble index and then acquiring the Timing Advance (TA) value to </w:t>
      </w:r>
      <w:r>
        <w:rPr>
          <w:rFonts w:ascii="Arial" w:hAnsi="Arial" w:cs="Arial"/>
          <w:bCs/>
        </w:rPr>
        <w:t>avoid</w:t>
      </w:r>
      <w:r w:rsidRPr="00755E94">
        <w:rPr>
          <w:rFonts w:ascii="Arial" w:hAnsi="Arial" w:cs="Arial"/>
          <w:bCs/>
        </w:rPr>
        <w:t xml:space="preserve"> random access during the cell </w:t>
      </w:r>
      <w:r>
        <w:rPr>
          <w:rFonts w:ascii="Arial" w:hAnsi="Arial" w:cs="Arial"/>
          <w:bCs/>
        </w:rPr>
        <w:t>switch</w:t>
      </w:r>
      <w:r w:rsidRPr="00755E94">
        <w:rPr>
          <w:rFonts w:ascii="Arial" w:hAnsi="Arial" w:cs="Arial"/>
          <w:bCs/>
        </w:rPr>
        <w:t>.</w:t>
      </w:r>
      <w:r w:rsidR="00DF7B80">
        <w:rPr>
          <w:rFonts w:ascii="Arial" w:hAnsi="Arial" w:cs="Arial"/>
          <w:bCs/>
        </w:rPr>
        <w:t xml:space="preserve"> </w:t>
      </w:r>
      <w:r w:rsidR="00DF7B80" w:rsidRPr="00DF7B80">
        <w:rPr>
          <w:rFonts w:ascii="Arial" w:hAnsi="Arial" w:cs="Arial"/>
          <w:bCs/>
        </w:rPr>
        <w:t xml:space="preserve">Consequently, the signaling design should </w:t>
      </w:r>
      <w:r w:rsidR="00DF7B80">
        <w:rPr>
          <w:rFonts w:ascii="Arial" w:hAnsi="Arial" w:cs="Arial"/>
          <w:bCs/>
        </w:rPr>
        <w:t>take</w:t>
      </w:r>
      <w:r w:rsidR="00DF7B80" w:rsidRPr="00DF7B80">
        <w:rPr>
          <w:rFonts w:ascii="Arial" w:hAnsi="Arial" w:cs="Arial"/>
          <w:bCs/>
        </w:rPr>
        <w:t xml:space="preserve"> at least the following </w:t>
      </w:r>
      <w:r w:rsidR="005C7525">
        <w:rPr>
          <w:rFonts w:ascii="Arial" w:hAnsi="Arial" w:cs="Arial"/>
          <w:bCs/>
        </w:rPr>
        <w:t>goals</w:t>
      </w:r>
      <w:r w:rsidR="00DF7B80">
        <w:rPr>
          <w:rFonts w:ascii="Arial" w:hAnsi="Arial" w:cs="Arial"/>
          <w:bCs/>
        </w:rPr>
        <w:t xml:space="preserve"> into </w:t>
      </w:r>
      <w:r w:rsidR="00962582">
        <w:rPr>
          <w:rFonts w:ascii="Arial" w:hAnsi="Arial" w:cs="Arial"/>
          <w:bCs/>
        </w:rPr>
        <w:t>account</w:t>
      </w:r>
      <w:r w:rsidR="00DF7B80" w:rsidRPr="00DF7B80">
        <w:rPr>
          <w:rFonts w:ascii="Arial" w:hAnsi="Arial" w:cs="Arial"/>
          <w:bCs/>
        </w:rPr>
        <w:t xml:space="preserve"> to </w:t>
      </w:r>
      <w:r w:rsidR="00AA6C1F">
        <w:rPr>
          <w:rFonts w:ascii="Arial" w:hAnsi="Arial" w:cs="Arial"/>
          <w:bCs/>
        </w:rPr>
        <w:t>support</w:t>
      </w:r>
      <w:r w:rsidR="00DF7B80" w:rsidRPr="00DF7B80">
        <w:rPr>
          <w:rFonts w:ascii="Arial" w:hAnsi="Arial" w:cs="Arial"/>
          <w:bCs/>
        </w:rPr>
        <w:t xml:space="preserve"> early synchronization.</w:t>
      </w:r>
    </w:p>
    <w:p w14:paraId="5C8BA7D6" w14:textId="10A8B386" w:rsidR="00DA5EA0" w:rsidRDefault="00DA5EA0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RACH configurations</w:t>
      </w:r>
      <w:r w:rsidR="00781881">
        <w:rPr>
          <w:rFonts w:ascii="Arial" w:hAnsi="Arial" w:cs="Arial"/>
          <w:bCs/>
          <w:sz w:val="20"/>
          <w:szCs w:val="20"/>
        </w:rPr>
        <w:t xml:space="preserve"> retrieval</w:t>
      </w:r>
    </w:p>
    <w:p w14:paraId="39284376" w14:textId="753C763F" w:rsidR="00962582" w:rsidRDefault="00B50819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 w:rsidRPr="00B50819">
        <w:rPr>
          <w:rFonts w:ascii="Arial" w:hAnsi="Arial" w:cs="Arial"/>
          <w:bCs/>
          <w:sz w:val="20"/>
          <w:szCs w:val="20"/>
        </w:rPr>
        <w:t xml:space="preserve">TCI states configuration </w:t>
      </w:r>
      <w:r w:rsidR="005C7525">
        <w:rPr>
          <w:rFonts w:ascii="Arial" w:hAnsi="Arial" w:cs="Arial"/>
          <w:bCs/>
          <w:sz w:val="20"/>
          <w:szCs w:val="20"/>
        </w:rPr>
        <w:t>transferring</w:t>
      </w:r>
    </w:p>
    <w:p w14:paraId="1C29200A" w14:textId="436F98A7" w:rsidR="00962582" w:rsidRDefault="00962582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Preamble index allocation</w:t>
      </w:r>
    </w:p>
    <w:p w14:paraId="52E53CD3" w14:textId="590C3692" w:rsidR="00962582" w:rsidRPr="00962582" w:rsidRDefault="00962582" w:rsidP="00962582">
      <w:pPr>
        <w:pStyle w:val="ListParagraph"/>
        <w:numPr>
          <w:ilvl w:val="0"/>
          <w:numId w:val="16"/>
        </w:numPr>
        <w:tabs>
          <w:tab w:val="num" w:pos="7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TA information transfer</w:t>
      </w:r>
      <w:r w:rsidR="005C7525">
        <w:rPr>
          <w:rFonts w:ascii="Arial" w:hAnsi="Arial" w:cs="Arial"/>
          <w:bCs/>
          <w:sz w:val="20"/>
          <w:szCs w:val="20"/>
        </w:rPr>
        <w:t>ring</w:t>
      </w:r>
    </w:p>
    <w:p w14:paraId="4E1019F9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0BE26E22" w14:textId="59F024BD" w:rsidR="00DA5EA0" w:rsidRDefault="00DA5EA0" w:rsidP="00DA5EA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RACH</w:t>
      </w:r>
      <w:r w:rsidRPr="00962582">
        <w:rPr>
          <w:rFonts w:ascii="Arial" w:hAnsi="Arial" w:cs="Arial"/>
          <w:bCs/>
          <w:u w:val="single"/>
        </w:rPr>
        <w:t xml:space="preserve"> configuration:</w:t>
      </w:r>
    </w:p>
    <w:p w14:paraId="67252A75" w14:textId="29D1F63E" w:rsidR="004913E8" w:rsidRDefault="004913E8" w:rsidP="00DA5EA0">
      <w:pPr>
        <w:tabs>
          <w:tab w:val="num" w:pos="720"/>
        </w:tabs>
        <w:rPr>
          <w:rFonts w:ascii="Arial" w:hAnsi="Arial" w:cs="Arial"/>
          <w:bCs/>
        </w:rPr>
      </w:pPr>
      <w:r w:rsidRPr="004913E8">
        <w:rPr>
          <w:rFonts w:ascii="Arial" w:hAnsi="Arial" w:cs="Arial"/>
          <w:bCs/>
        </w:rPr>
        <w:t>To enable early uplink synchronization, RACH configurations are necessary for inter-CU LTM. This information, like in intra-CU LTM, can be obtained during the preparation phase.</w:t>
      </w:r>
    </w:p>
    <w:p w14:paraId="2A0DEDCC" w14:textId="38F59C6D" w:rsidR="00DA5EA0" w:rsidRPr="001204B8" w:rsidRDefault="00DA5EA0" w:rsidP="00DA5EA0">
      <w:pPr>
        <w:pStyle w:val="Observation"/>
        <w:ind w:left="1701" w:hanging="1701"/>
      </w:pPr>
      <w:bookmarkStart w:id="2" w:name="_Toc166221904"/>
      <w:r>
        <w:t xml:space="preserve">Current Rel-18 intra-CU design for </w:t>
      </w:r>
      <w:r w:rsidR="00D1296F">
        <w:t xml:space="preserve">configuration of </w:t>
      </w:r>
      <w:r>
        <w:t>UL pre-sync can be reused for inter-CU LTM</w:t>
      </w:r>
      <w:r w:rsidRPr="00912BD6">
        <w:t>.</w:t>
      </w:r>
      <w:bookmarkEnd w:id="2"/>
    </w:p>
    <w:p w14:paraId="7368724A" w14:textId="477B82EF" w:rsidR="00DA5EA0" w:rsidRDefault="00DA5EA0" w:rsidP="00DA5EA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3" w:name="_Toc166221909"/>
      <w:r>
        <w:rPr>
          <w:rFonts w:ascii="Arial" w:hAnsi="Arial" w:cs="Arial"/>
        </w:rPr>
        <w:t xml:space="preserve">RACH configuration </w:t>
      </w:r>
      <w:r w:rsidR="000B5C4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obtained </w:t>
      </w:r>
      <w:r w:rsidR="001858B9">
        <w:rPr>
          <w:rFonts w:ascii="Arial" w:hAnsi="Arial" w:cs="Arial"/>
        </w:rPr>
        <w:t xml:space="preserve">during the </w:t>
      </w:r>
      <w:r w:rsidR="001D3F53">
        <w:rPr>
          <w:rFonts w:ascii="Arial" w:hAnsi="Arial" w:cs="Arial"/>
        </w:rPr>
        <w:t>LTM configuration</w:t>
      </w:r>
      <w:r w:rsidR="001858B9">
        <w:rPr>
          <w:rFonts w:ascii="Arial" w:hAnsi="Arial" w:cs="Arial"/>
        </w:rPr>
        <w:t xml:space="preserve"> </w:t>
      </w:r>
      <w:r w:rsidR="00E111D9">
        <w:rPr>
          <w:rFonts w:ascii="Arial" w:hAnsi="Arial" w:cs="Arial"/>
        </w:rPr>
        <w:t xml:space="preserve">phase, for example, </w:t>
      </w:r>
      <w:r w:rsidR="0079473F">
        <w:rPr>
          <w:rFonts w:ascii="Arial" w:hAnsi="Arial" w:cs="Arial"/>
        </w:rPr>
        <w:t xml:space="preserve">within </w:t>
      </w:r>
      <w:r w:rsidR="00E111D9">
        <w:rPr>
          <w:rFonts w:ascii="Arial" w:hAnsi="Arial" w:cs="Arial"/>
        </w:rPr>
        <w:t>the existing handover procedure,</w:t>
      </w:r>
      <w:r w:rsidR="001858B9">
        <w:rPr>
          <w:rFonts w:ascii="Arial" w:hAnsi="Arial" w:cs="Arial"/>
        </w:rPr>
        <w:t xml:space="preserve"> </w:t>
      </w:r>
      <w:r w:rsidR="006F2422">
        <w:rPr>
          <w:rFonts w:ascii="Arial" w:hAnsi="Arial" w:cs="Arial"/>
        </w:rPr>
        <w:t>to support</w:t>
      </w:r>
      <w:r w:rsidR="001858B9">
        <w:rPr>
          <w:rFonts w:ascii="Arial" w:hAnsi="Arial" w:cs="Arial"/>
        </w:rPr>
        <w:t xml:space="preserve"> </w:t>
      </w:r>
      <w:r w:rsidR="00D1296F">
        <w:rPr>
          <w:rFonts w:ascii="Arial" w:hAnsi="Arial" w:cs="Arial"/>
        </w:rPr>
        <w:t>UL pre-sync</w:t>
      </w:r>
      <w:r w:rsidRPr="00912BD6">
        <w:rPr>
          <w:rFonts w:ascii="Arial" w:hAnsi="Arial" w:cs="Arial"/>
        </w:rPr>
        <w:t>.</w:t>
      </w:r>
      <w:bookmarkEnd w:id="3"/>
    </w:p>
    <w:p w14:paraId="10972363" w14:textId="77777777" w:rsidR="00645F40" w:rsidRPr="00912BD6" w:rsidRDefault="00645F40" w:rsidP="003169A0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</w:p>
    <w:p w14:paraId="5AC13B53" w14:textId="2094E8FA" w:rsidR="00DF7B80" w:rsidRDefault="00962582" w:rsidP="00DF7B80">
      <w:pPr>
        <w:tabs>
          <w:tab w:val="num" w:pos="720"/>
        </w:tabs>
        <w:rPr>
          <w:rFonts w:ascii="Arial" w:hAnsi="Arial" w:cs="Arial"/>
          <w:bCs/>
          <w:u w:val="single"/>
        </w:rPr>
      </w:pPr>
      <w:r w:rsidRPr="00962582">
        <w:rPr>
          <w:rFonts w:ascii="Arial" w:hAnsi="Arial" w:cs="Arial"/>
          <w:bCs/>
          <w:u w:val="single"/>
        </w:rPr>
        <w:t>TCI states configuration:</w:t>
      </w:r>
    </w:p>
    <w:p w14:paraId="72A4A47A" w14:textId="07F1C80A" w:rsidR="008F247A" w:rsidRPr="008F247A" w:rsidRDefault="008F247A" w:rsidP="008F247A">
      <w:pPr>
        <w:tabs>
          <w:tab w:val="num" w:pos="720"/>
        </w:tabs>
        <w:rPr>
          <w:rFonts w:ascii="Arial" w:hAnsi="Arial" w:cs="Arial"/>
          <w:bCs/>
        </w:rPr>
      </w:pPr>
      <w:r w:rsidRPr="008F247A">
        <w:rPr>
          <w:rFonts w:ascii="Arial" w:hAnsi="Arial" w:cs="Arial"/>
          <w:bCs/>
        </w:rPr>
        <w:t xml:space="preserve">A </w:t>
      </w:r>
      <w:r w:rsidR="00133091">
        <w:rPr>
          <w:rFonts w:ascii="Arial" w:hAnsi="Arial" w:cs="Arial"/>
          <w:bCs/>
        </w:rPr>
        <w:t>simple</w:t>
      </w:r>
      <w:r w:rsidRPr="008F247A">
        <w:rPr>
          <w:rFonts w:ascii="Arial" w:hAnsi="Arial" w:cs="Arial"/>
          <w:bCs/>
        </w:rPr>
        <w:t xml:space="preserve"> approach involves adopting the intra-CU design, wherein the configuration of transferring TCI states for DL pre-sync occurs concurrently with the LTM configuration request procedure.</w:t>
      </w:r>
    </w:p>
    <w:p w14:paraId="4DED7BB8" w14:textId="5CED4AEA" w:rsidR="001204B8" w:rsidRPr="001204B8" w:rsidRDefault="001204B8" w:rsidP="001204B8">
      <w:pPr>
        <w:pStyle w:val="Observation"/>
        <w:ind w:left="1701" w:hanging="1701"/>
      </w:pPr>
      <w:bookmarkStart w:id="4" w:name="_Toc166221905"/>
      <w:r>
        <w:t>Current Rel-18 intra-CU design for DL pre-sync can be reused for inter-CU LTM</w:t>
      </w:r>
      <w:r w:rsidRPr="00912BD6">
        <w:t>.</w:t>
      </w:r>
      <w:bookmarkEnd w:id="4"/>
    </w:p>
    <w:p w14:paraId="2C2E7AED" w14:textId="7730C851" w:rsidR="009D59BF" w:rsidRPr="00912BD6" w:rsidRDefault="009D59BF" w:rsidP="009D59BF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5" w:name="_Toc166221910"/>
      <w:r>
        <w:rPr>
          <w:rFonts w:ascii="Arial" w:hAnsi="Arial" w:cs="Arial"/>
        </w:rPr>
        <w:t xml:space="preserve">For </w:t>
      </w:r>
      <w:r w:rsidR="00FE60F4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UE, the TCI states configuration is obtained in the LTM configuration phase</w:t>
      </w:r>
      <w:r w:rsidR="00CF47DE">
        <w:rPr>
          <w:rFonts w:ascii="Arial" w:hAnsi="Arial" w:cs="Arial"/>
        </w:rPr>
        <w:t xml:space="preserve"> for DL pre-sync.</w:t>
      </w:r>
      <w:bookmarkEnd w:id="5"/>
    </w:p>
    <w:p w14:paraId="420DBF23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724D6A96" w14:textId="240492BB" w:rsidR="00FE60F4" w:rsidRDefault="00FE60F4" w:rsidP="00FE60F4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Preamble index allocation</w:t>
      </w:r>
      <w:r w:rsidRPr="00962582">
        <w:rPr>
          <w:rFonts w:ascii="Arial" w:hAnsi="Arial" w:cs="Arial"/>
          <w:bCs/>
          <w:u w:val="single"/>
        </w:rPr>
        <w:t>:</w:t>
      </w:r>
    </w:p>
    <w:p w14:paraId="1F6AB176" w14:textId="3C1ED9B1" w:rsidR="00CA69A3" w:rsidRDefault="00FE60F4" w:rsidP="00731F21">
      <w:pPr>
        <w:tabs>
          <w:tab w:val="num" w:pos="720"/>
        </w:tabs>
      </w:pPr>
      <w:r w:rsidRPr="00FE60F4">
        <w:rPr>
          <w:rFonts w:ascii="Arial" w:hAnsi="Arial" w:cs="Arial"/>
          <w:bCs/>
        </w:rPr>
        <w:t>In Release 18 intra-</w:t>
      </w:r>
      <w:r>
        <w:rPr>
          <w:rFonts w:ascii="Arial" w:hAnsi="Arial" w:cs="Arial"/>
          <w:bCs/>
        </w:rPr>
        <w:t>CU LTM,</w:t>
      </w:r>
      <w:r w:rsidRPr="00FE60F4">
        <w:rPr>
          <w:rFonts w:ascii="Arial" w:hAnsi="Arial" w:cs="Arial"/>
          <w:bCs/>
        </w:rPr>
        <w:t xml:space="preserve"> the allocation of preamble indexes takes place during the UE Context Setup and UE Context Modification procedures</w:t>
      </w:r>
      <w:r w:rsidR="00D24567">
        <w:rPr>
          <w:rFonts w:ascii="Arial" w:hAnsi="Arial" w:cs="Arial"/>
          <w:bCs/>
        </w:rPr>
        <w:t xml:space="preserve">, while the pool of preamble indexes </w:t>
      </w:r>
      <w:r w:rsidR="00DD2018">
        <w:rPr>
          <w:rFonts w:ascii="Arial" w:hAnsi="Arial" w:cs="Arial"/>
          <w:bCs/>
        </w:rPr>
        <w:t>is</w:t>
      </w:r>
      <w:r w:rsidR="00F958C7">
        <w:rPr>
          <w:rFonts w:ascii="Arial" w:hAnsi="Arial" w:cs="Arial"/>
          <w:bCs/>
        </w:rPr>
        <w:t xml:space="preserve"> actually</w:t>
      </w:r>
      <w:r w:rsidR="00D24567">
        <w:rPr>
          <w:rFonts w:ascii="Arial" w:hAnsi="Arial" w:cs="Arial"/>
          <w:bCs/>
        </w:rPr>
        <w:t xml:space="preserve"> shared by multiple UEs</w:t>
      </w:r>
      <w:r w:rsidRPr="00FE60F4">
        <w:rPr>
          <w:rFonts w:ascii="Arial" w:hAnsi="Arial" w:cs="Arial"/>
          <w:bCs/>
        </w:rPr>
        <w:t xml:space="preserve">. These indexes are provided in a list format on a per-cell basis within the Early </w:t>
      </w:r>
      <w:r>
        <w:rPr>
          <w:rFonts w:ascii="Arial" w:hAnsi="Arial" w:cs="Arial"/>
          <w:bCs/>
        </w:rPr>
        <w:t>UL</w:t>
      </w:r>
      <w:r w:rsidRPr="00FE60F4">
        <w:rPr>
          <w:rFonts w:ascii="Arial" w:hAnsi="Arial" w:cs="Arial"/>
          <w:bCs/>
        </w:rPr>
        <w:t xml:space="preserve"> Sync Configuration information.</w:t>
      </w:r>
      <w:r>
        <w:rPr>
          <w:rFonts w:ascii="Arial" w:hAnsi="Arial" w:cs="Arial"/>
          <w:bCs/>
        </w:rPr>
        <w:t xml:space="preserve"> </w:t>
      </w:r>
      <w:r w:rsidR="0080211A">
        <w:rPr>
          <w:rFonts w:ascii="Arial" w:hAnsi="Arial" w:cs="Arial"/>
          <w:bCs/>
        </w:rPr>
        <w:t>However, s</w:t>
      </w:r>
      <w:r w:rsidR="001948EF" w:rsidRPr="00EB691F">
        <w:rPr>
          <w:rFonts w:ascii="Arial" w:hAnsi="Arial" w:cs="Arial"/>
          <w:bCs/>
        </w:rPr>
        <w:t xml:space="preserve">hortly after such allocation happens across </w:t>
      </w:r>
      <w:r w:rsidR="001948EF">
        <w:rPr>
          <w:rFonts w:ascii="Arial" w:hAnsi="Arial" w:cs="Arial"/>
          <w:bCs/>
        </w:rPr>
        <w:t xml:space="preserve">the </w:t>
      </w:r>
      <w:r w:rsidR="001948EF" w:rsidRPr="00EB691F">
        <w:rPr>
          <w:rFonts w:ascii="Arial" w:hAnsi="Arial" w:cs="Arial"/>
          <w:bCs/>
        </w:rPr>
        <w:t>gNBs, the preamble index becomes depleted rapidly.</w:t>
      </w:r>
      <w:r w:rsidR="00A950EF">
        <w:rPr>
          <w:rFonts w:ascii="Arial" w:hAnsi="Arial" w:cs="Arial"/>
          <w:bCs/>
        </w:rPr>
        <w:t xml:space="preserve"> </w:t>
      </w:r>
      <w:r w:rsidR="002C5AE9">
        <w:rPr>
          <w:rFonts w:ascii="Arial" w:hAnsi="Arial" w:cs="Arial"/>
          <w:bCs/>
        </w:rPr>
        <w:t>I</w:t>
      </w:r>
      <w:r w:rsidR="00DE701F" w:rsidRPr="00DE701F">
        <w:rPr>
          <w:rFonts w:ascii="Arial" w:hAnsi="Arial" w:cs="Arial"/>
          <w:bCs/>
        </w:rPr>
        <w:t xml:space="preserve">t's preferable to have a more </w:t>
      </w:r>
      <w:r w:rsidR="00DC7E32">
        <w:rPr>
          <w:rFonts w:ascii="Arial" w:hAnsi="Arial" w:cs="Arial"/>
          <w:bCs/>
        </w:rPr>
        <w:t>feasible</w:t>
      </w:r>
      <w:r w:rsidR="00DE701F" w:rsidRPr="00DE701F">
        <w:rPr>
          <w:rFonts w:ascii="Arial" w:hAnsi="Arial" w:cs="Arial"/>
          <w:bCs/>
        </w:rPr>
        <w:t xml:space="preserve"> </w:t>
      </w:r>
      <w:r w:rsidR="00B348DB">
        <w:rPr>
          <w:rFonts w:ascii="Arial" w:hAnsi="Arial" w:cs="Arial"/>
          <w:bCs/>
        </w:rPr>
        <w:t>way</w:t>
      </w:r>
      <w:r w:rsidR="00DE701F" w:rsidRPr="00DE701F">
        <w:rPr>
          <w:rFonts w:ascii="Arial" w:hAnsi="Arial" w:cs="Arial"/>
          <w:bCs/>
        </w:rPr>
        <w:t xml:space="preserve"> for requesting a preamble index for </w:t>
      </w:r>
      <w:r w:rsidR="00C41700">
        <w:rPr>
          <w:rFonts w:ascii="Arial" w:hAnsi="Arial" w:cs="Arial"/>
          <w:bCs/>
        </w:rPr>
        <w:t xml:space="preserve">the </w:t>
      </w:r>
      <w:r w:rsidR="00DE701F" w:rsidRPr="00DE701F">
        <w:rPr>
          <w:rFonts w:ascii="Arial" w:hAnsi="Arial" w:cs="Arial"/>
          <w:bCs/>
        </w:rPr>
        <w:t>UE</w:t>
      </w:r>
      <w:r w:rsidR="00DE701F">
        <w:rPr>
          <w:rFonts w:ascii="Arial" w:hAnsi="Arial" w:cs="Arial"/>
          <w:bCs/>
        </w:rPr>
        <w:t xml:space="preserve"> to avoid scalability issue considering the preamble index limits to 64 values.</w:t>
      </w:r>
      <w:r w:rsidR="00EB691F">
        <w:rPr>
          <w:rFonts w:ascii="Arial" w:hAnsi="Arial" w:cs="Arial"/>
          <w:bCs/>
        </w:rPr>
        <w:t xml:space="preserve"> </w:t>
      </w:r>
    </w:p>
    <w:p w14:paraId="56EC65AC" w14:textId="795C94BB" w:rsidR="00A23891" w:rsidRDefault="002939DF" w:rsidP="00C35ED0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When there is a trigger in the entity in the source DU serving the UE to perform an uplink synchronisation measurement one preamble, from a pool of N</w:t>
      </w:r>
      <w:r w:rsidRPr="002939DF">
        <w:rPr>
          <w:rFonts w:ascii="Arial" w:hAnsi="Arial" w:cs="Arial"/>
          <w:bCs/>
          <w:vertAlign w:val="subscript"/>
        </w:rPr>
        <w:t>P</w:t>
      </w:r>
      <w:r>
        <w:rPr>
          <w:rFonts w:ascii="Arial" w:hAnsi="Arial" w:cs="Arial"/>
          <w:bCs/>
        </w:rPr>
        <w:t xml:space="preserve"> preambles is allocated specifically for this UE</w:t>
      </w:r>
      <w:r w:rsidR="009174BC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9174BC">
        <w:rPr>
          <w:rFonts w:ascii="Arial" w:hAnsi="Arial" w:cs="Arial"/>
          <w:bCs/>
        </w:rPr>
        <w:t>The random variable T describes the time a preamble is allocated</w:t>
      </w:r>
      <w:r>
        <w:rPr>
          <w:rFonts w:ascii="Arial" w:hAnsi="Arial" w:cs="Arial"/>
          <w:bCs/>
        </w:rPr>
        <w:t xml:space="preserve">. </w:t>
      </w:r>
      <w:r w:rsidR="005D12EA">
        <w:rPr>
          <w:rFonts w:ascii="Arial" w:hAnsi="Arial" w:cs="Arial"/>
          <w:bCs/>
        </w:rPr>
        <w:t>If there is no preamble available</w:t>
      </w:r>
      <w:r w:rsidR="006D260C">
        <w:rPr>
          <w:rFonts w:ascii="Arial" w:hAnsi="Arial" w:cs="Arial"/>
          <w:bCs/>
        </w:rPr>
        <w:t xml:space="preserve"> in the pool, </w:t>
      </w:r>
      <w:r w:rsidR="00F20680">
        <w:rPr>
          <w:rFonts w:ascii="Arial" w:hAnsi="Arial" w:cs="Arial"/>
          <w:bCs/>
        </w:rPr>
        <w:t>the DU considers this a failure.</w:t>
      </w:r>
      <w:r w:rsidR="009323C7">
        <w:rPr>
          <w:rFonts w:ascii="Arial" w:hAnsi="Arial" w:cs="Arial"/>
          <w:bCs/>
        </w:rPr>
        <w:t xml:space="preserve"> </w:t>
      </w:r>
      <w:r w:rsidR="00C60511">
        <w:rPr>
          <w:rFonts w:ascii="Arial" w:hAnsi="Arial" w:cs="Arial"/>
          <w:bCs/>
        </w:rPr>
        <w:t>Further details</w:t>
      </w:r>
      <w:r w:rsidR="001822D0">
        <w:rPr>
          <w:rFonts w:ascii="Arial" w:hAnsi="Arial" w:cs="Arial"/>
          <w:bCs/>
        </w:rPr>
        <w:t xml:space="preserve"> of the model</w:t>
      </w:r>
      <w:r w:rsidR="00C60511">
        <w:rPr>
          <w:rFonts w:ascii="Arial" w:hAnsi="Arial" w:cs="Arial"/>
          <w:bCs/>
        </w:rPr>
        <w:t xml:space="preserve"> and an example is provided in </w:t>
      </w:r>
      <w:r w:rsidR="00C60511">
        <w:rPr>
          <w:rFonts w:ascii="Arial" w:hAnsi="Arial" w:cs="Arial"/>
          <w:bCs/>
        </w:rPr>
        <w:fldChar w:fldCharType="begin"/>
      </w:r>
      <w:r w:rsidR="00C60511">
        <w:rPr>
          <w:rFonts w:ascii="Arial" w:hAnsi="Arial" w:cs="Arial"/>
          <w:bCs/>
        </w:rPr>
        <w:instrText xml:space="preserve"> REF _Ref165900938 \h </w:instrText>
      </w:r>
      <w:r w:rsidR="001822D0">
        <w:rPr>
          <w:rFonts w:ascii="Arial" w:hAnsi="Arial" w:cs="Arial"/>
          <w:bCs/>
        </w:rPr>
        <w:instrText xml:space="preserve"> \* MERGEFORMAT </w:instrText>
      </w:r>
      <w:r w:rsidR="00C60511">
        <w:rPr>
          <w:rFonts w:ascii="Arial" w:hAnsi="Arial" w:cs="Arial"/>
          <w:bCs/>
        </w:rPr>
      </w:r>
      <w:r w:rsidR="00C60511">
        <w:rPr>
          <w:rFonts w:ascii="Arial" w:hAnsi="Arial" w:cs="Arial"/>
          <w:bCs/>
        </w:rPr>
        <w:fldChar w:fldCharType="separate"/>
      </w:r>
      <w:r w:rsidR="00C60511" w:rsidRPr="001822D0">
        <w:rPr>
          <w:rFonts w:ascii="Arial" w:hAnsi="Arial" w:cs="Arial"/>
          <w:bCs/>
        </w:rPr>
        <w:t>Appendix A</w:t>
      </w:r>
      <w:r w:rsidR="00C60511">
        <w:rPr>
          <w:rFonts w:ascii="Arial" w:hAnsi="Arial" w:cs="Arial"/>
          <w:bCs/>
        </w:rPr>
        <w:fldChar w:fldCharType="end"/>
      </w:r>
      <w:r w:rsidR="00D7192F">
        <w:rPr>
          <w:rFonts w:ascii="Arial" w:hAnsi="Arial" w:cs="Arial"/>
          <w:bCs/>
        </w:rPr>
        <w:t xml:space="preserve"> where the following observation is made:</w:t>
      </w:r>
    </w:p>
    <w:p w14:paraId="47194A53" w14:textId="49FFDEDB" w:rsidR="008C6C73" w:rsidRPr="00785D52" w:rsidRDefault="00D7192F" w:rsidP="00731F21">
      <w:pPr>
        <w:pStyle w:val="Observation"/>
        <w:ind w:left="1701" w:hanging="1701"/>
      </w:pPr>
      <w:bookmarkStart w:id="6" w:name="_Toc166221906"/>
      <w:r>
        <w:t>The number of preambles needed for uplink synchronization scales poorly with the number of preamble pools.</w:t>
      </w:r>
      <w:bookmarkEnd w:id="6"/>
    </w:p>
    <w:p w14:paraId="7954BF1C" w14:textId="1E350F99" w:rsid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  <w:r w:rsidRPr="00C35ED0">
        <w:rPr>
          <w:rFonts w:ascii="Arial" w:hAnsi="Arial" w:cs="Arial"/>
          <w:bCs/>
        </w:rPr>
        <w:t xml:space="preserve">Therefore, triggering preamble index allocation based on </w:t>
      </w:r>
      <w:r w:rsidR="003D0CB4">
        <w:rPr>
          <w:rFonts w:ascii="Arial" w:hAnsi="Arial" w:cs="Arial"/>
          <w:bCs/>
        </w:rPr>
        <w:t xml:space="preserve">a </w:t>
      </w:r>
      <w:r w:rsidRPr="00C35ED0">
        <w:rPr>
          <w:rFonts w:ascii="Arial" w:hAnsi="Arial" w:cs="Arial"/>
          <w:bCs/>
        </w:rPr>
        <w:t xml:space="preserve">request </w:t>
      </w:r>
      <w:r w:rsidR="003D0CB4">
        <w:rPr>
          <w:rFonts w:ascii="Arial" w:hAnsi="Arial" w:cs="Arial"/>
          <w:bCs/>
        </w:rPr>
        <w:t xml:space="preserve">per UE </w:t>
      </w:r>
      <w:r w:rsidR="00223E75">
        <w:rPr>
          <w:rFonts w:ascii="Arial" w:hAnsi="Arial" w:cs="Arial"/>
          <w:bCs/>
        </w:rPr>
        <w:t xml:space="preserve">is </w:t>
      </w:r>
      <w:r w:rsidR="00814457">
        <w:rPr>
          <w:rFonts w:ascii="Arial" w:hAnsi="Arial" w:cs="Arial"/>
          <w:bCs/>
        </w:rPr>
        <w:t>necessary</w:t>
      </w:r>
      <w:r w:rsidRPr="00C35ED0">
        <w:rPr>
          <w:rFonts w:ascii="Arial" w:hAnsi="Arial" w:cs="Arial"/>
          <w:bCs/>
        </w:rPr>
        <w:t>.</w:t>
      </w:r>
    </w:p>
    <w:p w14:paraId="1FB7E592" w14:textId="15DE8D10" w:rsidR="001204B8" w:rsidRPr="001204B8" w:rsidRDefault="001204B8" w:rsidP="001204B8">
      <w:pPr>
        <w:pStyle w:val="Observation"/>
        <w:ind w:left="1701" w:hanging="1701"/>
      </w:pPr>
      <w:bookmarkStart w:id="7" w:name="_Toc166221907"/>
      <w:r w:rsidRPr="001204B8">
        <w:t xml:space="preserve">The </w:t>
      </w:r>
      <w:r w:rsidR="00B520D6">
        <w:t>existing</w:t>
      </w:r>
      <w:r w:rsidRPr="001204B8">
        <w:t xml:space="preserve"> design of preamble index allocation in Release 18 </w:t>
      </w:r>
      <w:r>
        <w:t>for intra-CU</w:t>
      </w:r>
      <w:r w:rsidRPr="001204B8">
        <w:t xml:space="preserve"> </w:t>
      </w:r>
      <w:r>
        <w:t>case would</w:t>
      </w:r>
      <w:r w:rsidRPr="001204B8">
        <w:t xml:space="preserve"> lead to scalability issues</w:t>
      </w:r>
      <w:r w:rsidR="00166DA0">
        <w:t>.</w:t>
      </w:r>
      <w:bookmarkEnd w:id="7"/>
    </w:p>
    <w:p w14:paraId="73DA55D3" w14:textId="1EDDCAD6" w:rsidR="00C35ED0" w:rsidRPr="00912BD6" w:rsidRDefault="00C35ED0" w:rsidP="00C35ED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8" w:name="_Toc166221911"/>
      <w:r>
        <w:rPr>
          <w:rFonts w:ascii="Arial" w:hAnsi="Arial" w:cs="Arial"/>
        </w:rPr>
        <w:t xml:space="preserve">Preamble index </w:t>
      </w:r>
      <w:r w:rsidR="007F702F">
        <w:rPr>
          <w:rFonts w:ascii="Arial" w:hAnsi="Arial" w:cs="Arial"/>
        </w:rPr>
        <w:t>needs to be</w:t>
      </w:r>
      <w:r>
        <w:rPr>
          <w:rFonts w:ascii="Arial" w:hAnsi="Arial" w:cs="Arial"/>
        </w:rPr>
        <w:t xml:space="preserve"> allocated upon </w:t>
      </w:r>
      <w:r w:rsidR="00DB2AA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request </w:t>
      </w:r>
      <w:r w:rsidR="00DB2AA4">
        <w:rPr>
          <w:rFonts w:ascii="Arial" w:hAnsi="Arial" w:cs="Arial"/>
        </w:rPr>
        <w:t xml:space="preserve">from the source node as per UE basis </w:t>
      </w:r>
      <w:r>
        <w:rPr>
          <w:rFonts w:ascii="Arial" w:hAnsi="Arial" w:cs="Arial"/>
        </w:rPr>
        <w:t>in</w:t>
      </w:r>
      <w:r w:rsidR="00701AC2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new signaling</w:t>
      </w:r>
      <w:r w:rsidR="003B17B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  <w:bookmarkEnd w:id="8"/>
    </w:p>
    <w:p w14:paraId="43348CC2" w14:textId="77777777" w:rsidR="00C35ED0" w:rsidRP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</w:p>
    <w:p w14:paraId="3B792E2B" w14:textId="138F8F06" w:rsidR="00C35ED0" w:rsidRDefault="00C35ED0" w:rsidP="00C35ED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 information transfer</w:t>
      </w:r>
      <w:r w:rsidRPr="00962582">
        <w:rPr>
          <w:rFonts w:ascii="Arial" w:hAnsi="Arial" w:cs="Arial"/>
          <w:bCs/>
          <w:u w:val="single"/>
        </w:rPr>
        <w:t>:</w:t>
      </w:r>
    </w:p>
    <w:p w14:paraId="1E0E6C25" w14:textId="6B654FB7" w:rsidR="00576192" w:rsidRPr="00576192" w:rsidRDefault="00431C35" w:rsidP="00576192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  <w:r w:rsidRPr="00431C35">
        <w:rPr>
          <w:rFonts w:ascii="Arial" w:hAnsi="Arial" w:cs="Arial"/>
          <w:bCs/>
        </w:rPr>
        <w:t xml:space="preserve">F1AP introduces two new procedures for transferring a list of Timing Advance (TA) values along with the allocated preamble index. </w:t>
      </w:r>
      <w:r w:rsidR="008619B7">
        <w:rPr>
          <w:rFonts w:ascii="Arial" w:hAnsi="Arial" w:cs="Arial"/>
          <w:bCs/>
        </w:rPr>
        <w:t xml:space="preserve"> However, TA value is time critical for the early UL sync when required. Thus, a</w:t>
      </w:r>
      <w:r w:rsidR="00DC74D1">
        <w:rPr>
          <w:rFonts w:ascii="Arial" w:hAnsi="Arial" w:cs="Arial"/>
          <w:bCs/>
        </w:rPr>
        <w:t xml:space="preserve"> </w:t>
      </w:r>
      <w:r w:rsidR="008619B7">
        <w:rPr>
          <w:rFonts w:ascii="Arial" w:hAnsi="Arial" w:cs="Arial"/>
          <w:bCs/>
        </w:rPr>
        <w:t>UE based signaling should be considered when the value is transferred over Xn.</w:t>
      </w:r>
    </w:p>
    <w:p w14:paraId="239006C3" w14:textId="2A579931" w:rsidR="00431C35" w:rsidRDefault="00431C35" w:rsidP="00431C35">
      <w:pPr>
        <w:tabs>
          <w:tab w:val="num" w:pos="720"/>
        </w:tabs>
        <w:rPr>
          <w:rFonts w:ascii="Arial" w:hAnsi="Arial" w:cs="Arial"/>
          <w:bCs/>
        </w:rPr>
      </w:pPr>
    </w:p>
    <w:p w14:paraId="67601A17" w14:textId="3A3DC5F8" w:rsidR="00431C35" w:rsidRPr="00431C35" w:rsidRDefault="00431C35" w:rsidP="00431C35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9" w:name="_Toc166221912"/>
      <w:r>
        <w:rPr>
          <w:rFonts w:ascii="Arial" w:hAnsi="Arial" w:cs="Arial"/>
        </w:rPr>
        <w:t>T</w:t>
      </w:r>
      <w:r w:rsidRPr="00431C35">
        <w:rPr>
          <w:rFonts w:ascii="Arial" w:hAnsi="Arial" w:cs="Arial"/>
        </w:rPr>
        <w:t xml:space="preserve">he </w:t>
      </w:r>
      <w:r w:rsidR="003211AF">
        <w:rPr>
          <w:rFonts w:ascii="Arial" w:hAnsi="Arial" w:cs="Arial"/>
        </w:rPr>
        <w:t>TA</w:t>
      </w:r>
      <w:r w:rsidRPr="00431C35">
        <w:rPr>
          <w:rFonts w:ascii="Arial" w:hAnsi="Arial" w:cs="Arial"/>
        </w:rPr>
        <w:t xml:space="preserve"> values </w:t>
      </w:r>
      <w:r w:rsidR="008619B7">
        <w:rPr>
          <w:rFonts w:ascii="Arial" w:hAnsi="Arial" w:cs="Arial"/>
        </w:rPr>
        <w:t xml:space="preserve">should be </w:t>
      </w:r>
      <w:r w:rsidR="008F4245">
        <w:rPr>
          <w:rFonts w:ascii="Arial" w:hAnsi="Arial" w:cs="Arial"/>
        </w:rPr>
        <w:t>transferred</w:t>
      </w:r>
      <w:r w:rsidR="00245DC4">
        <w:rPr>
          <w:rFonts w:ascii="Arial" w:hAnsi="Arial" w:cs="Arial"/>
        </w:rPr>
        <w:t xml:space="preserve"> in the UE associated signaling</w:t>
      </w:r>
      <w:r w:rsidRPr="00431C35">
        <w:rPr>
          <w:rFonts w:ascii="Arial" w:hAnsi="Arial" w:cs="Arial"/>
        </w:rPr>
        <w:t xml:space="preserve"> for the design of Xn interface.</w:t>
      </w:r>
      <w:bookmarkEnd w:id="9"/>
    </w:p>
    <w:p w14:paraId="3AD2597B" w14:textId="79C92958" w:rsidR="00A36257" w:rsidRPr="00912BD6" w:rsidRDefault="00A36257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7CA53841" w14:textId="61E7453E" w:rsidR="00602B6D" w:rsidRPr="00912BD6" w:rsidRDefault="00227E0F" w:rsidP="00C92C7D">
      <w:pPr>
        <w:pStyle w:val="Heading2"/>
      </w:pPr>
      <w:r w:rsidRPr="00912BD6">
        <w:t>2.3</w:t>
      </w:r>
      <w:r w:rsidRPr="00912BD6">
        <w:tab/>
      </w:r>
      <w:r w:rsidR="008F55FD" w:rsidRPr="00912BD6">
        <w:t>LTM Execution</w:t>
      </w:r>
    </w:p>
    <w:p w14:paraId="5380D8F4" w14:textId="3CFDC829" w:rsidR="009858A9" w:rsidRPr="00D21AB1" w:rsidRDefault="00D6756A" w:rsidP="00D21AB1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Rel-18, t</w:t>
      </w:r>
      <w:r w:rsidR="00E652D7" w:rsidRPr="00E652D7">
        <w:rPr>
          <w:rFonts w:ascii="Arial" w:hAnsi="Arial" w:cs="Arial"/>
          <w:bCs/>
        </w:rPr>
        <w:t xml:space="preserve">he DU-CU/CU-DU Cell Switch Notification procedures are initiated as UE-associated signaling when a </w:t>
      </w:r>
      <w:r w:rsidR="00E652D7">
        <w:rPr>
          <w:rFonts w:ascii="Arial" w:hAnsi="Arial" w:cs="Arial"/>
          <w:bCs/>
        </w:rPr>
        <w:t>LTM</w:t>
      </w:r>
      <w:r w:rsidR="00E652D7" w:rsidRPr="00E652D7">
        <w:rPr>
          <w:rFonts w:ascii="Arial" w:hAnsi="Arial" w:cs="Arial"/>
          <w:bCs/>
        </w:rPr>
        <w:t xml:space="preserve"> cell change is triggered from the source cell to the UE. This same principle applies to inter-CU LTM scenarios.</w:t>
      </w:r>
    </w:p>
    <w:p w14:paraId="69D64AD9" w14:textId="754AFC68" w:rsidR="00E652D7" w:rsidRDefault="00444CD6" w:rsidP="00BE293D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0" w:name="_Toc166221913"/>
      <w:r>
        <w:rPr>
          <w:rFonts w:ascii="Arial" w:hAnsi="Arial" w:cs="Arial"/>
        </w:rPr>
        <w:t>The new</w:t>
      </w:r>
      <w:r w:rsidR="009858A9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>, i.e</w:t>
      </w:r>
      <w:r w:rsidR="00403B2D">
        <w:rPr>
          <w:rFonts w:ascii="Arial" w:hAnsi="Arial" w:cs="Arial"/>
        </w:rPr>
        <w:t xml:space="preserve">., </w:t>
      </w:r>
      <w:r w:rsidR="00E652D7" w:rsidRPr="00E652D7">
        <w:rPr>
          <w:rFonts w:ascii="Arial" w:hAnsi="Arial" w:cs="Arial"/>
        </w:rPr>
        <w:t>Cell Switch Notification</w:t>
      </w:r>
      <w:r w:rsidR="00A72632">
        <w:rPr>
          <w:rFonts w:ascii="Arial" w:hAnsi="Arial" w:cs="Arial"/>
        </w:rPr>
        <w:t>,</w:t>
      </w:r>
      <w:r w:rsidR="00E652D7" w:rsidRPr="00E652D7">
        <w:rPr>
          <w:rFonts w:ascii="Arial" w:hAnsi="Arial" w:cs="Arial"/>
        </w:rPr>
        <w:t xml:space="preserve"> </w:t>
      </w:r>
      <w:r w:rsidR="00403B2D" w:rsidRPr="00403B2D">
        <w:rPr>
          <w:rFonts w:ascii="Arial" w:hAnsi="Arial" w:cs="Arial"/>
        </w:rPr>
        <w:t>for each UE over the Xn interface, following the same structure as intra-CU LTM</w:t>
      </w:r>
      <w:r w:rsidR="00403B2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Detail</w:t>
      </w:r>
      <w:r w:rsidR="00EA52B4">
        <w:rPr>
          <w:rFonts w:ascii="Arial" w:hAnsi="Arial" w:cs="Arial"/>
        </w:rPr>
        <w:t xml:space="preserve">s </w:t>
      </w:r>
      <w:r w:rsidR="00D21AB1">
        <w:rPr>
          <w:rFonts w:ascii="Arial" w:hAnsi="Arial" w:cs="Arial"/>
        </w:rPr>
        <w:t xml:space="preserve">need further </w:t>
      </w:r>
      <w:r w:rsidR="009400A3">
        <w:rPr>
          <w:rFonts w:ascii="Arial" w:hAnsi="Arial" w:cs="Arial"/>
        </w:rPr>
        <w:t>discussion</w:t>
      </w:r>
      <w:r w:rsidR="00D21AB1">
        <w:rPr>
          <w:rFonts w:ascii="Arial" w:hAnsi="Arial" w:cs="Arial"/>
        </w:rPr>
        <w:t>.</w:t>
      </w:r>
      <w:bookmarkEnd w:id="10"/>
    </w:p>
    <w:p w14:paraId="608CC146" w14:textId="77777777" w:rsidR="00BE293D" w:rsidRPr="00912BD6" w:rsidRDefault="00BE293D" w:rsidP="00BE293D">
      <w:pPr>
        <w:pStyle w:val="Heading1"/>
      </w:pPr>
      <w:r w:rsidRPr="00912BD6">
        <w:t>3</w:t>
      </w:r>
      <w:r w:rsidRPr="00912BD6">
        <w:tab/>
        <w:t>Conclusion</w:t>
      </w:r>
    </w:p>
    <w:p w14:paraId="556E48E9" w14:textId="77777777" w:rsidR="009161CC" w:rsidRPr="00912BD6" w:rsidRDefault="009161CC" w:rsidP="009161CC">
      <w:pPr>
        <w:rPr>
          <w:rFonts w:ascii="Arial" w:hAnsi="Arial" w:cs="Arial"/>
          <w:bCs/>
        </w:rPr>
      </w:pPr>
      <w:r w:rsidRPr="00912BD6">
        <w:rPr>
          <w:rFonts w:ascii="Arial" w:hAnsi="Arial" w:cs="Arial"/>
          <w:bCs/>
        </w:rPr>
        <w:t xml:space="preserve">In the previous sections we made the following observation: </w:t>
      </w:r>
    </w:p>
    <w:p w14:paraId="3E49EB83" w14:textId="77777777" w:rsidR="008147BB" w:rsidRDefault="009161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\f O \n \h \z \t "Observation" \c </w:instrText>
      </w:r>
      <w:r w:rsidRPr="00912BD6">
        <w:rPr>
          <w:b w:val="0"/>
          <w:bCs/>
        </w:rPr>
        <w:fldChar w:fldCharType="separate"/>
      </w:r>
      <w:hyperlink w:anchor="_Toc166221903" w:history="1">
        <w:r w:rsidR="008147BB" w:rsidRPr="00A505C6">
          <w:rPr>
            <w:rStyle w:val="Hyperlink"/>
            <w:noProof/>
          </w:rPr>
          <w:t>Observation 1</w:t>
        </w:r>
        <w:r w:rsidR="008147B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147BB" w:rsidRPr="00A505C6">
          <w:rPr>
            <w:rStyle w:val="Hyperlink"/>
            <w:noProof/>
          </w:rPr>
          <w:t>The granularity of network signaling during the inter-CU LTM configuration phase needs to be evaluated.</w:t>
        </w:r>
      </w:hyperlink>
    </w:p>
    <w:p w14:paraId="34DCCD8B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04" w:history="1">
        <w:r w:rsidRPr="00A505C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505C6">
          <w:rPr>
            <w:rStyle w:val="Hyperlink"/>
            <w:noProof/>
          </w:rPr>
          <w:t>Current Rel-18 intra-CU design for configuration of UL pre-sync can be reused for inter-CU LTM.</w:t>
        </w:r>
      </w:hyperlink>
    </w:p>
    <w:p w14:paraId="15C615E1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05" w:history="1">
        <w:r w:rsidRPr="00A505C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505C6">
          <w:rPr>
            <w:rStyle w:val="Hyperlink"/>
            <w:noProof/>
          </w:rPr>
          <w:t>Current Rel-18 intra-CU design for DL pre-sync can be reused for inter-CU LTM.</w:t>
        </w:r>
      </w:hyperlink>
    </w:p>
    <w:p w14:paraId="6B421E0B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06" w:history="1">
        <w:r w:rsidRPr="00A505C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505C6">
          <w:rPr>
            <w:rStyle w:val="Hyperlink"/>
            <w:noProof/>
          </w:rPr>
          <w:t>The number of preambles needed for uplink synchronization scales poorly with the number of preamble pools.</w:t>
        </w:r>
      </w:hyperlink>
    </w:p>
    <w:p w14:paraId="62878CDF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07" w:history="1">
        <w:r w:rsidRPr="00A505C6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505C6">
          <w:rPr>
            <w:rStyle w:val="Hyperlink"/>
            <w:noProof/>
          </w:rPr>
          <w:t>The existing design of preamble index allocation in Release 18 for intra-CU case would lead to scalability issues.</w:t>
        </w:r>
      </w:hyperlink>
    </w:p>
    <w:p w14:paraId="62420A6F" w14:textId="0534310A" w:rsidR="009161CC" w:rsidRPr="00912BD6" w:rsidRDefault="009161CC" w:rsidP="009161CC">
      <w:pPr>
        <w:rPr>
          <w:b/>
          <w:bCs/>
        </w:rPr>
      </w:pPr>
      <w:r w:rsidRPr="00912BD6">
        <w:rPr>
          <w:b/>
          <w:bCs/>
        </w:rPr>
        <w:fldChar w:fldCharType="end"/>
      </w:r>
    </w:p>
    <w:p w14:paraId="11C2535B" w14:textId="2AF04BF2" w:rsidR="002D66CC" w:rsidRPr="003D0695" w:rsidRDefault="00BE293D" w:rsidP="003D0695">
      <w:pPr>
        <w:rPr>
          <w:rFonts w:ascii="Arial" w:hAnsi="Arial" w:cs="Arial"/>
          <w:b/>
          <w:bCs/>
        </w:rPr>
      </w:pPr>
      <w:r w:rsidRPr="00912BD6">
        <w:rPr>
          <w:rFonts w:ascii="Arial" w:hAnsi="Arial" w:cs="Arial"/>
          <w:bCs/>
        </w:rPr>
        <w:t>In this paper we propose:</w:t>
      </w:r>
    </w:p>
    <w:p w14:paraId="09928EEF" w14:textId="77777777" w:rsidR="008147BB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6221908" w:history="1">
        <w:r w:rsidR="008147BB" w:rsidRPr="00500863">
          <w:rPr>
            <w:rStyle w:val="Hyperlink"/>
            <w:rFonts w:cs="Arial"/>
            <w:noProof/>
          </w:rPr>
          <w:t>Proposal 1:</w:t>
        </w:r>
        <w:r w:rsidR="008147B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147BB" w:rsidRPr="00500863">
          <w:rPr>
            <w:rStyle w:val="Hyperlink"/>
            <w:rFonts w:cs="Arial"/>
            <w:noProof/>
          </w:rPr>
          <w:t>Agree to use a procedure that handles multiple candidate cells for inter-CU LTM configuration.</w:t>
        </w:r>
      </w:hyperlink>
    </w:p>
    <w:p w14:paraId="56820BB0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09" w:history="1">
        <w:r w:rsidRPr="00500863">
          <w:rPr>
            <w:rStyle w:val="Hyperlink"/>
            <w:rFonts w:cs="Arial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00863">
          <w:rPr>
            <w:rStyle w:val="Hyperlink"/>
            <w:rFonts w:cs="Arial"/>
            <w:noProof/>
          </w:rPr>
          <w:t>RACH configuration is obtained during the LTM configuration phase, for example, within the existing handover procedure, to support UL pre-sync.</w:t>
        </w:r>
      </w:hyperlink>
    </w:p>
    <w:p w14:paraId="5607525D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10" w:history="1">
        <w:r w:rsidRPr="00500863">
          <w:rPr>
            <w:rStyle w:val="Hyperlink"/>
            <w:rFonts w:cs="Arial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00863">
          <w:rPr>
            <w:rStyle w:val="Hyperlink"/>
            <w:rFonts w:cs="Arial"/>
            <w:noProof/>
          </w:rPr>
          <w:t>For specific UE, the TCI states configuration is obtained in the LTM configuration phase for DL pre-sync.</w:t>
        </w:r>
      </w:hyperlink>
    </w:p>
    <w:p w14:paraId="71EF9FD6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11" w:history="1">
        <w:r w:rsidRPr="00500863">
          <w:rPr>
            <w:rStyle w:val="Hyperlink"/>
            <w:rFonts w:cs="Arial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00863">
          <w:rPr>
            <w:rStyle w:val="Hyperlink"/>
            <w:rFonts w:cs="Arial"/>
            <w:noProof/>
          </w:rPr>
          <w:t>Preamble index needs to be allocated upon a request from the source node as per UE basis in the new signalings.</w:t>
        </w:r>
      </w:hyperlink>
    </w:p>
    <w:p w14:paraId="10D3BDB8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12" w:history="1">
        <w:r w:rsidRPr="00500863">
          <w:rPr>
            <w:rStyle w:val="Hyperlink"/>
            <w:rFonts w:cs="Arial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00863">
          <w:rPr>
            <w:rStyle w:val="Hyperlink"/>
            <w:rFonts w:cs="Arial"/>
            <w:noProof/>
          </w:rPr>
          <w:t>The TA values should be transferred in the UE associated signaling for the design of Xn interface.</w:t>
        </w:r>
      </w:hyperlink>
    </w:p>
    <w:p w14:paraId="262201C1" w14:textId="77777777" w:rsidR="008147BB" w:rsidRDefault="008147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66221913" w:history="1">
        <w:r w:rsidRPr="00500863">
          <w:rPr>
            <w:rStyle w:val="Hyperlink"/>
            <w:rFonts w:cs="Arial"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00863">
          <w:rPr>
            <w:rStyle w:val="Hyperlink"/>
            <w:rFonts w:cs="Arial"/>
            <w:noProof/>
          </w:rPr>
          <w:t>The new procedure, i.e., Cell Switch Notification, for each UE over the Xn interface, following the same structure as intra-CU LTM. Details need further discussion.</w:t>
        </w:r>
      </w:hyperlink>
    </w:p>
    <w:p w14:paraId="2D909922" w14:textId="01AA0EA7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11" w:name="_In-sequence_SDU_delivery"/>
      <w:bookmarkEnd w:id="11"/>
    </w:p>
    <w:p w14:paraId="1F4F8120" w14:textId="77777777" w:rsidR="00BE293D" w:rsidRPr="00912BD6" w:rsidRDefault="00BE293D" w:rsidP="00BE293D">
      <w:pPr>
        <w:pStyle w:val="Heading1"/>
      </w:pPr>
      <w:r w:rsidRPr="00912BD6">
        <w:t>4</w:t>
      </w:r>
      <w:r w:rsidRPr="00912BD6">
        <w:tab/>
        <w:t>References</w:t>
      </w:r>
    </w:p>
    <w:p w14:paraId="576054EB" w14:textId="1100DD7E" w:rsidR="00670FF3" w:rsidRDefault="00670FF3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912BD6">
        <w:rPr>
          <w:rFonts w:ascii="Arial" w:hAnsi="Arial" w:cs="Arial"/>
          <w:sz w:val="20"/>
        </w:rPr>
        <w:t xml:space="preserve">[1] </w:t>
      </w:r>
      <w:r w:rsidR="00712AC0" w:rsidRPr="00912BD6">
        <w:rPr>
          <w:rFonts w:ascii="Arial" w:hAnsi="Arial" w:cs="Arial"/>
          <w:sz w:val="20"/>
        </w:rPr>
        <w:t>RP-240299</w:t>
      </w:r>
      <w:r w:rsidRPr="00912BD6">
        <w:rPr>
          <w:rFonts w:ascii="Arial" w:hAnsi="Arial" w:cs="Arial"/>
          <w:sz w:val="20"/>
        </w:rPr>
        <w:t>,</w:t>
      </w:r>
      <w:r w:rsidR="00B03F17" w:rsidRPr="00912BD6">
        <w:rPr>
          <w:rFonts w:ascii="Arial" w:hAnsi="Arial" w:cs="Arial"/>
          <w:sz w:val="20"/>
        </w:rPr>
        <w:t xml:space="preserve"> R19 Mobility WID</w:t>
      </w:r>
    </w:p>
    <w:p w14:paraId="233FB5C7" w14:textId="3183C939" w:rsidR="006E75D0" w:rsidRDefault="006E75D0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C002F5">
        <w:rPr>
          <w:rFonts w:ascii="Arial" w:hAnsi="Arial" w:cs="Arial"/>
          <w:sz w:val="20"/>
        </w:rPr>
        <w:t>[2] R3-24</w:t>
      </w:r>
      <w:r w:rsidR="00D21AB1">
        <w:rPr>
          <w:rFonts w:ascii="Arial" w:hAnsi="Arial" w:cs="Arial"/>
          <w:sz w:val="20"/>
        </w:rPr>
        <w:t>3456</w:t>
      </w:r>
      <w:r w:rsidRPr="00C002F5">
        <w:rPr>
          <w:rFonts w:ascii="Arial" w:hAnsi="Arial" w:cs="Arial"/>
          <w:sz w:val="20"/>
        </w:rPr>
        <w:t xml:space="preserve">, </w:t>
      </w:r>
      <w:r w:rsidR="00C002F5" w:rsidRPr="00C002F5">
        <w:rPr>
          <w:rFonts w:ascii="Arial" w:hAnsi="Arial" w:cs="Arial"/>
          <w:sz w:val="20"/>
        </w:rPr>
        <w:t>Details of XnAP signaling design</w:t>
      </w:r>
      <w:r w:rsidRPr="00C002F5">
        <w:rPr>
          <w:rFonts w:ascii="Arial" w:hAnsi="Arial" w:cs="Arial"/>
          <w:sz w:val="20"/>
        </w:rPr>
        <w:t>, Ericsson</w:t>
      </w:r>
    </w:p>
    <w:p w14:paraId="583036CB" w14:textId="7AFD6E22" w:rsidR="009C68F2" w:rsidRDefault="009C68F2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[3] TS</w:t>
      </w:r>
      <w:r w:rsidR="00731F2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38.401</w:t>
      </w:r>
      <w:r w:rsidR="00D21AB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v18.1.0 </w:t>
      </w:r>
      <w:r w:rsidR="002908AC">
        <w:rPr>
          <w:rFonts w:ascii="Arial" w:hAnsi="Arial" w:cs="Arial"/>
          <w:sz w:val="20"/>
        </w:rPr>
        <w:t>NG-RAN Architecture description</w:t>
      </w:r>
    </w:p>
    <w:p w14:paraId="3C5CF115" w14:textId="5C26930A" w:rsidR="00F76C1E" w:rsidRPr="00912BD6" w:rsidRDefault="00313D2E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[4] Sheldon. M. Ross; Introduction to probability models sixth edition</w:t>
      </w:r>
      <w:r w:rsidR="00BB1077">
        <w:rPr>
          <w:rFonts w:ascii="Arial" w:hAnsi="Arial" w:cs="Arial"/>
          <w:sz w:val="20"/>
        </w:rPr>
        <w:t xml:space="preserve"> p.456-458</w:t>
      </w:r>
    </w:p>
    <w:p w14:paraId="105C5E35" w14:textId="77777777" w:rsidR="00BE293D" w:rsidRPr="00912BD6" w:rsidRDefault="00BE293D" w:rsidP="00BE293D">
      <w:pPr>
        <w:pStyle w:val="Reference"/>
        <w:tabs>
          <w:tab w:val="clear" w:pos="567"/>
        </w:tabs>
        <w:overflowPunct/>
        <w:autoSpaceDE/>
        <w:autoSpaceDN/>
        <w:adjustRightInd/>
        <w:spacing w:after="0"/>
        <w:textAlignment w:val="auto"/>
      </w:pPr>
    </w:p>
    <w:p w14:paraId="250700FB" w14:textId="3786F74B" w:rsidR="004A6D4A" w:rsidRDefault="00255DFE" w:rsidP="00255DFE">
      <w:pPr>
        <w:pStyle w:val="Heading1"/>
      </w:pPr>
      <w:bookmarkStart w:id="12" w:name="_Ref165900938"/>
      <w:r w:rsidRPr="00255DFE">
        <w:t>Appendix A</w:t>
      </w:r>
      <w:bookmarkEnd w:id="12"/>
    </w:p>
    <w:p w14:paraId="54BDE386" w14:textId="4544D40B" w:rsidR="00255DFE" w:rsidRDefault="00045158" w:rsidP="00255DFE">
      <w:r>
        <w:t>The model is</w:t>
      </w:r>
      <w:r w:rsidR="00E47624">
        <w:t xml:space="preserve"> a </w:t>
      </w:r>
      <w:r w:rsidR="00BD333C">
        <w:t>M/</w:t>
      </w:r>
      <w:r w:rsidR="003F08DC">
        <w:t>G</w:t>
      </w:r>
      <w:r w:rsidR="00BD333C">
        <w:t xml:space="preserve">/k loss system where customers arrive </w:t>
      </w:r>
      <w:r w:rsidR="00EE2E82">
        <w:t xml:space="preserve">to a system consisting of k identical servers </w:t>
      </w:r>
      <w:r w:rsidR="00BD333C">
        <w:t xml:space="preserve">according to a Poisson process </w:t>
      </w:r>
      <w:r w:rsidR="0087133E">
        <w:t>with a rate λ.</w:t>
      </w:r>
      <w:r w:rsidR="00927E76">
        <w:t xml:space="preserve"> If at least one server is available the customer enters the system, otherwise the customer is lost to the system. The</w:t>
      </w:r>
      <w:r w:rsidR="006B00E4">
        <w:t xml:space="preserve"> service time in a server follows some distribution G. This </w:t>
      </w:r>
      <w:r w:rsidR="00491855">
        <w:t>model is known as Erlang’s loss formula</w:t>
      </w:r>
      <w:r w:rsidR="00313D2E">
        <w:t xml:space="preserve"> [4]</w:t>
      </w:r>
      <w:r w:rsidR="00491855">
        <w:t>.</w:t>
      </w:r>
    </w:p>
    <w:p w14:paraId="4E1D0966" w14:textId="6FF32E21" w:rsidR="00096CBD" w:rsidRDefault="007A312F" w:rsidP="00255DFE">
      <w:r>
        <w:t>The purpose here is to make some estimates comparing the difference when using one large common pool of preambles in the candidate cell compared to allocating a set of preambles per DU.</w:t>
      </w:r>
      <w:r w:rsidR="00104500">
        <w:t xml:space="preserve"> In the former case the preambles are retrieved one by one using UE associated signalling over Xn and in the latter case the </w:t>
      </w:r>
      <w:r w:rsidR="00096CBD">
        <w:t xml:space="preserve">preamble is retrieved internally the DU. </w:t>
      </w:r>
      <w:r w:rsidR="005437A8">
        <w:t xml:space="preserve">The metric used for capacity is the number of UEs which can be served </w:t>
      </w:r>
      <w:r w:rsidR="00C925F8">
        <w:t xml:space="preserve">while the probability that </w:t>
      </w:r>
      <w:r w:rsidR="009B33DC">
        <w:t xml:space="preserve">all preambles are in use (corresponding to no available server) </w:t>
      </w:r>
      <w:r w:rsidR="00905E1C">
        <w:t>is smaller than some requirement.</w:t>
      </w:r>
    </w:p>
    <w:p w14:paraId="0206BB35" w14:textId="0DCEC2A6" w:rsidR="00096CBD" w:rsidRDefault="00096CBD" w:rsidP="00255DFE">
      <w:r>
        <w:t>Model:</w:t>
      </w:r>
    </w:p>
    <w:p w14:paraId="1F6CC6B1" w14:textId="327DFC17" w:rsidR="00241E85" w:rsidRPr="002B235D" w:rsidRDefault="00096CBD" w:rsidP="006455D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2B235D">
        <w:rPr>
          <w:rFonts w:ascii="Times New Roman" w:hAnsi="Times New Roman"/>
          <w:sz w:val="20"/>
          <w:szCs w:val="20"/>
        </w:rPr>
        <w:t>Service time T</w:t>
      </w:r>
      <w:r w:rsidR="00241E85" w:rsidRPr="002B235D">
        <w:rPr>
          <w:rFonts w:ascii="Times New Roman" w:hAnsi="Times New Roman"/>
          <w:sz w:val="20"/>
          <w:szCs w:val="20"/>
        </w:rPr>
        <w:t>: Random variable with distribution G describing the time a preamble is allocated</w:t>
      </w:r>
      <w:r w:rsidRPr="002B235D">
        <w:rPr>
          <w:rFonts w:ascii="Times New Roman" w:hAnsi="Times New Roman"/>
          <w:sz w:val="20"/>
          <w:szCs w:val="20"/>
        </w:rPr>
        <w:t>:</w:t>
      </w:r>
    </w:p>
    <w:p w14:paraId="51FDEFB0" w14:textId="77777777" w:rsidR="006455DA" w:rsidRPr="002B235D" w:rsidRDefault="00241E85" w:rsidP="00255DF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2B235D">
        <w:rPr>
          <w:rFonts w:ascii="Times New Roman" w:hAnsi="Times New Roman"/>
          <w:sz w:val="20"/>
          <w:szCs w:val="20"/>
        </w:rPr>
        <w:t xml:space="preserve">Mean service time </w:t>
      </w:r>
      <w:r w:rsidR="00096CBD" w:rsidRPr="002B235D">
        <w:rPr>
          <w:rFonts w:ascii="Times New Roman" w:hAnsi="Times New Roman"/>
          <w:sz w:val="20"/>
          <w:szCs w:val="20"/>
        </w:rPr>
        <w:t>E[T] = 0.02s</w:t>
      </w:r>
    </w:p>
    <w:p w14:paraId="5E1F6456" w14:textId="13662DF6" w:rsidR="00096CBD" w:rsidRPr="002B235D" w:rsidRDefault="00836037" w:rsidP="00255DF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2B235D">
        <w:rPr>
          <w:rFonts w:ascii="Times New Roman" w:hAnsi="Times New Roman"/>
          <w:sz w:val="20"/>
          <w:szCs w:val="20"/>
        </w:rPr>
        <w:t xml:space="preserve">Five different requirements </w:t>
      </w:r>
      <w:r w:rsidR="00CC4DFE" w:rsidRPr="002B235D">
        <w:rPr>
          <w:rFonts w:ascii="Times New Roman" w:hAnsi="Times New Roman"/>
          <w:sz w:val="20"/>
          <w:szCs w:val="20"/>
        </w:rPr>
        <w:t>analysed</w:t>
      </w:r>
      <w:r w:rsidRPr="002B235D">
        <w:rPr>
          <w:rFonts w:ascii="Times New Roman" w:hAnsi="Times New Roman"/>
          <w:sz w:val="20"/>
          <w:szCs w:val="20"/>
        </w:rPr>
        <w:t xml:space="preserve"> for m</w:t>
      </w:r>
      <w:r w:rsidR="00905E1C" w:rsidRPr="002B235D">
        <w:rPr>
          <w:rFonts w:ascii="Times New Roman" w:hAnsi="Times New Roman"/>
          <w:sz w:val="20"/>
          <w:szCs w:val="20"/>
        </w:rPr>
        <w:t xml:space="preserve">aximum </w:t>
      </w:r>
      <w:r w:rsidR="00CC4DFE" w:rsidRPr="002B235D">
        <w:rPr>
          <w:rFonts w:ascii="Times New Roman" w:hAnsi="Times New Roman"/>
          <w:sz w:val="20"/>
          <w:szCs w:val="20"/>
        </w:rPr>
        <w:t>allowed probability that</w:t>
      </w:r>
      <w:r w:rsidR="00905E1C" w:rsidRPr="002B235D">
        <w:rPr>
          <w:rFonts w:ascii="Times New Roman" w:hAnsi="Times New Roman"/>
          <w:sz w:val="20"/>
          <w:szCs w:val="20"/>
        </w:rPr>
        <w:t xml:space="preserve"> </w:t>
      </w:r>
      <w:r w:rsidRPr="002B235D">
        <w:rPr>
          <w:rFonts w:ascii="Times New Roman" w:hAnsi="Times New Roman"/>
          <w:sz w:val="20"/>
          <w:szCs w:val="20"/>
        </w:rPr>
        <w:t xml:space="preserve">all preambles </w:t>
      </w:r>
      <w:r w:rsidR="00CC4DFE" w:rsidRPr="002B235D">
        <w:rPr>
          <w:rFonts w:ascii="Times New Roman" w:hAnsi="Times New Roman"/>
          <w:sz w:val="20"/>
          <w:szCs w:val="20"/>
        </w:rPr>
        <w:t xml:space="preserve">are </w:t>
      </w:r>
      <w:r w:rsidRPr="002B235D">
        <w:rPr>
          <w:rFonts w:ascii="Times New Roman" w:hAnsi="Times New Roman"/>
          <w:sz w:val="20"/>
          <w:szCs w:val="20"/>
        </w:rPr>
        <w:t>busy: 10</w:t>
      </w:r>
      <w:r w:rsidRPr="002B235D">
        <w:rPr>
          <w:rFonts w:ascii="Times New Roman" w:hAnsi="Times New Roman"/>
          <w:sz w:val="20"/>
          <w:szCs w:val="20"/>
          <w:vertAlign w:val="superscript"/>
        </w:rPr>
        <w:t>-2</w:t>
      </w:r>
      <w:r w:rsidRPr="002B235D">
        <w:rPr>
          <w:rFonts w:ascii="Times New Roman" w:hAnsi="Times New Roman"/>
          <w:sz w:val="20"/>
          <w:szCs w:val="20"/>
        </w:rPr>
        <w:t xml:space="preserve"> , 10</w:t>
      </w:r>
      <w:r w:rsidRPr="002B235D">
        <w:rPr>
          <w:rFonts w:ascii="Times New Roman" w:hAnsi="Times New Roman"/>
          <w:sz w:val="20"/>
          <w:szCs w:val="20"/>
          <w:vertAlign w:val="superscript"/>
        </w:rPr>
        <w:t>-3</w:t>
      </w:r>
      <w:r w:rsidRPr="002B235D">
        <w:rPr>
          <w:rFonts w:ascii="Times New Roman" w:hAnsi="Times New Roman"/>
          <w:sz w:val="20"/>
          <w:szCs w:val="20"/>
        </w:rPr>
        <w:t>, 10</w:t>
      </w:r>
      <w:r w:rsidRPr="002B235D">
        <w:rPr>
          <w:rFonts w:ascii="Times New Roman" w:hAnsi="Times New Roman"/>
          <w:sz w:val="20"/>
          <w:szCs w:val="20"/>
          <w:vertAlign w:val="superscript"/>
        </w:rPr>
        <w:t>-4</w:t>
      </w:r>
      <w:r w:rsidRPr="002B235D">
        <w:rPr>
          <w:rFonts w:ascii="Times New Roman" w:hAnsi="Times New Roman"/>
          <w:sz w:val="20"/>
          <w:szCs w:val="20"/>
        </w:rPr>
        <w:t xml:space="preserve"> , 10</w:t>
      </w:r>
      <w:r w:rsidRPr="002B235D">
        <w:rPr>
          <w:rFonts w:ascii="Times New Roman" w:hAnsi="Times New Roman"/>
          <w:sz w:val="20"/>
          <w:szCs w:val="20"/>
          <w:vertAlign w:val="superscript"/>
        </w:rPr>
        <w:t>-5</w:t>
      </w:r>
      <w:r w:rsidR="00241E85" w:rsidRPr="002B235D">
        <w:rPr>
          <w:rFonts w:ascii="Times New Roman" w:hAnsi="Times New Roman"/>
          <w:sz w:val="20"/>
          <w:szCs w:val="20"/>
        </w:rPr>
        <w:br/>
      </w:r>
    </w:p>
    <w:p w14:paraId="4319BFD0" w14:textId="77777777" w:rsidR="004C33B7" w:rsidRDefault="004C33B7" w:rsidP="00255DFE"/>
    <w:p w14:paraId="70B51835" w14:textId="53774303" w:rsidR="004C33B7" w:rsidRDefault="004C33B7" w:rsidP="003A2261">
      <w:pPr>
        <w:jc w:val="center"/>
      </w:pPr>
      <w:r>
        <w:rPr>
          <w:noProof/>
        </w:rPr>
        <w:drawing>
          <wp:inline distT="0" distB="0" distL="0" distR="0" wp14:anchorId="6228B05A" wp14:editId="0580E785">
            <wp:extent cx="3283889" cy="2462917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4397" cy="2470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7DE4B" w14:textId="59D1A1C6" w:rsidR="004C33B7" w:rsidRDefault="00C80001" w:rsidP="002B235D">
      <w:pPr>
        <w:pStyle w:val="Caption"/>
        <w:jc w:val="center"/>
      </w:pPr>
      <w:bookmarkStart w:id="13" w:name="_Ref165897828"/>
      <w:r>
        <w:lastRenderedPageBreak/>
        <w:t xml:space="preserve">Figure </w:t>
      </w:r>
      <w:bookmarkEnd w:id="13"/>
      <w:r w:rsidR="002B235D">
        <w:t>3</w:t>
      </w:r>
      <w:r>
        <w:t xml:space="preserve">: </w:t>
      </w:r>
      <w:r w:rsidR="00523E93">
        <w:t>The y-axis shows the maximum number of requests per second</w:t>
      </w:r>
      <w:r w:rsidR="002D66FD">
        <w:t>, for</w:t>
      </w:r>
      <w:r w:rsidR="00523E93">
        <w:t xml:space="preserve"> a pool of </w:t>
      </w:r>
      <w:r w:rsidR="008D4D3B">
        <w:t>the size shown on the x-axis</w:t>
      </w:r>
      <w:r w:rsidR="002D66FD">
        <w:t>,</w:t>
      </w:r>
      <w:r w:rsidR="008D4D3B">
        <w:t xml:space="preserve"> given different requirements 10</w:t>
      </w:r>
      <w:r w:rsidR="008D4D3B" w:rsidRPr="00C07BAD">
        <w:rPr>
          <w:vertAlign w:val="superscript"/>
        </w:rPr>
        <w:t>-2</w:t>
      </w:r>
      <w:r w:rsidR="008D4D3B">
        <w:t>, 10</w:t>
      </w:r>
      <w:r w:rsidR="008D4D3B" w:rsidRPr="008D4D3B">
        <w:rPr>
          <w:vertAlign w:val="superscript"/>
        </w:rPr>
        <w:t>-3</w:t>
      </w:r>
      <w:r w:rsidR="008D4D3B">
        <w:t>, 10</w:t>
      </w:r>
      <w:r w:rsidR="008D4D3B" w:rsidRPr="008D4D3B">
        <w:rPr>
          <w:vertAlign w:val="superscript"/>
        </w:rPr>
        <w:t>-4</w:t>
      </w:r>
      <w:r w:rsidR="008D4D3B">
        <w:t xml:space="preserve"> and 10</w:t>
      </w:r>
      <w:r w:rsidR="008D4D3B" w:rsidRPr="008D4D3B">
        <w:rPr>
          <w:vertAlign w:val="superscript"/>
        </w:rPr>
        <w:t>-5</w:t>
      </w:r>
      <w:r w:rsidR="008D4D3B">
        <w:t>.</w:t>
      </w:r>
      <w:r w:rsidR="004678BE">
        <w:t xml:space="preserve"> The average time a preamble is allocated is 0.02s.</w:t>
      </w:r>
    </w:p>
    <w:p w14:paraId="7FA4098D" w14:textId="1A2AFF18" w:rsidR="00E856E9" w:rsidRDefault="00E856E9" w:rsidP="00104EA7">
      <w:r>
        <w:t xml:space="preserve">From </w:t>
      </w:r>
      <w:r>
        <w:fldChar w:fldCharType="begin"/>
      </w:r>
      <w:r>
        <w:instrText xml:space="preserve"> REF _Ref165897828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we see that </w:t>
      </w:r>
      <w:r w:rsidR="00263A0C">
        <w:t xml:space="preserve">at least </w:t>
      </w:r>
      <w:r w:rsidR="0071521F">
        <w:t xml:space="preserve">two preambles </w:t>
      </w:r>
      <w:r w:rsidR="00263A0C">
        <w:t xml:space="preserve">are required to meet the requirement that the </w:t>
      </w:r>
      <w:r w:rsidR="0071521F">
        <w:t xml:space="preserve">probability for </w:t>
      </w:r>
      <w:r w:rsidR="001A29DA">
        <w:t>all preambles being busy at 10</w:t>
      </w:r>
      <w:r w:rsidR="001A29DA" w:rsidRPr="001A29DA">
        <w:rPr>
          <w:vertAlign w:val="superscript"/>
        </w:rPr>
        <w:t>-2</w:t>
      </w:r>
      <w:r w:rsidR="001A29DA">
        <w:t xml:space="preserve"> and 10</w:t>
      </w:r>
      <w:r w:rsidR="001A29DA" w:rsidRPr="001A29DA">
        <w:rPr>
          <w:vertAlign w:val="superscript"/>
        </w:rPr>
        <w:t>-3</w:t>
      </w:r>
      <w:r w:rsidR="001A29DA">
        <w:t xml:space="preserve">. </w:t>
      </w:r>
      <w:r w:rsidR="003C4CDC">
        <w:t>For the requirements 10</w:t>
      </w:r>
      <w:r w:rsidR="003C4CDC" w:rsidRPr="001A29DA">
        <w:rPr>
          <w:vertAlign w:val="superscript"/>
        </w:rPr>
        <w:t>-</w:t>
      </w:r>
      <w:r w:rsidR="003C4CDC">
        <w:rPr>
          <w:vertAlign w:val="superscript"/>
        </w:rPr>
        <w:t>4</w:t>
      </w:r>
      <w:r w:rsidR="003C4CDC">
        <w:t xml:space="preserve"> and 10</w:t>
      </w:r>
      <w:r w:rsidR="003C4CDC" w:rsidRPr="001A29DA">
        <w:rPr>
          <w:vertAlign w:val="superscript"/>
        </w:rPr>
        <w:t>-</w:t>
      </w:r>
      <w:r w:rsidR="003C4CDC">
        <w:rPr>
          <w:vertAlign w:val="superscript"/>
        </w:rPr>
        <w:t>5</w:t>
      </w:r>
      <w:r w:rsidR="003C4CDC" w:rsidRPr="003C4CDC">
        <w:t xml:space="preserve"> at least three preambles </w:t>
      </w:r>
      <w:r w:rsidR="003C4CDC">
        <w:t>are</w:t>
      </w:r>
      <w:r w:rsidR="00263A0C">
        <w:t xml:space="preserve"> required</w:t>
      </w:r>
      <w:r w:rsidR="003C4CDC">
        <w:t>.</w:t>
      </w:r>
      <w:r w:rsidR="00BD5F8D">
        <w:t xml:space="preserve"> In this example, we assume that we need </w:t>
      </w:r>
      <w:r w:rsidR="00D012A1">
        <w:t xml:space="preserve">to design for a </w:t>
      </w:r>
      <w:r w:rsidR="00BD5F8D">
        <w:t>capacity of 100 uplink synchronizations per second</w:t>
      </w:r>
      <w:r w:rsidR="001828F2">
        <w:t xml:space="preserve"> with the requirement 10</w:t>
      </w:r>
      <w:r w:rsidR="001828F2" w:rsidRPr="001828F2">
        <w:rPr>
          <w:vertAlign w:val="superscript"/>
        </w:rPr>
        <w:t>-4</w:t>
      </w:r>
      <w:r w:rsidR="00BD5F8D">
        <w:t xml:space="preserve">. </w:t>
      </w:r>
      <w:r w:rsidR="00116305">
        <w:t xml:space="preserve">Comparing the cases that we use one large pool, which would be located in the candidate DU, and three small pools, which each is located in a </w:t>
      </w:r>
      <w:r w:rsidR="00EE2B9E">
        <w:t>DU which can be a serving DU performing mobility to the candidate cell, we get the following results</w:t>
      </w:r>
      <w:r w:rsidR="00CB79B6">
        <w:t>:</w:t>
      </w:r>
      <w:r w:rsidR="00116305">
        <w:t xml:space="preserve"> </w:t>
      </w:r>
    </w:p>
    <w:p w14:paraId="70B49160" w14:textId="5A77AC17" w:rsidR="00D012A1" w:rsidRPr="00AA200F" w:rsidRDefault="00D012A1" w:rsidP="00613351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AA200F">
        <w:rPr>
          <w:rFonts w:ascii="Times New Roman" w:hAnsi="Times New Roman"/>
          <w:sz w:val="20"/>
          <w:szCs w:val="20"/>
        </w:rPr>
        <w:t>One large pool:</w:t>
      </w:r>
      <w:r w:rsidR="001828F2" w:rsidRPr="00AA200F">
        <w:rPr>
          <w:rFonts w:ascii="Times New Roman" w:hAnsi="Times New Roman"/>
          <w:sz w:val="20"/>
          <w:szCs w:val="20"/>
        </w:rPr>
        <w:t xml:space="preserve"> </w:t>
      </w:r>
      <w:r w:rsidR="00C62129" w:rsidRPr="00AA200F">
        <w:rPr>
          <w:rFonts w:ascii="Times New Roman" w:hAnsi="Times New Roman"/>
          <w:sz w:val="20"/>
          <w:szCs w:val="20"/>
        </w:rPr>
        <w:t>10</w:t>
      </w:r>
      <w:r w:rsidR="001828F2" w:rsidRPr="00AA200F">
        <w:rPr>
          <w:rFonts w:ascii="Times New Roman" w:hAnsi="Times New Roman"/>
          <w:sz w:val="20"/>
          <w:szCs w:val="20"/>
        </w:rPr>
        <w:t xml:space="preserve"> preambles</w:t>
      </w:r>
      <w:r w:rsidR="00CB79B6" w:rsidRPr="00AA200F">
        <w:rPr>
          <w:rFonts w:ascii="Times New Roman" w:hAnsi="Times New Roman"/>
          <w:sz w:val="20"/>
          <w:szCs w:val="20"/>
        </w:rPr>
        <w:t xml:space="preserve"> </w:t>
      </w:r>
      <w:r w:rsidR="00F9460B" w:rsidRPr="00AA200F">
        <w:rPr>
          <w:rFonts w:ascii="Times New Roman" w:hAnsi="Times New Roman"/>
          <w:sz w:val="20"/>
          <w:szCs w:val="20"/>
        </w:rPr>
        <w:t xml:space="preserve">because </w:t>
      </w:r>
      <w:r w:rsidR="00CB79B6" w:rsidRPr="00AA200F">
        <w:rPr>
          <w:rFonts w:ascii="Times New Roman" w:hAnsi="Times New Roman"/>
          <w:sz w:val="20"/>
          <w:szCs w:val="20"/>
        </w:rPr>
        <w:t xml:space="preserve">max capacity </w:t>
      </w:r>
      <w:r w:rsidR="00F9460B" w:rsidRPr="00AA200F">
        <w:rPr>
          <w:rFonts w:ascii="Times New Roman" w:hAnsi="Times New Roman"/>
          <w:sz w:val="20"/>
          <w:szCs w:val="20"/>
        </w:rPr>
        <w:t xml:space="preserve">is </w:t>
      </w:r>
      <w:r w:rsidR="00CB79B6" w:rsidRPr="00AA200F">
        <w:rPr>
          <w:rFonts w:ascii="Times New Roman" w:hAnsi="Times New Roman"/>
          <w:sz w:val="20"/>
          <w:szCs w:val="20"/>
        </w:rPr>
        <w:t xml:space="preserve">113 requests/s) when </w:t>
      </w:r>
      <w:r w:rsidR="00BA2AB2" w:rsidRPr="00AA200F">
        <w:rPr>
          <w:rFonts w:ascii="Times New Roman" w:hAnsi="Times New Roman"/>
          <w:sz w:val="20"/>
          <w:szCs w:val="20"/>
        </w:rPr>
        <w:t xml:space="preserve">the </w:t>
      </w:r>
      <w:r w:rsidR="00CB79B6" w:rsidRPr="00AA200F">
        <w:rPr>
          <w:rFonts w:ascii="Times New Roman" w:hAnsi="Times New Roman"/>
          <w:sz w:val="20"/>
          <w:szCs w:val="20"/>
        </w:rPr>
        <w:t>requirement is 10</w:t>
      </w:r>
      <w:r w:rsidR="00CB79B6" w:rsidRPr="00AA200F">
        <w:rPr>
          <w:rFonts w:ascii="Times New Roman" w:hAnsi="Times New Roman"/>
          <w:sz w:val="20"/>
          <w:szCs w:val="20"/>
          <w:vertAlign w:val="superscript"/>
        </w:rPr>
        <w:t>-4</w:t>
      </w:r>
      <w:r w:rsidR="00CB79B6" w:rsidRPr="00AA200F">
        <w:rPr>
          <w:rFonts w:ascii="Times New Roman" w:hAnsi="Times New Roman"/>
          <w:sz w:val="20"/>
          <w:szCs w:val="20"/>
        </w:rPr>
        <w:t>.</w:t>
      </w:r>
    </w:p>
    <w:p w14:paraId="50A176B2" w14:textId="20E7705F" w:rsidR="00CB79B6" w:rsidRPr="00AA200F" w:rsidRDefault="00352812" w:rsidP="00613351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AA200F">
        <w:rPr>
          <w:rFonts w:ascii="Times New Roman" w:hAnsi="Times New Roman"/>
          <w:sz w:val="20"/>
          <w:szCs w:val="20"/>
        </w:rPr>
        <w:t>Three small pools</w:t>
      </w:r>
      <w:r w:rsidR="004C4593" w:rsidRPr="00AA200F">
        <w:rPr>
          <w:rFonts w:ascii="Times New Roman" w:hAnsi="Times New Roman"/>
          <w:sz w:val="20"/>
          <w:szCs w:val="20"/>
        </w:rPr>
        <w:t xml:space="preserve">: </w:t>
      </w:r>
      <w:r w:rsidR="00116305" w:rsidRPr="00AA200F">
        <w:rPr>
          <w:rFonts w:ascii="Times New Roman" w:hAnsi="Times New Roman"/>
          <w:sz w:val="20"/>
          <w:szCs w:val="20"/>
        </w:rPr>
        <w:t>6 preambles</w:t>
      </w:r>
      <w:r w:rsidR="00593A71" w:rsidRPr="00AA200F">
        <w:rPr>
          <w:rFonts w:ascii="Times New Roman" w:hAnsi="Times New Roman"/>
          <w:sz w:val="20"/>
          <w:szCs w:val="20"/>
        </w:rPr>
        <w:t xml:space="preserve"> per pool</w:t>
      </w:r>
      <w:r w:rsidR="00CB79B6" w:rsidRPr="00AA200F">
        <w:rPr>
          <w:rFonts w:ascii="Times New Roman" w:hAnsi="Times New Roman"/>
          <w:sz w:val="20"/>
          <w:szCs w:val="20"/>
        </w:rPr>
        <w:t xml:space="preserve"> </w:t>
      </w:r>
      <w:r w:rsidR="00F9460B" w:rsidRPr="00AA200F">
        <w:rPr>
          <w:rFonts w:ascii="Times New Roman" w:hAnsi="Times New Roman"/>
          <w:sz w:val="20"/>
          <w:szCs w:val="20"/>
        </w:rPr>
        <w:t xml:space="preserve">because </w:t>
      </w:r>
      <w:r w:rsidR="00CB79B6" w:rsidRPr="00AA200F">
        <w:rPr>
          <w:rFonts w:ascii="Times New Roman" w:hAnsi="Times New Roman"/>
          <w:sz w:val="20"/>
          <w:szCs w:val="20"/>
        </w:rPr>
        <w:t>6</w:t>
      </w:r>
      <w:r w:rsidR="00CF5D2C" w:rsidRPr="00AA200F">
        <w:rPr>
          <w:rFonts w:ascii="Times New Roman" w:hAnsi="Times New Roman"/>
          <w:sz w:val="20"/>
          <w:szCs w:val="20"/>
        </w:rPr>
        <w:t xml:space="preserve"> preambles correspond to max capacity </w:t>
      </w:r>
      <w:r w:rsidR="00CB79B6" w:rsidRPr="00AA200F">
        <w:rPr>
          <w:rFonts w:ascii="Times New Roman" w:hAnsi="Times New Roman"/>
          <w:sz w:val="20"/>
          <w:szCs w:val="20"/>
        </w:rPr>
        <w:t xml:space="preserve">36 requests/s when </w:t>
      </w:r>
      <w:r w:rsidR="00BA2AB2" w:rsidRPr="00AA200F">
        <w:rPr>
          <w:rFonts w:ascii="Times New Roman" w:hAnsi="Times New Roman"/>
          <w:sz w:val="20"/>
          <w:szCs w:val="20"/>
        </w:rPr>
        <w:t xml:space="preserve">the </w:t>
      </w:r>
      <w:r w:rsidR="00CB79B6" w:rsidRPr="00AA200F">
        <w:rPr>
          <w:rFonts w:ascii="Times New Roman" w:hAnsi="Times New Roman"/>
          <w:sz w:val="20"/>
          <w:szCs w:val="20"/>
        </w:rPr>
        <w:t>requirement is 10</w:t>
      </w:r>
      <w:r w:rsidR="00CB79B6" w:rsidRPr="00AA200F">
        <w:rPr>
          <w:rFonts w:ascii="Times New Roman" w:hAnsi="Times New Roman"/>
          <w:sz w:val="20"/>
          <w:szCs w:val="20"/>
          <w:vertAlign w:val="superscript"/>
        </w:rPr>
        <w:t>-4</w:t>
      </w:r>
      <w:r w:rsidR="008E73FD" w:rsidRPr="00AA200F">
        <w:rPr>
          <w:rFonts w:ascii="Times New Roman" w:hAnsi="Times New Roman"/>
          <w:sz w:val="20"/>
          <w:szCs w:val="20"/>
        </w:rPr>
        <w:t>.</w:t>
      </w:r>
    </w:p>
    <w:p w14:paraId="04172C72" w14:textId="71802568" w:rsidR="00EE0EBA" w:rsidRDefault="00EE0EBA" w:rsidP="00B46B4E"/>
    <w:p w14:paraId="58E16805" w14:textId="525B1D99" w:rsidR="00CC1EF3" w:rsidRDefault="00695D20" w:rsidP="00B46B4E">
      <w:r>
        <w:t>We note that one pool with 10 preambles have a similar capacity as 3 pools with 6 preambles each i.e. 10 preambles vs 18 preambles.</w:t>
      </w:r>
      <w:r w:rsidR="001F592D">
        <w:t xml:space="preserve"> However, keeping the pool in the candidate DU </w:t>
      </w:r>
      <w:r w:rsidR="00B12882">
        <w:t xml:space="preserve">may be faster since no signalling over Xn is required. If we assume that pooling in the candidate DU </w:t>
      </w:r>
      <w:r w:rsidR="00A73D14">
        <w:t>gives</w:t>
      </w:r>
      <w:r w:rsidR="00B12882">
        <w:t xml:space="preserve"> </w:t>
      </w:r>
      <w:r w:rsidR="00292EC7">
        <w:t>twice the expected time</w:t>
      </w:r>
      <w:r w:rsidR="00CC1EF3">
        <w:t xml:space="preserve"> (0.04s)</w:t>
      </w:r>
      <w:r w:rsidR="00292EC7">
        <w:t xml:space="preserve"> </w:t>
      </w:r>
      <w:r w:rsidR="00E33A9F">
        <w:t>compared to pooling in the serving DU</w:t>
      </w:r>
      <w:r w:rsidR="00CC1EF3">
        <w:t xml:space="preserve"> the result becomes according to </w:t>
      </w:r>
      <w:r w:rsidR="00CC1EF3">
        <w:fldChar w:fldCharType="begin"/>
      </w:r>
      <w:r w:rsidR="00CC1EF3">
        <w:instrText xml:space="preserve"> REF _Ref165900558 \h </w:instrText>
      </w:r>
      <w:r w:rsidR="00CC1EF3">
        <w:fldChar w:fldCharType="separate"/>
      </w:r>
      <w:r w:rsidR="00CC1EF3">
        <w:t xml:space="preserve">Figure </w:t>
      </w:r>
      <w:r w:rsidR="00CC1EF3">
        <w:rPr>
          <w:noProof/>
        </w:rPr>
        <w:t>3</w:t>
      </w:r>
      <w:r w:rsidR="00CC1EF3">
        <w:fldChar w:fldCharType="end"/>
      </w:r>
      <w:r w:rsidR="00CC1EF3">
        <w:t>.</w:t>
      </w:r>
    </w:p>
    <w:p w14:paraId="31153C8D" w14:textId="2E4CF1B5" w:rsidR="00695D20" w:rsidRDefault="00A73D14" w:rsidP="00500416">
      <w:pPr>
        <w:jc w:val="center"/>
      </w:pPr>
      <w:r>
        <w:rPr>
          <w:noProof/>
        </w:rPr>
        <w:drawing>
          <wp:inline distT="0" distB="0" distL="0" distR="0" wp14:anchorId="1B0FFBAF" wp14:editId="3833F865">
            <wp:extent cx="3085107" cy="2313830"/>
            <wp:effectExtent l="0" t="0" r="127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782" cy="2318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5DDF0" w14:textId="6C56AE35" w:rsidR="00613351" w:rsidRDefault="00CC1EF3" w:rsidP="002B235D">
      <w:pPr>
        <w:pStyle w:val="Caption"/>
        <w:jc w:val="center"/>
      </w:pPr>
      <w:bookmarkStart w:id="14" w:name="_Ref165900558"/>
      <w:r>
        <w:t xml:space="preserve">Figure </w:t>
      </w:r>
      <w:bookmarkEnd w:id="14"/>
      <w:r w:rsidR="002B235D">
        <w:t>4</w:t>
      </w:r>
      <w:r>
        <w:t>: Max capacity when the service time is increased from 0.02s to 0.04s.</w:t>
      </w:r>
    </w:p>
    <w:p w14:paraId="1CBF48EC" w14:textId="5D57CA80" w:rsidR="00607415" w:rsidRPr="00CC1EF3" w:rsidRDefault="00CC1EF3" w:rsidP="00CC1EF3">
      <w:r>
        <w:t xml:space="preserve">To fulfil the capacity requirement 100 requests/s while </w:t>
      </w:r>
      <w:r w:rsidR="00213A88">
        <w:t>the probability is less than 10</w:t>
      </w:r>
      <w:r w:rsidR="00213A88" w:rsidRPr="00213A88">
        <w:rPr>
          <w:vertAlign w:val="superscript"/>
        </w:rPr>
        <w:t>-4</w:t>
      </w:r>
      <w:r w:rsidR="00852570">
        <w:t xml:space="preserve">, </w:t>
      </w:r>
      <w:r w:rsidR="00213A88">
        <w:t xml:space="preserve">14 preambles are </w:t>
      </w:r>
      <w:r w:rsidR="00852570">
        <w:t>required</w:t>
      </w:r>
      <w:r w:rsidR="00213A88">
        <w:t xml:space="preserve"> compared to 10 for the service time 0.02s.</w:t>
      </w:r>
      <w:r w:rsidR="007D1597">
        <w:t xml:space="preserve"> </w:t>
      </w:r>
      <w:r w:rsidR="00607415">
        <w:t xml:space="preserve"> This </w:t>
      </w:r>
      <w:r w:rsidR="00AA3F36">
        <w:t xml:space="preserve">time </w:t>
      </w:r>
      <w:r w:rsidR="00607415">
        <w:t xml:space="preserve">penalty does however still result in better capacity </w:t>
      </w:r>
      <w:r w:rsidR="00AB5624">
        <w:t xml:space="preserve">compared to three smaller pools </w:t>
      </w:r>
      <w:r w:rsidR="00265DA4">
        <w:t>since 14 is smaller than 18.</w:t>
      </w:r>
      <w:r w:rsidR="00D25828">
        <w:t xml:space="preserve"> </w:t>
      </w:r>
    </w:p>
    <w:p w14:paraId="75FBF077" w14:textId="069CF1CB" w:rsidR="003062D9" w:rsidRPr="00104EA7" w:rsidRDefault="003062D9" w:rsidP="00104EA7">
      <w:r>
        <w:t xml:space="preserve">Observation: The number of preambles </w:t>
      </w:r>
      <w:r w:rsidR="008049F3">
        <w:t>needed for uplink syn</w:t>
      </w:r>
      <w:r w:rsidR="00677725">
        <w:t>chronization</w:t>
      </w:r>
      <w:r w:rsidR="008049F3">
        <w:t xml:space="preserve"> </w:t>
      </w:r>
      <w:r>
        <w:t>scales poorly</w:t>
      </w:r>
      <w:r w:rsidR="00677725">
        <w:t xml:space="preserve"> with the number of preamble pools</w:t>
      </w:r>
      <w:r>
        <w:t>.</w:t>
      </w:r>
    </w:p>
    <w:sectPr w:rsidR="003062D9" w:rsidRPr="00104EA7" w:rsidSect="00673D07">
      <w:headerReference w:type="even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BFFC5" w14:textId="77777777" w:rsidR="00673D07" w:rsidRDefault="00673D07">
      <w:r>
        <w:separator/>
      </w:r>
    </w:p>
  </w:endnote>
  <w:endnote w:type="continuationSeparator" w:id="0">
    <w:p w14:paraId="4A9298B7" w14:textId="77777777" w:rsidR="00673D07" w:rsidRDefault="00673D07">
      <w:r>
        <w:continuationSeparator/>
      </w:r>
    </w:p>
  </w:endnote>
  <w:endnote w:type="continuationNotice" w:id="1">
    <w:p w14:paraId="234D3781" w14:textId="77777777" w:rsidR="00673D07" w:rsidRDefault="00673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7574B" w14:textId="77777777" w:rsidR="00673D07" w:rsidRDefault="00673D07">
      <w:r>
        <w:separator/>
      </w:r>
    </w:p>
  </w:footnote>
  <w:footnote w:type="continuationSeparator" w:id="0">
    <w:p w14:paraId="738DDB43" w14:textId="77777777" w:rsidR="00673D07" w:rsidRDefault="00673D07">
      <w:r>
        <w:continuationSeparator/>
      </w:r>
    </w:p>
  </w:footnote>
  <w:footnote w:type="continuationNotice" w:id="1">
    <w:p w14:paraId="38E82150" w14:textId="77777777" w:rsidR="00673D07" w:rsidRDefault="00673D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3336" w:hanging="360"/>
      </w:pPr>
    </w:lvl>
    <w:lvl w:ilvl="1" w:tplc="041D0019" w:tentative="1">
      <w:start w:val="1"/>
      <w:numFmt w:val="lowerLetter"/>
      <w:lvlText w:val="%2."/>
      <w:lvlJc w:val="left"/>
      <w:pPr>
        <w:ind w:left="4056" w:hanging="360"/>
      </w:pPr>
    </w:lvl>
    <w:lvl w:ilvl="2" w:tplc="041D001B" w:tentative="1">
      <w:start w:val="1"/>
      <w:numFmt w:val="lowerRoman"/>
      <w:lvlText w:val="%3."/>
      <w:lvlJc w:val="right"/>
      <w:pPr>
        <w:ind w:left="4776" w:hanging="180"/>
      </w:pPr>
    </w:lvl>
    <w:lvl w:ilvl="3" w:tplc="041D000F" w:tentative="1">
      <w:start w:val="1"/>
      <w:numFmt w:val="decimal"/>
      <w:lvlText w:val="%4."/>
      <w:lvlJc w:val="left"/>
      <w:pPr>
        <w:ind w:left="5496" w:hanging="360"/>
      </w:pPr>
    </w:lvl>
    <w:lvl w:ilvl="4" w:tplc="041D0019" w:tentative="1">
      <w:start w:val="1"/>
      <w:numFmt w:val="lowerLetter"/>
      <w:lvlText w:val="%5."/>
      <w:lvlJc w:val="left"/>
      <w:pPr>
        <w:ind w:left="6216" w:hanging="360"/>
      </w:pPr>
    </w:lvl>
    <w:lvl w:ilvl="5" w:tplc="041D001B" w:tentative="1">
      <w:start w:val="1"/>
      <w:numFmt w:val="lowerRoman"/>
      <w:lvlText w:val="%6."/>
      <w:lvlJc w:val="right"/>
      <w:pPr>
        <w:ind w:left="6936" w:hanging="180"/>
      </w:pPr>
    </w:lvl>
    <w:lvl w:ilvl="6" w:tplc="041D000F" w:tentative="1">
      <w:start w:val="1"/>
      <w:numFmt w:val="decimal"/>
      <w:lvlText w:val="%7."/>
      <w:lvlJc w:val="left"/>
      <w:pPr>
        <w:ind w:left="7656" w:hanging="360"/>
      </w:pPr>
    </w:lvl>
    <w:lvl w:ilvl="7" w:tplc="041D0019" w:tentative="1">
      <w:start w:val="1"/>
      <w:numFmt w:val="lowerLetter"/>
      <w:lvlText w:val="%8."/>
      <w:lvlJc w:val="left"/>
      <w:pPr>
        <w:ind w:left="8376" w:hanging="360"/>
      </w:pPr>
    </w:lvl>
    <w:lvl w:ilvl="8" w:tplc="041D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1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0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 w:numId="22" w16cid:durableId="1237327707">
    <w:abstractNumId w:val="9"/>
  </w:num>
  <w:num w:numId="23" w16cid:durableId="148342946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D"/>
    <w:rsid w:val="0000113E"/>
    <w:rsid w:val="00004002"/>
    <w:rsid w:val="00006AD7"/>
    <w:rsid w:val="00007D54"/>
    <w:rsid w:val="00007EF4"/>
    <w:rsid w:val="00010D1D"/>
    <w:rsid w:val="000113E4"/>
    <w:rsid w:val="000115A1"/>
    <w:rsid w:val="00013F4C"/>
    <w:rsid w:val="00013F97"/>
    <w:rsid w:val="00015661"/>
    <w:rsid w:val="00015C67"/>
    <w:rsid w:val="00016C08"/>
    <w:rsid w:val="00021EBF"/>
    <w:rsid w:val="00021ED0"/>
    <w:rsid w:val="000220B0"/>
    <w:rsid w:val="00022E4A"/>
    <w:rsid w:val="00025B1B"/>
    <w:rsid w:val="00026CA2"/>
    <w:rsid w:val="000314BA"/>
    <w:rsid w:val="000315FB"/>
    <w:rsid w:val="00032C2D"/>
    <w:rsid w:val="00034805"/>
    <w:rsid w:val="00034A30"/>
    <w:rsid w:val="00034BF7"/>
    <w:rsid w:val="0003618A"/>
    <w:rsid w:val="00036D35"/>
    <w:rsid w:val="00036F29"/>
    <w:rsid w:val="00037361"/>
    <w:rsid w:val="00037BF0"/>
    <w:rsid w:val="00041A08"/>
    <w:rsid w:val="000420D7"/>
    <w:rsid w:val="000421DA"/>
    <w:rsid w:val="00042900"/>
    <w:rsid w:val="00042913"/>
    <w:rsid w:val="000444C4"/>
    <w:rsid w:val="00045158"/>
    <w:rsid w:val="00045B5F"/>
    <w:rsid w:val="00046CF6"/>
    <w:rsid w:val="00047181"/>
    <w:rsid w:val="000473C8"/>
    <w:rsid w:val="000475FB"/>
    <w:rsid w:val="00047FF3"/>
    <w:rsid w:val="000504AB"/>
    <w:rsid w:val="00051498"/>
    <w:rsid w:val="0005235F"/>
    <w:rsid w:val="000529B9"/>
    <w:rsid w:val="00053B09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1DB9"/>
    <w:rsid w:val="00063B63"/>
    <w:rsid w:val="0006469E"/>
    <w:rsid w:val="00066C5C"/>
    <w:rsid w:val="00067A2D"/>
    <w:rsid w:val="00067B1F"/>
    <w:rsid w:val="000703A3"/>
    <w:rsid w:val="000721AA"/>
    <w:rsid w:val="00072229"/>
    <w:rsid w:val="00074867"/>
    <w:rsid w:val="00074C1B"/>
    <w:rsid w:val="00074CAF"/>
    <w:rsid w:val="00076551"/>
    <w:rsid w:val="000842EC"/>
    <w:rsid w:val="00085BC9"/>
    <w:rsid w:val="00085C87"/>
    <w:rsid w:val="000865C5"/>
    <w:rsid w:val="000877E3"/>
    <w:rsid w:val="0009071B"/>
    <w:rsid w:val="000909EE"/>
    <w:rsid w:val="00093A46"/>
    <w:rsid w:val="00095457"/>
    <w:rsid w:val="00096CBD"/>
    <w:rsid w:val="00096F7D"/>
    <w:rsid w:val="00096FF4"/>
    <w:rsid w:val="00097D75"/>
    <w:rsid w:val="000A0202"/>
    <w:rsid w:val="000A0BE6"/>
    <w:rsid w:val="000A1357"/>
    <w:rsid w:val="000A390F"/>
    <w:rsid w:val="000A3ABA"/>
    <w:rsid w:val="000A3D5D"/>
    <w:rsid w:val="000A4A57"/>
    <w:rsid w:val="000A6394"/>
    <w:rsid w:val="000A6FCA"/>
    <w:rsid w:val="000B00DB"/>
    <w:rsid w:val="000B0790"/>
    <w:rsid w:val="000B1A2A"/>
    <w:rsid w:val="000B1A93"/>
    <w:rsid w:val="000B2518"/>
    <w:rsid w:val="000B486D"/>
    <w:rsid w:val="000B498F"/>
    <w:rsid w:val="000B580A"/>
    <w:rsid w:val="000B5C45"/>
    <w:rsid w:val="000B706B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0F17"/>
    <w:rsid w:val="000D1767"/>
    <w:rsid w:val="000D1BCF"/>
    <w:rsid w:val="000D281C"/>
    <w:rsid w:val="000D3F40"/>
    <w:rsid w:val="000D44B3"/>
    <w:rsid w:val="000D52A7"/>
    <w:rsid w:val="000D57D5"/>
    <w:rsid w:val="000E0F5A"/>
    <w:rsid w:val="000E1455"/>
    <w:rsid w:val="000E5374"/>
    <w:rsid w:val="000E71AB"/>
    <w:rsid w:val="000F015C"/>
    <w:rsid w:val="000F1125"/>
    <w:rsid w:val="000F1D8C"/>
    <w:rsid w:val="000F4971"/>
    <w:rsid w:val="000F50BA"/>
    <w:rsid w:val="000F5F5D"/>
    <w:rsid w:val="000F640C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4500"/>
    <w:rsid w:val="00104EA7"/>
    <w:rsid w:val="00105FC0"/>
    <w:rsid w:val="001066E7"/>
    <w:rsid w:val="00107B2B"/>
    <w:rsid w:val="0011102F"/>
    <w:rsid w:val="0011120E"/>
    <w:rsid w:val="00112950"/>
    <w:rsid w:val="00114A55"/>
    <w:rsid w:val="00116267"/>
    <w:rsid w:val="00116305"/>
    <w:rsid w:val="001165AC"/>
    <w:rsid w:val="00116A81"/>
    <w:rsid w:val="00117285"/>
    <w:rsid w:val="001175D4"/>
    <w:rsid w:val="00117D28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091"/>
    <w:rsid w:val="00133668"/>
    <w:rsid w:val="00133836"/>
    <w:rsid w:val="00134302"/>
    <w:rsid w:val="0013493D"/>
    <w:rsid w:val="00134C46"/>
    <w:rsid w:val="00134F1B"/>
    <w:rsid w:val="0013524E"/>
    <w:rsid w:val="00136EE3"/>
    <w:rsid w:val="00137ABE"/>
    <w:rsid w:val="001405C0"/>
    <w:rsid w:val="00140F5B"/>
    <w:rsid w:val="001437DE"/>
    <w:rsid w:val="001439D6"/>
    <w:rsid w:val="0014432F"/>
    <w:rsid w:val="001449FE"/>
    <w:rsid w:val="00145D43"/>
    <w:rsid w:val="001466AF"/>
    <w:rsid w:val="0014711D"/>
    <w:rsid w:val="00147AF9"/>
    <w:rsid w:val="00147E5E"/>
    <w:rsid w:val="0015023C"/>
    <w:rsid w:val="00150E1C"/>
    <w:rsid w:val="00152552"/>
    <w:rsid w:val="00152B10"/>
    <w:rsid w:val="0015430E"/>
    <w:rsid w:val="00154D1B"/>
    <w:rsid w:val="00157503"/>
    <w:rsid w:val="001605BA"/>
    <w:rsid w:val="00160AB0"/>
    <w:rsid w:val="00161DF9"/>
    <w:rsid w:val="001620CD"/>
    <w:rsid w:val="0016557A"/>
    <w:rsid w:val="00166109"/>
    <w:rsid w:val="00166DA0"/>
    <w:rsid w:val="00167714"/>
    <w:rsid w:val="00167EBF"/>
    <w:rsid w:val="0017119B"/>
    <w:rsid w:val="00171C2A"/>
    <w:rsid w:val="00172116"/>
    <w:rsid w:val="0017301E"/>
    <w:rsid w:val="00173BF8"/>
    <w:rsid w:val="00174ADB"/>
    <w:rsid w:val="00174FDB"/>
    <w:rsid w:val="001763D5"/>
    <w:rsid w:val="00177A66"/>
    <w:rsid w:val="001803A6"/>
    <w:rsid w:val="00181049"/>
    <w:rsid w:val="00181EE4"/>
    <w:rsid w:val="001822D0"/>
    <w:rsid w:val="00182393"/>
    <w:rsid w:val="001828F2"/>
    <w:rsid w:val="00182EA4"/>
    <w:rsid w:val="00183EDD"/>
    <w:rsid w:val="0018470D"/>
    <w:rsid w:val="001858B9"/>
    <w:rsid w:val="001859FF"/>
    <w:rsid w:val="001866F9"/>
    <w:rsid w:val="00187764"/>
    <w:rsid w:val="0019139D"/>
    <w:rsid w:val="00192843"/>
    <w:rsid w:val="00192C46"/>
    <w:rsid w:val="00192E83"/>
    <w:rsid w:val="001948EF"/>
    <w:rsid w:val="00195419"/>
    <w:rsid w:val="0019755B"/>
    <w:rsid w:val="001A08B3"/>
    <w:rsid w:val="001A126A"/>
    <w:rsid w:val="001A1F3C"/>
    <w:rsid w:val="001A1F8C"/>
    <w:rsid w:val="001A2134"/>
    <w:rsid w:val="001A29DA"/>
    <w:rsid w:val="001A3075"/>
    <w:rsid w:val="001A3178"/>
    <w:rsid w:val="001A4928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3D7D"/>
    <w:rsid w:val="001C4A82"/>
    <w:rsid w:val="001C4ED7"/>
    <w:rsid w:val="001C544A"/>
    <w:rsid w:val="001C5D27"/>
    <w:rsid w:val="001C6D56"/>
    <w:rsid w:val="001C703D"/>
    <w:rsid w:val="001D229C"/>
    <w:rsid w:val="001D23FF"/>
    <w:rsid w:val="001D25B2"/>
    <w:rsid w:val="001D3AE7"/>
    <w:rsid w:val="001D3EAA"/>
    <w:rsid w:val="001D3F53"/>
    <w:rsid w:val="001D44DB"/>
    <w:rsid w:val="001D532B"/>
    <w:rsid w:val="001D5DDC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592D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DC8"/>
    <w:rsid w:val="00210F78"/>
    <w:rsid w:val="00213505"/>
    <w:rsid w:val="00213A88"/>
    <w:rsid w:val="00213FC1"/>
    <w:rsid w:val="00216259"/>
    <w:rsid w:val="00216379"/>
    <w:rsid w:val="00217562"/>
    <w:rsid w:val="00217F38"/>
    <w:rsid w:val="002212C8"/>
    <w:rsid w:val="00222149"/>
    <w:rsid w:val="002226B8"/>
    <w:rsid w:val="00222A68"/>
    <w:rsid w:val="00222A7F"/>
    <w:rsid w:val="0022367E"/>
    <w:rsid w:val="00223E75"/>
    <w:rsid w:val="00224599"/>
    <w:rsid w:val="00224D3E"/>
    <w:rsid w:val="002250B8"/>
    <w:rsid w:val="00227E0F"/>
    <w:rsid w:val="0023071C"/>
    <w:rsid w:val="00230C07"/>
    <w:rsid w:val="00230CDC"/>
    <w:rsid w:val="00232C1D"/>
    <w:rsid w:val="00234310"/>
    <w:rsid w:val="002360B2"/>
    <w:rsid w:val="002367B9"/>
    <w:rsid w:val="00241D06"/>
    <w:rsid w:val="00241E85"/>
    <w:rsid w:val="00242700"/>
    <w:rsid w:val="002437DE"/>
    <w:rsid w:val="00243CD5"/>
    <w:rsid w:val="002447BE"/>
    <w:rsid w:val="00244832"/>
    <w:rsid w:val="002459F9"/>
    <w:rsid w:val="00245BA6"/>
    <w:rsid w:val="00245CCF"/>
    <w:rsid w:val="00245DC4"/>
    <w:rsid w:val="00246279"/>
    <w:rsid w:val="00246E5C"/>
    <w:rsid w:val="0025099F"/>
    <w:rsid w:val="00250F15"/>
    <w:rsid w:val="00252F0C"/>
    <w:rsid w:val="00253980"/>
    <w:rsid w:val="00253A28"/>
    <w:rsid w:val="00253FB2"/>
    <w:rsid w:val="00254BFC"/>
    <w:rsid w:val="00255DFE"/>
    <w:rsid w:val="0025677C"/>
    <w:rsid w:val="00257B01"/>
    <w:rsid w:val="00257BA3"/>
    <w:rsid w:val="0026004D"/>
    <w:rsid w:val="00260A79"/>
    <w:rsid w:val="002619C8"/>
    <w:rsid w:val="00262B85"/>
    <w:rsid w:val="00263A0C"/>
    <w:rsid w:val="00263A3D"/>
    <w:rsid w:val="002640DD"/>
    <w:rsid w:val="00264A58"/>
    <w:rsid w:val="00264B4F"/>
    <w:rsid w:val="00265DA4"/>
    <w:rsid w:val="002666C8"/>
    <w:rsid w:val="00266E11"/>
    <w:rsid w:val="00267ECB"/>
    <w:rsid w:val="00270A67"/>
    <w:rsid w:val="002712A1"/>
    <w:rsid w:val="00272577"/>
    <w:rsid w:val="00272C05"/>
    <w:rsid w:val="00273381"/>
    <w:rsid w:val="00275D12"/>
    <w:rsid w:val="00276189"/>
    <w:rsid w:val="00276ECF"/>
    <w:rsid w:val="002772C5"/>
    <w:rsid w:val="0027750F"/>
    <w:rsid w:val="00277C69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08AC"/>
    <w:rsid w:val="00292138"/>
    <w:rsid w:val="00292EC7"/>
    <w:rsid w:val="002939DF"/>
    <w:rsid w:val="002942A9"/>
    <w:rsid w:val="00294425"/>
    <w:rsid w:val="002958E9"/>
    <w:rsid w:val="002975D3"/>
    <w:rsid w:val="00297872"/>
    <w:rsid w:val="0029798C"/>
    <w:rsid w:val="002A076C"/>
    <w:rsid w:val="002A1B6E"/>
    <w:rsid w:val="002A21BE"/>
    <w:rsid w:val="002A4392"/>
    <w:rsid w:val="002A5607"/>
    <w:rsid w:val="002A6113"/>
    <w:rsid w:val="002A7AD1"/>
    <w:rsid w:val="002A7E9B"/>
    <w:rsid w:val="002B1F62"/>
    <w:rsid w:val="002B20C1"/>
    <w:rsid w:val="002B235D"/>
    <w:rsid w:val="002B2A27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8F"/>
    <w:rsid w:val="002C3CF6"/>
    <w:rsid w:val="002C3E0A"/>
    <w:rsid w:val="002C5A76"/>
    <w:rsid w:val="002C5AE9"/>
    <w:rsid w:val="002C5BC2"/>
    <w:rsid w:val="002C7EA4"/>
    <w:rsid w:val="002C7ED0"/>
    <w:rsid w:val="002D1833"/>
    <w:rsid w:val="002D2024"/>
    <w:rsid w:val="002D2600"/>
    <w:rsid w:val="002D3025"/>
    <w:rsid w:val="002D599D"/>
    <w:rsid w:val="002D66CC"/>
    <w:rsid w:val="002D66FD"/>
    <w:rsid w:val="002D74F0"/>
    <w:rsid w:val="002E0108"/>
    <w:rsid w:val="002E115B"/>
    <w:rsid w:val="002E437F"/>
    <w:rsid w:val="002E472E"/>
    <w:rsid w:val="002E4A14"/>
    <w:rsid w:val="002E623A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6AC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12B5"/>
    <w:rsid w:val="00301327"/>
    <w:rsid w:val="00302D06"/>
    <w:rsid w:val="00304BE4"/>
    <w:rsid w:val="003053EE"/>
    <w:rsid w:val="00305409"/>
    <w:rsid w:val="003062D9"/>
    <w:rsid w:val="00307057"/>
    <w:rsid w:val="00310D17"/>
    <w:rsid w:val="00313D2E"/>
    <w:rsid w:val="00314115"/>
    <w:rsid w:val="0031538A"/>
    <w:rsid w:val="003169A0"/>
    <w:rsid w:val="003169E8"/>
    <w:rsid w:val="003169F4"/>
    <w:rsid w:val="0031733C"/>
    <w:rsid w:val="0031742B"/>
    <w:rsid w:val="00317CC2"/>
    <w:rsid w:val="003205B6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37DD"/>
    <w:rsid w:val="0033426C"/>
    <w:rsid w:val="00334DAA"/>
    <w:rsid w:val="00334E9E"/>
    <w:rsid w:val="00335593"/>
    <w:rsid w:val="00336872"/>
    <w:rsid w:val="0033687D"/>
    <w:rsid w:val="00337D9E"/>
    <w:rsid w:val="00340F74"/>
    <w:rsid w:val="003410A3"/>
    <w:rsid w:val="0034174A"/>
    <w:rsid w:val="00341BC9"/>
    <w:rsid w:val="00342A58"/>
    <w:rsid w:val="0034339F"/>
    <w:rsid w:val="003435BA"/>
    <w:rsid w:val="00344282"/>
    <w:rsid w:val="00345E7F"/>
    <w:rsid w:val="00347189"/>
    <w:rsid w:val="00350E5A"/>
    <w:rsid w:val="003517EA"/>
    <w:rsid w:val="00351A21"/>
    <w:rsid w:val="00352812"/>
    <w:rsid w:val="003532E0"/>
    <w:rsid w:val="00353484"/>
    <w:rsid w:val="003537E1"/>
    <w:rsid w:val="00354721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033"/>
    <w:rsid w:val="0036231A"/>
    <w:rsid w:val="00362F53"/>
    <w:rsid w:val="0036334B"/>
    <w:rsid w:val="003657F5"/>
    <w:rsid w:val="00365B60"/>
    <w:rsid w:val="00366049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1D94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0AC2"/>
    <w:rsid w:val="003A2261"/>
    <w:rsid w:val="003A269A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7BA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4CDC"/>
    <w:rsid w:val="003C5C93"/>
    <w:rsid w:val="003C63AF"/>
    <w:rsid w:val="003C7445"/>
    <w:rsid w:val="003D0695"/>
    <w:rsid w:val="003D0CB4"/>
    <w:rsid w:val="003D526D"/>
    <w:rsid w:val="003D570D"/>
    <w:rsid w:val="003D64D9"/>
    <w:rsid w:val="003D6787"/>
    <w:rsid w:val="003E00B5"/>
    <w:rsid w:val="003E0CDE"/>
    <w:rsid w:val="003E1167"/>
    <w:rsid w:val="003E162C"/>
    <w:rsid w:val="003E1A36"/>
    <w:rsid w:val="003E1B91"/>
    <w:rsid w:val="003E20FE"/>
    <w:rsid w:val="003E277C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E75E6"/>
    <w:rsid w:val="003F0365"/>
    <w:rsid w:val="003F08DC"/>
    <w:rsid w:val="003F1C67"/>
    <w:rsid w:val="003F3B27"/>
    <w:rsid w:val="003F3C95"/>
    <w:rsid w:val="003F3CE1"/>
    <w:rsid w:val="003F4B81"/>
    <w:rsid w:val="003F623B"/>
    <w:rsid w:val="003F676C"/>
    <w:rsid w:val="003F7516"/>
    <w:rsid w:val="003F7C2A"/>
    <w:rsid w:val="003F7CA1"/>
    <w:rsid w:val="004005FA"/>
    <w:rsid w:val="00400C42"/>
    <w:rsid w:val="004011B7"/>
    <w:rsid w:val="0040142C"/>
    <w:rsid w:val="00402060"/>
    <w:rsid w:val="00403B2D"/>
    <w:rsid w:val="004043D1"/>
    <w:rsid w:val="00404C25"/>
    <w:rsid w:val="00405161"/>
    <w:rsid w:val="00405527"/>
    <w:rsid w:val="004058B6"/>
    <w:rsid w:val="00406C01"/>
    <w:rsid w:val="004077B1"/>
    <w:rsid w:val="00410371"/>
    <w:rsid w:val="004116D2"/>
    <w:rsid w:val="00413AFB"/>
    <w:rsid w:val="00414962"/>
    <w:rsid w:val="0042159C"/>
    <w:rsid w:val="004219B4"/>
    <w:rsid w:val="00422F8E"/>
    <w:rsid w:val="00423549"/>
    <w:rsid w:val="004242F1"/>
    <w:rsid w:val="00424ACC"/>
    <w:rsid w:val="00426544"/>
    <w:rsid w:val="00431C35"/>
    <w:rsid w:val="00433548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1C1"/>
    <w:rsid w:val="004426E3"/>
    <w:rsid w:val="00442C93"/>
    <w:rsid w:val="00444894"/>
    <w:rsid w:val="00444CD6"/>
    <w:rsid w:val="00445F78"/>
    <w:rsid w:val="00447A26"/>
    <w:rsid w:val="00447F6E"/>
    <w:rsid w:val="00447F77"/>
    <w:rsid w:val="0045034A"/>
    <w:rsid w:val="004504A7"/>
    <w:rsid w:val="0045223F"/>
    <w:rsid w:val="0045295D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8BE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48C7"/>
    <w:rsid w:val="0048505F"/>
    <w:rsid w:val="004862D2"/>
    <w:rsid w:val="00487C91"/>
    <w:rsid w:val="004913E8"/>
    <w:rsid w:val="00491855"/>
    <w:rsid w:val="00492464"/>
    <w:rsid w:val="0049345F"/>
    <w:rsid w:val="00493726"/>
    <w:rsid w:val="00493AC0"/>
    <w:rsid w:val="0049692C"/>
    <w:rsid w:val="00496A10"/>
    <w:rsid w:val="00497D33"/>
    <w:rsid w:val="00497DFB"/>
    <w:rsid w:val="004A0EEE"/>
    <w:rsid w:val="004A10C4"/>
    <w:rsid w:val="004A12DC"/>
    <w:rsid w:val="004A1EBF"/>
    <w:rsid w:val="004A2E8A"/>
    <w:rsid w:val="004A31CD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2D"/>
    <w:rsid w:val="004C0272"/>
    <w:rsid w:val="004C0363"/>
    <w:rsid w:val="004C20E5"/>
    <w:rsid w:val="004C33B7"/>
    <w:rsid w:val="004C3964"/>
    <w:rsid w:val="004C3BA2"/>
    <w:rsid w:val="004C4593"/>
    <w:rsid w:val="004C5104"/>
    <w:rsid w:val="004C6427"/>
    <w:rsid w:val="004C6D44"/>
    <w:rsid w:val="004C7280"/>
    <w:rsid w:val="004C7842"/>
    <w:rsid w:val="004D04C8"/>
    <w:rsid w:val="004D057B"/>
    <w:rsid w:val="004D07C7"/>
    <w:rsid w:val="004D0D9C"/>
    <w:rsid w:val="004D1104"/>
    <w:rsid w:val="004D121F"/>
    <w:rsid w:val="004D25F4"/>
    <w:rsid w:val="004D506F"/>
    <w:rsid w:val="004D552E"/>
    <w:rsid w:val="004D5877"/>
    <w:rsid w:val="004D6B92"/>
    <w:rsid w:val="004D6C84"/>
    <w:rsid w:val="004D73E6"/>
    <w:rsid w:val="004E1336"/>
    <w:rsid w:val="004E249A"/>
    <w:rsid w:val="004E3DB0"/>
    <w:rsid w:val="004E464A"/>
    <w:rsid w:val="004E48ED"/>
    <w:rsid w:val="004E4DBB"/>
    <w:rsid w:val="004E5224"/>
    <w:rsid w:val="004E541A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4F71DC"/>
    <w:rsid w:val="00500416"/>
    <w:rsid w:val="0050043B"/>
    <w:rsid w:val="00500AB7"/>
    <w:rsid w:val="005047B1"/>
    <w:rsid w:val="00507192"/>
    <w:rsid w:val="005102AC"/>
    <w:rsid w:val="00510564"/>
    <w:rsid w:val="0051127E"/>
    <w:rsid w:val="00511502"/>
    <w:rsid w:val="00512649"/>
    <w:rsid w:val="005134CB"/>
    <w:rsid w:val="0051405A"/>
    <w:rsid w:val="00514A97"/>
    <w:rsid w:val="0051580D"/>
    <w:rsid w:val="0051644D"/>
    <w:rsid w:val="0051644E"/>
    <w:rsid w:val="00516BC1"/>
    <w:rsid w:val="0051751C"/>
    <w:rsid w:val="00520222"/>
    <w:rsid w:val="0052062D"/>
    <w:rsid w:val="00522204"/>
    <w:rsid w:val="005232B1"/>
    <w:rsid w:val="00523E93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691"/>
    <w:rsid w:val="00534EE1"/>
    <w:rsid w:val="005353DD"/>
    <w:rsid w:val="005359D4"/>
    <w:rsid w:val="0053642A"/>
    <w:rsid w:val="00536489"/>
    <w:rsid w:val="0054172A"/>
    <w:rsid w:val="00541864"/>
    <w:rsid w:val="00542190"/>
    <w:rsid w:val="005425BF"/>
    <w:rsid w:val="00543375"/>
    <w:rsid w:val="005437A8"/>
    <w:rsid w:val="0054629D"/>
    <w:rsid w:val="00547111"/>
    <w:rsid w:val="00550ED4"/>
    <w:rsid w:val="00553795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2DBD"/>
    <w:rsid w:val="005733B9"/>
    <w:rsid w:val="00576192"/>
    <w:rsid w:val="00577412"/>
    <w:rsid w:val="0057754C"/>
    <w:rsid w:val="00577AA5"/>
    <w:rsid w:val="005801A1"/>
    <w:rsid w:val="0058278E"/>
    <w:rsid w:val="0058372F"/>
    <w:rsid w:val="0058472D"/>
    <w:rsid w:val="00584D87"/>
    <w:rsid w:val="00585B48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327D"/>
    <w:rsid w:val="00593535"/>
    <w:rsid w:val="00593A71"/>
    <w:rsid w:val="00594043"/>
    <w:rsid w:val="00594BC9"/>
    <w:rsid w:val="005965DF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8B9"/>
    <w:rsid w:val="005A6A31"/>
    <w:rsid w:val="005B2BB3"/>
    <w:rsid w:val="005B3033"/>
    <w:rsid w:val="005B46AC"/>
    <w:rsid w:val="005B6CB1"/>
    <w:rsid w:val="005B73CB"/>
    <w:rsid w:val="005B7754"/>
    <w:rsid w:val="005B7FA9"/>
    <w:rsid w:val="005C03CF"/>
    <w:rsid w:val="005C197F"/>
    <w:rsid w:val="005C1B57"/>
    <w:rsid w:val="005C2440"/>
    <w:rsid w:val="005C2F2A"/>
    <w:rsid w:val="005C3234"/>
    <w:rsid w:val="005C3672"/>
    <w:rsid w:val="005C3BB1"/>
    <w:rsid w:val="005C508A"/>
    <w:rsid w:val="005C5318"/>
    <w:rsid w:val="005C550B"/>
    <w:rsid w:val="005C5A80"/>
    <w:rsid w:val="005C683C"/>
    <w:rsid w:val="005C6AAB"/>
    <w:rsid w:val="005C7525"/>
    <w:rsid w:val="005C7977"/>
    <w:rsid w:val="005C7F25"/>
    <w:rsid w:val="005D1249"/>
    <w:rsid w:val="005D12EA"/>
    <w:rsid w:val="005D169E"/>
    <w:rsid w:val="005D235D"/>
    <w:rsid w:val="005D266C"/>
    <w:rsid w:val="005D5150"/>
    <w:rsid w:val="005D5BCC"/>
    <w:rsid w:val="005D66C2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559D"/>
    <w:rsid w:val="005E6B52"/>
    <w:rsid w:val="005F1723"/>
    <w:rsid w:val="005F35DD"/>
    <w:rsid w:val="005F369F"/>
    <w:rsid w:val="005F397B"/>
    <w:rsid w:val="005F4DE9"/>
    <w:rsid w:val="005F52AC"/>
    <w:rsid w:val="005F7E21"/>
    <w:rsid w:val="00601700"/>
    <w:rsid w:val="00602B6D"/>
    <w:rsid w:val="00602BAF"/>
    <w:rsid w:val="00603B5C"/>
    <w:rsid w:val="00603D6A"/>
    <w:rsid w:val="00604AAB"/>
    <w:rsid w:val="00605676"/>
    <w:rsid w:val="006064D2"/>
    <w:rsid w:val="006068C1"/>
    <w:rsid w:val="00606950"/>
    <w:rsid w:val="00606D88"/>
    <w:rsid w:val="00607415"/>
    <w:rsid w:val="006100B6"/>
    <w:rsid w:val="006102B0"/>
    <w:rsid w:val="006103FA"/>
    <w:rsid w:val="00610645"/>
    <w:rsid w:val="00610C57"/>
    <w:rsid w:val="0061111F"/>
    <w:rsid w:val="006115DC"/>
    <w:rsid w:val="00611E1F"/>
    <w:rsid w:val="00612179"/>
    <w:rsid w:val="00613351"/>
    <w:rsid w:val="006148D6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54"/>
    <w:rsid w:val="00635E70"/>
    <w:rsid w:val="0063645E"/>
    <w:rsid w:val="00637A38"/>
    <w:rsid w:val="0064128C"/>
    <w:rsid w:val="00643D31"/>
    <w:rsid w:val="00644ECA"/>
    <w:rsid w:val="00644FF4"/>
    <w:rsid w:val="006455DA"/>
    <w:rsid w:val="00645F40"/>
    <w:rsid w:val="00646F09"/>
    <w:rsid w:val="006471C5"/>
    <w:rsid w:val="00647774"/>
    <w:rsid w:val="0064789F"/>
    <w:rsid w:val="006478F6"/>
    <w:rsid w:val="00647E66"/>
    <w:rsid w:val="00650F34"/>
    <w:rsid w:val="0065125F"/>
    <w:rsid w:val="00651585"/>
    <w:rsid w:val="006533C2"/>
    <w:rsid w:val="00654716"/>
    <w:rsid w:val="00654C51"/>
    <w:rsid w:val="0065562F"/>
    <w:rsid w:val="00655832"/>
    <w:rsid w:val="006573B5"/>
    <w:rsid w:val="00657482"/>
    <w:rsid w:val="006574FD"/>
    <w:rsid w:val="00657DA0"/>
    <w:rsid w:val="006610C5"/>
    <w:rsid w:val="00661708"/>
    <w:rsid w:val="00661C74"/>
    <w:rsid w:val="00662B24"/>
    <w:rsid w:val="00665455"/>
    <w:rsid w:val="00665C47"/>
    <w:rsid w:val="00665F15"/>
    <w:rsid w:val="006669AA"/>
    <w:rsid w:val="00667640"/>
    <w:rsid w:val="00670445"/>
    <w:rsid w:val="00670FF3"/>
    <w:rsid w:val="00673D07"/>
    <w:rsid w:val="00676A8F"/>
    <w:rsid w:val="00677725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72"/>
    <w:rsid w:val="00683BDD"/>
    <w:rsid w:val="00684212"/>
    <w:rsid w:val="006848FA"/>
    <w:rsid w:val="006851AD"/>
    <w:rsid w:val="00685573"/>
    <w:rsid w:val="006856E7"/>
    <w:rsid w:val="00685D77"/>
    <w:rsid w:val="006865CC"/>
    <w:rsid w:val="006869E7"/>
    <w:rsid w:val="00686A51"/>
    <w:rsid w:val="00686B1E"/>
    <w:rsid w:val="00686C81"/>
    <w:rsid w:val="00687501"/>
    <w:rsid w:val="00691B41"/>
    <w:rsid w:val="00691D50"/>
    <w:rsid w:val="00694DD7"/>
    <w:rsid w:val="00694FEB"/>
    <w:rsid w:val="00695219"/>
    <w:rsid w:val="00695808"/>
    <w:rsid w:val="00695BD4"/>
    <w:rsid w:val="00695D20"/>
    <w:rsid w:val="00696059"/>
    <w:rsid w:val="006962ED"/>
    <w:rsid w:val="006A07DA"/>
    <w:rsid w:val="006A249C"/>
    <w:rsid w:val="006A3501"/>
    <w:rsid w:val="006A3A12"/>
    <w:rsid w:val="006A3D54"/>
    <w:rsid w:val="006A4400"/>
    <w:rsid w:val="006A46EC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A7869"/>
    <w:rsid w:val="006B00E4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1C80"/>
    <w:rsid w:val="006C2230"/>
    <w:rsid w:val="006C23C5"/>
    <w:rsid w:val="006C36B0"/>
    <w:rsid w:val="006C525C"/>
    <w:rsid w:val="006C5DFF"/>
    <w:rsid w:val="006C6105"/>
    <w:rsid w:val="006C6987"/>
    <w:rsid w:val="006C7942"/>
    <w:rsid w:val="006D260C"/>
    <w:rsid w:val="006D2C67"/>
    <w:rsid w:val="006D3415"/>
    <w:rsid w:val="006D3F6E"/>
    <w:rsid w:val="006D4545"/>
    <w:rsid w:val="006D527A"/>
    <w:rsid w:val="006D5EB9"/>
    <w:rsid w:val="006D6F86"/>
    <w:rsid w:val="006D7C59"/>
    <w:rsid w:val="006E04E0"/>
    <w:rsid w:val="006E179A"/>
    <w:rsid w:val="006E21FB"/>
    <w:rsid w:val="006E2457"/>
    <w:rsid w:val="006E290D"/>
    <w:rsid w:val="006E3232"/>
    <w:rsid w:val="006E39AB"/>
    <w:rsid w:val="006E3BD6"/>
    <w:rsid w:val="006E4B28"/>
    <w:rsid w:val="006E4BFC"/>
    <w:rsid w:val="006E5E33"/>
    <w:rsid w:val="006E6811"/>
    <w:rsid w:val="006E717C"/>
    <w:rsid w:val="006E74AC"/>
    <w:rsid w:val="006E75D0"/>
    <w:rsid w:val="006E7617"/>
    <w:rsid w:val="006F2422"/>
    <w:rsid w:val="006F4E3B"/>
    <w:rsid w:val="006F58D7"/>
    <w:rsid w:val="00700B53"/>
    <w:rsid w:val="0070133B"/>
    <w:rsid w:val="00701AC2"/>
    <w:rsid w:val="00701AD5"/>
    <w:rsid w:val="0070289E"/>
    <w:rsid w:val="00703958"/>
    <w:rsid w:val="007042A8"/>
    <w:rsid w:val="00706F35"/>
    <w:rsid w:val="00707980"/>
    <w:rsid w:val="0071247A"/>
    <w:rsid w:val="00712626"/>
    <w:rsid w:val="0071284C"/>
    <w:rsid w:val="00712AC0"/>
    <w:rsid w:val="0071394D"/>
    <w:rsid w:val="00714064"/>
    <w:rsid w:val="0071521F"/>
    <w:rsid w:val="0071612A"/>
    <w:rsid w:val="00716ED0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D28"/>
    <w:rsid w:val="00726ECB"/>
    <w:rsid w:val="00727225"/>
    <w:rsid w:val="007276A6"/>
    <w:rsid w:val="00727769"/>
    <w:rsid w:val="00727CEE"/>
    <w:rsid w:val="00731720"/>
    <w:rsid w:val="00731F21"/>
    <w:rsid w:val="007321BB"/>
    <w:rsid w:val="007325F2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AC"/>
    <w:rsid w:val="00742CC1"/>
    <w:rsid w:val="007432CE"/>
    <w:rsid w:val="007437B8"/>
    <w:rsid w:val="0074479D"/>
    <w:rsid w:val="00744990"/>
    <w:rsid w:val="00744CA2"/>
    <w:rsid w:val="00744EB6"/>
    <w:rsid w:val="00744F16"/>
    <w:rsid w:val="00745153"/>
    <w:rsid w:val="0074543D"/>
    <w:rsid w:val="0074670D"/>
    <w:rsid w:val="00746865"/>
    <w:rsid w:val="00746ED2"/>
    <w:rsid w:val="007479BA"/>
    <w:rsid w:val="00747C66"/>
    <w:rsid w:val="007501BA"/>
    <w:rsid w:val="00752F89"/>
    <w:rsid w:val="0075444F"/>
    <w:rsid w:val="00755505"/>
    <w:rsid w:val="00755E94"/>
    <w:rsid w:val="007561EB"/>
    <w:rsid w:val="0075658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0FF"/>
    <w:rsid w:val="0077617A"/>
    <w:rsid w:val="007771DB"/>
    <w:rsid w:val="007775F0"/>
    <w:rsid w:val="00777611"/>
    <w:rsid w:val="00781881"/>
    <w:rsid w:val="00782C3B"/>
    <w:rsid w:val="007835F8"/>
    <w:rsid w:val="00784090"/>
    <w:rsid w:val="0078457C"/>
    <w:rsid w:val="00785034"/>
    <w:rsid w:val="00785159"/>
    <w:rsid w:val="0078593C"/>
    <w:rsid w:val="00785D52"/>
    <w:rsid w:val="007867AA"/>
    <w:rsid w:val="00786A49"/>
    <w:rsid w:val="007874C4"/>
    <w:rsid w:val="007877F3"/>
    <w:rsid w:val="007906CE"/>
    <w:rsid w:val="00791748"/>
    <w:rsid w:val="00792342"/>
    <w:rsid w:val="0079299C"/>
    <w:rsid w:val="007931DC"/>
    <w:rsid w:val="0079473F"/>
    <w:rsid w:val="00794E2A"/>
    <w:rsid w:val="00795607"/>
    <w:rsid w:val="007967DA"/>
    <w:rsid w:val="007977A8"/>
    <w:rsid w:val="00797952"/>
    <w:rsid w:val="007A01E0"/>
    <w:rsid w:val="007A02AC"/>
    <w:rsid w:val="007A070E"/>
    <w:rsid w:val="007A0F48"/>
    <w:rsid w:val="007A208E"/>
    <w:rsid w:val="007A2295"/>
    <w:rsid w:val="007A312F"/>
    <w:rsid w:val="007A3F5B"/>
    <w:rsid w:val="007A5FC0"/>
    <w:rsid w:val="007A6178"/>
    <w:rsid w:val="007A654F"/>
    <w:rsid w:val="007A7642"/>
    <w:rsid w:val="007B2121"/>
    <w:rsid w:val="007B2457"/>
    <w:rsid w:val="007B2555"/>
    <w:rsid w:val="007B512A"/>
    <w:rsid w:val="007B5982"/>
    <w:rsid w:val="007B5984"/>
    <w:rsid w:val="007B651A"/>
    <w:rsid w:val="007B716E"/>
    <w:rsid w:val="007C1BDB"/>
    <w:rsid w:val="007C2097"/>
    <w:rsid w:val="007C22CB"/>
    <w:rsid w:val="007C2502"/>
    <w:rsid w:val="007C2C84"/>
    <w:rsid w:val="007C314D"/>
    <w:rsid w:val="007C378E"/>
    <w:rsid w:val="007C37A2"/>
    <w:rsid w:val="007C59FF"/>
    <w:rsid w:val="007C5D65"/>
    <w:rsid w:val="007C7555"/>
    <w:rsid w:val="007D013D"/>
    <w:rsid w:val="007D0377"/>
    <w:rsid w:val="007D03E9"/>
    <w:rsid w:val="007D1597"/>
    <w:rsid w:val="007D1850"/>
    <w:rsid w:val="007D1BC6"/>
    <w:rsid w:val="007D283B"/>
    <w:rsid w:val="007D2D10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E51BB"/>
    <w:rsid w:val="007F27EC"/>
    <w:rsid w:val="007F401D"/>
    <w:rsid w:val="007F6B0F"/>
    <w:rsid w:val="007F6DED"/>
    <w:rsid w:val="007F702F"/>
    <w:rsid w:val="007F7259"/>
    <w:rsid w:val="00800DBB"/>
    <w:rsid w:val="00801220"/>
    <w:rsid w:val="00801C42"/>
    <w:rsid w:val="00801FA1"/>
    <w:rsid w:val="00802102"/>
    <w:rsid w:val="00802116"/>
    <w:rsid w:val="0080211A"/>
    <w:rsid w:val="00802D08"/>
    <w:rsid w:val="008038AB"/>
    <w:rsid w:val="008040A8"/>
    <w:rsid w:val="0080454E"/>
    <w:rsid w:val="008049F3"/>
    <w:rsid w:val="00807506"/>
    <w:rsid w:val="00807551"/>
    <w:rsid w:val="00807CDC"/>
    <w:rsid w:val="00807E57"/>
    <w:rsid w:val="008104BD"/>
    <w:rsid w:val="0081057B"/>
    <w:rsid w:val="00810D65"/>
    <w:rsid w:val="008115C0"/>
    <w:rsid w:val="00811925"/>
    <w:rsid w:val="00812D21"/>
    <w:rsid w:val="0081301A"/>
    <w:rsid w:val="00813071"/>
    <w:rsid w:val="00814457"/>
    <w:rsid w:val="008144B4"/>
    <w:rsid w:val="008147BB"/>
    <w:rsid w:val="00814E10"/>
    <w:rsid w:val="00814FBE"/>
    <w:rsid w:val="0081502A"/>
    <w:rsid w:val="0081560F"/>
    <w:rsid w:val="00815ED3"/>
    <w:rsid w:val="00816635"/>
    <w:rsid w:val="00816D21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27EB7"/>
    <w:rsid w:val="00831D68"/>
    <w:rsid w:val="008328A3"/>
    <w:rsid w:val="00833000"/>
    <w:rsid w:val="00834583"/>
    <w:rsid w:val="0083591C"/>
    <w:rsid w:val="00836037"/>
    <w:rsid w:val="0083736D"/>
    <w:rsid w:val="0084047D"/>
    <w:rsid w:val="0084172D"/>
    <w:rsid w:val="00841796"/>
    <w:rsid w:val="00842715"/>
    <w:rsid w:val="008436D0"/>
    <w:rsid w:val="00845047"/>
    <w:rsid w:val="008459D1"/>
    <w:rsid w:val="00845A77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2035"/>
    <w:rsid w:val="00852570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198E"/>
    <w:rsid w:val="008619B7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9E7"/>
    <w:rsid w:val="00870EE7"/>
    <w:rsid w:val="0087133E"/>
    <w:rsid w:val="00871698"/>
    <w:rsid w:val="00871720"/>
    <w:rsid w:val="00873CAE"/>
    <w:rsid w:val="008756B7"/>
    <w:rsid w:val="0087691B"/>
    <w:rsid w:val="00880B53"/>
    <w:rsid w:val="00883022"/>
    <w:rsid w:val="00885849"/>
    <w:rsid w:val="00886185"/>
    <w:rsid w:val="008863B9"/>
    <w:rsid w:val="00887E1A"/>
    <w:rsid w:val="00891E44"/>
    <w:rsid w:val="008923C2"/>
    <w:rsid w:val="0089247C"/>
    <w:rsid w:val="00892B3B"/>
    <w:rsid w:val="008931A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19EA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38"/>
    <w:rsid w:val="008C1062"/>
    <w:rsid w:val="008C501E"/>
    <w:rsid w:val="008C5975"/>
    <w:rsid w:val="008C6C73"/>
    <w:rsid w:val="008C7220"/>
    <w:rsid w:val="008D015B"/>
    <w:rsid w:val="008D060A"/>
    <w:rsid w:val="008D270A"/>
    <w:rsid w:val="008D4D3B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E73FD"/>
    <w:rsid w:val="008F0813"/>
    <w:rsid w:val="008F1032"/>
    <w:rsid w:val="008F247A"/>
    <w:rsid w:val="008F25BD"/>
    <w:rsid w:val="008F3789"/>
    <w:rsid w:val="008F4245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5E1C"/>
    <w:rsid w:val="00906AC8"/>
    <w:rsid w:val="00910475"/>
    <w:rsid w:val="00911909"/>
    <w:rsid w:val="009127E2"/>
    <w:rsid w:val="00912BD6"/>
    <w:rsid w:val="00912FE0"/>
    <w:rsid w:val="00913C59"/>
    <w:rsid w:val="009148DE"/>
    <w:rsid w:val="009148FD"/>
    <w:rsid w:val="00915B96"/>
    <w:rsid w:val="00915C3E"/>
    <w:rsid w:val="009161CC"/>
    <w:rsid w:val="00916F0D"/>
    <w:rsid w:val="00917017"/>
    <w:rsid w:val="009174BC"/>
    <w:rsid w:val="00920313"/>
    <w:rsid w:val="00920F8B"/>
    <w:rsid w:val="00921730"/>
    <w:rsid w:val="00921E97"/>
    <w:rsid w:val="00922FA1"/>
    <w:rsid w:val="009246A0"/>
    <w:rsid w:val="00924D64"/>
    <w:rsid w:val="009262A9"/>
    <w:rsid w:val="009265CE"/>
    <w:rsid w:val="00926F01"/>
    <w:rsid w:val="00927E76"/>
    <w:rsid w:val="009319D2"/>
    <w:rsid w:val="009323C7"/>
    <w:rsid w:val="009330F1"/>
    <w:rsid w:val="00934444"/>
    <w:rsid w:val="00936B16"/>
    <w:rsid w:val="009378A7"/>
    <w:rsid w:val="009400A3"/>
    <w:rsid w:val="00941E30"/>
    <w:rsid w:val="00946946"/>
    <w:rsid w:val="009500E7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3CA4"/>
    <w:rsid w:val="0098588C"/>
    <w:rsid w:val="009858A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A21FE"/>
    <w:rsid w:val="009A40A7"/>
    <w:rsid w:val="009A5753"/>
    <w:rsid w:val="009A579D"/>
    <w:rsid w:val="009A6335"/>
    <w:rsid w:val="009A719C"/>
    <w:rsid w:val="009B0A16"/>
    <w:rsid w:val="009B0AFE"/>
    <w:rsid w:val="009B0F42"/>
    <w:rsid w:val="009B3132"/>
    <w:rsid w:val="009B33DC"/>
    <w:rsid w:val="009B62B7"/>
    <w:rsid w:val="009B68DF"/>
    <w:rsid w:val="009B7FF1"/>
    <w:rsid w:val="009C1CCC"/>
    <w:rsid w:val="009C2E5C"/>
    <w:rsid w:val="009C2E95"/>
    <w:rsid w:val="009C2EA4"/>
    <w:rsid w:val="009C4055"/>
    <w:rsid w:val="009C6080"/>
    <w:rsid w:val="009C68F2"/>
    <w:rsid w:val="009C6A89"/>
    <w:rsid w:val="009C7308"/>
    <w:rsid w:val="009C7B9B"/>
    <w:rsid w:val="009D1C50"/>
    <w:rsid w:val="009D4605"/>
    <w:rsid w:val="009D47CD"/>
    <w:rsid w:val="009D59BF"/>
    <w:rsid w:val="009D5B6F"/>
    <w:rsid w:val="009D7824"/>
    <w:rsid w:val="009D7F3E"/>
    <w:rsid w:val="009E1EC6"/>
    <w:rsid w:val="009E1F59"/>
    <w:rsid w:val="009E24D3"/>
    <w:rsid w:val="009E3297"/>
    <w:rsid w:val="009E35B6"/>
    <w:rsid w:val="009E3F78"/>
    <w:rsid w:val="009E7C85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1077"/>
    <w:rsid w:val="00A048A8"/>
    <w:rsid w:val="00A04BA6"/>
    <w:rsid w:val="00A0521D"/>
    <w:rsid w:val="00A06509"/>
    <w:rsid w:val="00A06A94"/>
    <w:rsid w:val="00A07A11"/>
    <w:rsid w:val="00A07C03"/>
    <w:rsid w:val="00A10514"/>
    <w:rsid w:val="00A108E4"/>
    <w:rsid w:val="00A1092A"/>
    <w:rsid w:val="00A11009"/>
    <w:rsid w:val="00A1169F"/>
    <w:rsid w:val="00A1403E"/>
    <w:rsid w:val="00A14582"/>
    <w:rsid w:val="00A20127"/>
    <w:rsid w:val="00A22EA8"/>
    <w:rsid w:val="00A23891"/>
    <w:rsid w:val="00A23C69"/>
    <w:rsid w:val="00A241B2"/>
    <w:rsid w:val="00A2424F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2709"/>
    <w:rsid w:val="00A430AE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62BB0"/>
    <w:rsid w:val="00A634A2"/>
    <w:rsid w:val="00A64B7A"/>
    <w:rsid w:val="00A64F05"/>
    <w:rsid w:val="00A65B1F"/>
    <w:rsid w:val="00A66B8B"/>
    <w:rsid w:val="00A7209C"/>
    <w:rsid w:val="00A72632"/>
    <w:rsid w:val="00A73BA7"/>
    <w:rsid w:val="00A73D14"/>
    <w:rsid w:val="00A74100"/>
    <w:rsid w:val="00A753D9"/>
    <w:rsid w:val="00A75434"/>
    <w:rsid w:val="00A7547B"/>
    <w:rsid w:val="00A7671C"/>
    <w:rsid w:val="00A7748D"/>
    <w:rsid w:val="00A80335"/>
    <w:rsid w:val="00A8045B"/>
    <w:rsid w:val="00A81660"/>
    <w:rsid w:val="00A822B4"/>
    <w:rsid w:val="00A826F8"/>
    <w:rsid w:val="00A82DE5"/>
    <w:rsid w:val="00A82EDF"/>
    <w:rsid w:val="00A83849"/>
    <w:rsid w:val="00A84ED1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50EF"/>
    <w:rsid w:val="00A96015"/>
    <w:rsid w:val="00A96503"/>
    <w:rsid w:val="00A96756"/>
    <w:rsid w:val="00A96939"/>
    <w:rsid w:val="00A96993"/>
    <w:rsid w:val="00A96F85"/>
    <w:rsid w:val="00AA0F6E"/>
    <w:rsid w:val="00AA200F"/>
    <w:rsid w:val="00AA2CBC"/>
    <w:rsid w:val="00AA3001"/>
    <w:rsid w:val="00AA3EB8"/>
    <w:rsid w:val="00AA3F36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0177"/>
    <w:rsid w:val="00AB20E8"/>
    <w:rsid w:val="00AB2421"/>
    <w:rsid w:val="00AB2650"/>
    <w:rsid w:val="00AB3A8B"/>
    <w:rsid w:val="00AB3B60"/>
    <w:rsid w:val="00AB42D1"/>
    <w:rsid w:val="00AB43FE"/>
    <w:rsid w:val="00AB5624"/>
    <w:rsid w:val="00AB5A1A"/>
    <w:rsid w:val="00AC0D08"/>
    <w:rsid w:val="00AC1691"/>
    <w:rsid w:val="00AC1C9C"/>
    <w:rsid w:val="00AC5820"/>
    <w:rsid w:val="00AC62A2"/>
    <w:rsid w:val="00AC74AF"/>
    <w:rsid w:val="00AC754E"/>
    <w:rsid w:val="00AD0047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5CD6"/>
    <w:rsid w:val="00AD5EC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695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140"/>
    <w:rsid w:val="00AF7752"/>
    <w:rsid w:val="00AF7870"/>
    <w:rsid w:val="00B0143A"/>
    <w:rsid w:val="00B018C3"/>
    <w:rsid w:val="00B02FA5"/>
    <w:rsid w:val="00B03DFE"/>
    <w:rsid w:val="00B03F17"/>
    <w:rsid w:val="00B05AE6"/>
    <w:rsid w:val="00B05CAC"/>
    <w:rsid w:val="00B0612C"/>
    <w:rsid w:val="00B06436"/>
    <w:rsid w:val="00B0679C"/>
    <w:rsid w:val="00B0737F"/>
    <w:rsid w:val="00B116D8"/>
    <w:rsid w:val="00B12882"/>
    <w:rsid w:val="00B13B40"/>
    <w:rsid w:val="00B165FF"/>
    <w:rsid w:val="00B20858"/>
    <w:rsid w:val="00B21036"/>
    <w:rsid w:val="00B226B1"/>
    <w:rsid w:val="00B2272C"/>
    <w:rsid w:val="00B23F4E"/>
    <w:rsid w:val="00B258BB"/>
    <w:rsid w:val="00B26B8D"/>
    <w:rsid w:val="00B27075"/>
    <w:rsid w:val="00B2721F"/>
    <w:rsid w:val="00B2795D"/>
    <w:rsid w:val="00B316A4"/>
    <w:rsid w:val="00B32C69"/>
    <w:rsid w:val="00B3422F"/>
    <w:rsid w:val="00B348DB"/>
    <w:rsid w:val="00B34EDB"/>
    <w:rsid w:val="00B35053"/>
    <w:rsid w:val="00B35605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2BAA"/>
    <w:rsid w:val="00B43659"/>
    <w:rsid w:val="00B43B6A"/>
    <w:rsid w:val="00B44AEE"/>
    <w:rsid w:val="00B452E6"/>
    <w:rsid w:val="00B46564"/>
    <w:rsid w:val="00B466A8"/>
    <w:rsid w:val="00B46B4E"/>
    <w:rsid w:val="00B50819"/>
    <w:rsid w:val="00B51ADD"/>
    <w:rsid w:val="00B51C91"/>
    <w:rsid w:val="00B51F64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5774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691"/>
    <w:rsid w:val="00B92DA0"/>
    <w:rsid w:val="00B93124"/>
    <w:rsid w:val="00B93C2F"/>
    <w:rsid w:val="00B950D1"/>
    <w:rsid w:val="00B968C8"/>
    <w:rsid w:val="00B96B9E"/>
    <w:rsid w:val="00B97DE5"/>
    <w:rsid w:val="00B97FCB"/>
    <w:rsid w:val="00BA0CA4"/>
    <w:rsid w:val="00BA295C"/>
    <w:rsid w:val="00BA2AB2"/>
    <w:rsid w:val="00BA3586"/>
    <w:rsid w:val="00BA3EC5"/>
    <w:rsid w:val="00BA3F23"/>
    <w:rsid w:val="00BA42FF"/>
    <w:rsid w:val="00BA4CB4"/>
    <w:rsid w:val="00BA51D9"/>
    <w:rsid w:val="00BA60D8"/>
    <w:rsid w:val="00BA6299"/>
    <w:rsid w:val="00BA6341"/>
    <w:rsid w:val="00BA69BA"/>
    <w:rsid w:val="00BA79B4"/>
    <w:rsid w:val="00BB012D"/>
    <w:rsid w:val="00BB0D30"/>
    <w:rsid w:val="00BB1077"/>
    <w:rsid w:val="00BB1D22"/>
    <w:rsid w:val="00BB2B72"/>
    <w:rsid w:val="00BB3170"/>
    <w:rsid w:val="00BB39A7"/>
    <w:rsid w:val="00BB44AD"/>
    <w:rsid w:val="00BB4EF6"/>
    <w:rsid w:val="00BB51C1"/>
    <w:rsid w:val="00BB5DFC"/>
    <w:rsid w:val="00BB7218"/>
    <w:rsid w:val="00BC0000"/>
    <w:rsid w:val="00BC0289"/>
    <w:rsid w:val="00BC08CA"/>
    <w:rsid w:val="00BC0AE5"/>
    <w:rsid w:val="00BC22C7"/>
    <w:rsid w:val="00BC2476"/>
    <w:rsid w:val="00BC29CC"/>
    <w:rsid w:val="00BC2F24"/>
    <w:rsid w:val="00BC5E28"/>
    <w:rsid w:val="00BC64B2"/>
    <w:rsid w:val="00BC7529"/>
    <w:rsid w:val="00BD04E1"/>
    <w:rsid w:val="00BD08A6"/>
    <w:rsid w:val="00BD0E7F"/>
    <w:rsid w:val="00BD1AC2"/>
    <w:rsid w:val="00BD279D"/>
    <w:rsid w:val="00BD2D70"/>
    <w:rsid w:val="00BD333C"/>
    <w:rsid w:val="00BD39AB"/>
    <w:rsid w:val="00BD57F6"/>
    <w:rsid w:val="00BD5F8D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0D52"/>
    <w:rsid w:val="00BF563C"/>
    <w:rsid w:val="00BF5B55"/>
    <w:rsid w:val="00BF7F8C"/>
    <w:rsid w:val="00C002F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06FDF"/>
    <w:rsid w:val="00C07BAD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198"/>
    <w:rsid w:val="00C2330A"/>
    <w:rsid w:val="00C23705"/>
    <w:rsid w:val="00C23F08"/>
    <w:rsid w:val="00C24E9D"/>
    <w:rsid w:val="00C2626B"/>
    <w:rsid w:val="00C302E3"/>
    <w:rsid w:val="00C30A35"/>
    <w:rsid w:val="00C30EA5"/>
    <w:rsid w:val="00C31BD2"/>
    <w:rsid w:val="00C31E76"/>
    <w:rsid w:val="00C324D1"/>
    <w:rsid w:val="00C324D7"/>
    <w:rsid w:val="00C32776"/>
    <w:rsid w:val="00C32BD9"/>
    <w:rsid w:val="00C32DE7"/>
    <w:rsid w:val="00C35ED0"/>
    <w:rsid w:val="00C37B7A"/>
    <w:rsid w:val="00C4096B"/>
    <w:rsid w:val="00C4125D"/>
    <w:rsid w:val="00C4150B"/>
    <w:rsid w:val="00C41700"/>
    <w:rsid w:val="00C436A9"/>
    <w:rsid w:val="00C46BB3"/>
    <w:rsid w:val="00C500BE"/>
    <w:rsid w:val="00C50DB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0511"/>
    <w:rsid w:val="00C610B3"/>
    <w:rsid w:val="00C62129"/>
    <w:rsid w:val="00C642B8"/>
    <w:rsid w:val="00C643DC"/>
    <w:rsid w:val="00C646A8"/>
    <w:rsid w:val="00C64AFF"/>
    <w:rsid w:val="00C65094"/>
    <w:rsid w:val="00C667C8"/>
    <w:rsid w:val="00C669E0"/>
    <w:rsid w:val="00C66BA2"/>
    <w:rsid w:val="00C67EDE"/>
    <w:rsid w:val="00C70E41"/>
    <w:rsid w:val="00C70FF9"/>
    <w:rsid w:val="00C7192B"/>
    <w:rsid w:val="00C73CD9"/>
    <w:rsid w:val="00C740EF"/>
    <w:rsid w:val="00C74102"/>
    <w:rsid w:val="00C7472D"/>
    <w:rsid w:val="00C74ED5"/>
    <w:rsid w:val="00C75B49"/>
    <w:rsid w:val="00C7666B"/>
    <w:rsid w:val="00C76843"/>
    <w:rsid w:val="00C7706E"/>
    <w:rsid w:val="00C774E5"/>
    <w:rsid w:val="00C80001"/>
    <w:rsid w:val="00C8055A"/>
    <w:rsid w:val="00C811A0"/>
    <w:rsid w:val="00C81469"/>
    <w:rsid w:val="00C82125"/>
    <w:rsid w:val="00C837D3"/>
    <w:rsid w:val="00C83C55"/>
    <w:rsid w:val="00C85F00"/>
    <w:rsid w:val="00C85F04"/>
    <w:rsid w:val="00C86A03"/>
    <w:rsid w:val="00C87AB5"/>
    <w:rsid w:val="00C90702"/>
    <w:rsid w:val="00C9153D"/>
    <w:rsid w:val="00C925F8"/>
    <w:rsid w:val="00C92873"/>
    <w:rsid w:val="00C9293F"/>
    <w:rsid w:val="00C92C7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A3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9B6"/>
    <w:rsid w:val="00CB7AB1"/>
    <w:rsid w:val="00CC043E"/>
    <w:rsid w:val="00CC1EF3"/>
    <w:rsid w:val="00CC3193"/>
    <w:rsid w:val="00CC3E83"/>
    <w:rsid w:val="00CC4026"/>
    <w:rsid w:val="00CC4BF1"/>
    <w:rsid w:val="00CC4DFE"/>
    <w:rsid w:val="00CC4E8D"/>
    <w:rsid w:val="00CC5026"/>
    <w:rsid w:val="00CC68D0"/>
    <w:rsid w:val="00CD14FA"/>
    <w:rsid w:val="00CD1FCA"/>
    <w:rsid w:val="00CD270A"/>
    <w:rsid w:val="00CD428A"/>
    <w:rsid w:val="00CD4637"/>
    <w:rsid w:val="00CD4959"/>
    <w:rsid w:val="00CD506E"/>
    <w:rsid w:val="00CD7F82"/>
    <w:rsid w:val="00CE1C5F"/>
    <w:rsid w:val="00CE2E03"/>
    <w:rsid w:val="00CE4CD4"/>
    <w:rsid w:val="00CE5269"/>
    <w:rsid w:val="00CE7E26"/>
    <w:rsid w:val="00CF0F99"/>
    <w:rsid w:val="00CF444A"/>
    <w:rsid w:val="00CF47DE"/>
    <w:rsid w:val="00CF48DF"/>
    <w:rsid w:val="00CF52A1"/>
    <w:rsid w:val="00CF5D2C"/>
    <w:rsid w:val="00CF62AA"/>
    <w:rsid w:val="00CF633B"/>
    <w:rsid w:val="00D00440"/>
    <w:rsid w:val="00D01092"/>
    <w:rsid w:val="00D012A1"/>
    <w:rsid w:val="00D03124"/>
    <w:rsid w:val="00D03CCD"/>
    <w:rsid w:val="00D03F9A"/>
    <w:rsid w:val="00D06D51"/>
    <w:rsid w:val="00D10421"/>
    <w:rsid w:val="00D10910"/>
    <w:rsid w:val="00D10BCA"/>
    <w:rsid w:val="00D115FC"/>
    <w:rsid w:val="00D1228C"/>
    <w:rsid w:val="00D1296F"/>
    <w:rsid w:val="00D13A3C"/>
    <w:rsid w:val="00D13B76"/>
    <w:rsid w:val="00D14D69"/>
    <w:rsid w:val="00D15F9F"/>
    <w:rsid w:val="00D16BF4"/>
    <w:rsid w:val="00D20461"/>
    <w:rsid w:val="00D206D7"/>
    <w:rsid w:val="00D21557"/>
    <w:rsid w:val="00D21AB1"/>
    <w:rsid w:val="00D21F32"/>
    <w:rsid w:val="00D222D8"/>
    <w:rsid w:val="00D2381D"/>
    <w:rsid w:val="00D24567"/>
    <w:rsid w:val="00D24991"/>
    <w:rsid w:val="00D25828"/>
    <w:rsid w:val="00D2598B"/>
    <w:rsid w:val="00D25C70"/>
    <w:rsid w:val="00D26AF1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35E"/>
    <w:rsid w:val="00D637B7"/>
    <w:rsid w:val="00D639C7"/>
    <w:rsid w:val="00D63E86"/>
    <w:rsid w:val="00D65067"/>
    <w:rsid w:val="00D66520"/>
    <w:rsid w:val="00D673CF"/>
    <w:rsid w:val="00D6756A"/>
    <w:rsid w:val="00D67C38"/>
    <w:rsid w:val="00D70D60"/>
    <w:rsid w:val="00D70E57"/>
    <w:rsid w:val="00D7102B"/>
    <w:rsid w:val="00D7192F"/>
    <w:rsid w:val="00D7239E"/>
    <w:rsid w:val="00D73729"/>
    <w:rsid w:val="00D7437D"/>
    <w:rsid w:val="00D745C6"/>
    <w:rsid w:val="00D77390"/>
    <w:rsid w:val="00D80EA4"/>
    <w:rsid w:val="00D8190C"/>
    <w:rsid w:val="00D822FA"/>
    <w:rsid w:val="00D82E84"/>
    <w:rsid w:val="00D82F87"/>
    <w:rsid w:val="00D832D7"/>
    <w:rsid w:val="00D84C17"/>
    <w:rsid w:val="00D84D2B"/>
    <w:rsid w:val="00D850C7"/>
    <w:rsid w:val="00D85852"/>
    <w:rsid w:val="00D873FB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9DE"/>
    <w:rsid w:val="00D97C1D"/>
    <w:rsid w:val="00D97E5A"/>
    <w:rsid w:val="00DA1391"/>
    <w:rsid w:val="00DA1B6C"/>
    <w:rsid w:val="00DA1F67"/>
    <w:rsid w:val="00DA21C6"/>
    <w:rsid w:val="00DA2C6C"/>
    <w:rsid w:val="00DA3049"/>
    <w:rsid w:val="00DA3F29"/>
    <w:rsid w:val="00DA4345"/>
    <w:rsid w:val="00DA4C3E"/>
    <w:rsid w:val="00DA5EA0"/>
    <w:rsid w:val="00DB0926"/>
    <w:rsid w:val="00DB1CEA"/>
    <w:rsid w:val="00DB1E19"/>
    <w:rsid w:val="00DB274C"/>
    <w:rsid w:val="00DB2AA4"/>
    <w:rsid w:val="00DB3568"/>
    <w:rsid w:val="00DB388A"/>
    <w:rsid w:val="00DB3AD5"/>
    <w:rsid w:val="00DB40F7"/>
    <w:rsid w:val="00DB43CC"/>
    <w:rsid w:val="00DB4D58"/>
    <w:rsid w:val="00DB50B6"/>
    <w:rsid w:val="00DB5262"/>
    <w:rsid w:val="00DB5B31"/>
    <w:rsid w:val="00DB63E1"/>
    <w:rsid w:val="00DB677F"/>
    <w:rsid w:val="00DB69AA"/>
    <w:rsid w:val="00DB6E63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650F"/>
    <w:rsid w:val="00DC73B5"/>
    <w:rsid w:val="00DC74D1"/>
    <w:rsid w:val="00DC7D60"/>
    <w:rsid w:val="00DC7E32"/>
    <w:rsid w:val="00DD2018"/>
    <w:rsid w:val="00DD292C"/>
    <w:rsid w:val="00DD2FA6"/>
    <w:rsid w:val="00DD359F"/>
    <w:rsid w:val="00DD3642"/>
    <w:rsid w:val="00DD4329"/>
    <w:rsid w:val="00DD44CC"/>
    <w:rsid w:val="00DD4681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ADD"/>
    <w:rsid w:val="00DE3C53"/>
    <w:rsid w:val="00DE6ECD"/>
    <w:rsid w:val="00DE701F"/>
    <w:rsid w:val="00DF111F"/>
    <w:rsid w:val="00DF114A"/>
    <w:rsid w:val="00DF16A1"/>
    <w:rsid w:val="00DF1ECE"/>
    <w:rsid w:val="00DF2111"/>
    <w:rsid w:val="00DF3D85"/>
    <w:rsid w:val="00DF72A6"/>
    <w:rsid w:val="00DF736A"/>
    <w:rsid w:val="00DF73FA"/>
    <w:rsid w:val="00DF7420"/>
    <w:rsid w:val="00DF74EF"/>
    <w:rsid w:val="00DF7B80"/>
    <w:rsid w:val="00DF7F5E"/>
    <w:rsid w:val="00E004F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1D9"/>
    <w:rsid w:val="00E11232"/>
    <w:rsid w:val="00E11488"/>
    <w:rsid w:val="00E117D7"/>
    <w:rsid w:val="00E11A9A"/>
    <w:rsid w:val="00E13F3D"/>
    <w:rsid w:val="00E14054"/>
    <w:rsid w:val="00E14C63"/>
    <w:rsid w:val="00E15575"/>
    <w:rsid w:val="00E160A3"/>
    <w:rsid w:val="00E17BAE"/>
    <w:rsid w:val="00E17C66"/>
    <w:rsid w:val="00E22AAF"/>
    <w:rsid w:val="00E25451"/>
    <w:rsid w:val="00E261AA"/>
    <w:rsid w:val="00E26B98"/>
    <w:rsid w:val="00E26F9E"/>
    <w:rsid w:val="00E314D0"/>
    <w:rsid w:val="00E316A9"/>
    <w:rsid w:val="00E31E7F"/>
    <w:rsid w:val="00E33A9F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C76"/>
    <w:rsid w:val="00E45CBE"/>
    <w:rsid w:val="00E466D2"/>
    <w:rsid w:val="00E47467"/>
    <w:rsid w:val="00E47624"/>
    <w:rsid w:val="00E51158"/>
    <w:rsid w:val="00E51934"/>
    <w:rsid w:val="00E540D1"/>
    <w:rsid w:val="00E54AE3"/>
    <w:rsid w:val="00E54ED8"/>
    <w:rsid w:val="00E5702D"/>
    <w:rsid w:val="00E579F5"/>
    <w:rsid w:val="00E60AD2"/>
    <w:rsid w:val="00E61598"/>
    <w:rsid w:val="00E62130"/>
    <w:rsid w:val="00E6394D"/>
    <w:rsid w:val="00E6464D"/>
    <w:rsid w:val="00E64B67"/>
    <w:rsid w:val="00E652D7"/>
    <w:rsid w:val="00E65A59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272"/>
    <w:rsid w:val="00E803E4"/>
    <w:rsid w:val="00E8099C"/>
    <w:rsid w:val="00E80A51"/>
    <w:rsid w:val="00E81DD5"/>
    <w:rsid w:val="00E832A7"/>
    <w:rsid w:val="00E83BBB"/>
    <w:rsid w:val="00E84F6A"/>
    <w:rsid w:val="00E856E9"/>
    <w:rsid w:val="00E87216"/>
    <w:rsid w:val="00E90D83"/>
    <w:rsid w:val="00E912A0"/>
    <w:rsid w:val="00E92247"/>
    <w:rsid w:val="00E92EDF"/>
    <w:rsid w:val="00E94B73"/>
    <w:rsid w:val="00E94C5D"/>
    <w:rsid w:val="00E952F6"/>
    <w:rsid w:val="00E96329"/>
    <w:rsid w:val="00E969FE"/>
    <w:rsid w:val="00E96B9B"/>
    <w:rsid w:val="00E96C64"/>
    <w:rsid w:val="00E96E6F"/>
    <w:rsid w:val="00EA043F"/>
    <w:rsid w:val="00EA1CD0"/>
    <w:rsid w:val="00EA2054"/>
    <w:rsid w:val="00EA3F1D"/>
    <w:rsid w:val="00EA47C6"/>
    <w:rsid w:val="00EA4BA5"/>
    <w:rsid w:val="00EA52B4"/>
    <w:rsid w:val="00EA57D6"/>
    <w:rsid w:val="00EA5FE4"/>
    <w:rsid w:val="00EA64AB"/>
    <w:rsid w:val="00EA699E"/>
    <w:rsid w:val="00EA69E8"/>
    <w:rsid w:val="00EA6A48"/>
    <w:rsid w:val="00EB09B7"/>
    <w:rsid w:val="00EB1FBA"/>
    <w:rsid w:val="00EB2D9F"/>
    <w:rsid w:val="00EB3B8B"/>
    <w:rsid w:val="00EB5C12"/>
    <w:rsid w:val="00EB691F"/>
    <w:rsid w:val="00EB7206"/>
    <w:rsid w:val="00EB7C2F"/>
    <w:rsid w:val="00EC0184"/>
    <w:rsid w:val="00EC01FA"/>
    <w:rsid w:val="00EC1221"/>
    <w:rsid w:val="00EC1F20"/>
    <w:rsid w:val="00EC26F4"/>
    <w:rsid w:val="00EC2BA3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3AA8"/>
    <w:rsid w:val="00ED410A"/>
    <w:rsid w:val="00ED41A6"/>
    <w:rsid w:val="00ED59F6"/>
    <w:rsid w:val="00ED5C6A"/>
    <w:rsid w:val="00ED5F1A"/>
    <w:rsid w:val="00ED643D"/>
    <w:rsid w:val="00EE0EBA"/>
    <w:rsid w:val="00EE1999"/>
    <w:rsid w:val="00EE1C85"/>
    <w:rsid w:val="00EE2B9E"/>
    <w:rsid w:val="00EE2DFE"/>
    <w:rsid w:val="00EE2E82"/>
    <w:rsid w:val="00EE328B"/>
    <w:rsid w:val="00EE4BDE"/>
    <w:rsid w:val="00EE4D17"/>
    <w:rsid w:val="00EE56C2"/>
    <w:rsid w:val="00EE5C88"/>
    <w:rsid w:val="00EE6934"/>
    <w:rsid w:val="00EE7D7C"/>
    <w:rsid w:val="00EF0947"/>
    <w:rsid w:val="00EF09D9"/>
    <w:rsid w:val="00EF0A76"/>
    <w:rsid w:val="00EF27D1"/>
    <w:rsid w:val="00EF3C68"/>
    <w:rsid w:val="00EF5EB4"/>
    <w:rsid w:val="00EF6266"/>
    <w:rsid w:val="00EF6DA2"/>
    <w:rsid w:val="00EF7C46"/>
    <w:rsid w:val="00F006D1"/>
    <w:rsid w:val="00F01BC7"/>
    <w:rsid w:val="00F027EF"/>
    <w:rsid w:val="00F02C2D"/>
    <w:rsid w:val="00F04A5E"/>
    <w:rsid w:val="00F052FD"/>
    <w:rsid w:val="00F069E1"/>
    <w:rsid w:val="00F10CE6"/>
    <w:rsid w:val="00F1354C"/>
    <w:rsid w:val="00F13B0B"/>
    <w:rsid w:val="00F14441"/>
    <w:rsid w:val="00F152B7"/>
    <w:rsid w:val="00F16D04"/>
    <w:rsid w:val="00F173D6"/>
    <w:rsid w:val="00F20680"/>
    <w:rsid w:val="00F208C1"/>
    <w:rsid w:val="00F20C9A"/>
    <w:rsid w:val="00F21173"/>
    <w:rsid w:val="00F21D95"/>
    <w:rsid w:val="00F248E2"/>
    <w:rsid w:val="00F25D98"/>
    <w:rsid w:val="00F26FBF"/>
    <w:rsid w:val="00F27F4E"/>
    <w:rsid w:val="00F300FB"/>
    <w:rsid w:val="00F31FDB"/>
    <w:rsid w:val="00F321B1"/>
    <w:rsid w:val="00F345F8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022"/>
    <w:rsid w:val="00F4361E"/>
    <w:rsid w:val="00F459A8"/>
    <w:rsid w:val="00F4709C"/>
    <w:rsid w:val="00F50279"/>
    <w:rsid w:val="00F51596"/>
    <w:rsid w:val="00F516D5"/>
    <w:rsid w:val="00F52F4A"/>
    <w:rsid w:val="00F53BED"/>
    <w:rsid w:val="00F54159"/>
    <w:rsid w:val="00F54279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4EF7"/>
    <w:rsid w:val="00F65772"/>
    <w:rsid w:val="00F6690B"/>
    <w:rsid w:val="00F67B5C"/>
    <w:rsid w:val="00F7081D"/>
    <w:rsid w:val="00F72BB3"/>
    <w:rsid w:val="00F73071"/>
    <w:rsid w:val="00F73C42"/>
    <w:rsid w:val="00F76C1E"/>
    <w:rsid w:val="00F8067B"/>
    <w:rsid w:val="00F80A1B"/>
    <w:rsid w:val="00F81A9F"/>
    <w:rsid w:val="00F81EE2"/>
    <w:rsid w:val="00F82D52"/>
    <w:rsid w:val="00F83AD6"/>
    <w:rsid w:val="00F85108"/>
    <w:rsid w:val="00F8511F"/>
    <w:rsid w:val="00F862DD"/>
    <w:rsid w:val="00F873FC"/>
    <w:rsid w:val="00F90700"/>
    <w:rsid w:val="00F90D9B"/>
    <w:rsid w:val="00F915AB"/>
    <w:rsid w:val="00F91693"/>
    <w:rsid w:val="00F94540"/>
    <w:rsid w:val="00F9460B"/>
    <w:rsid w:val="00F958C7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34DE"/>
    <w:rsid w:val="00FC6C65"/>
    <w:rsid w:val="00FC7101"/>
    <w:rsid w:val="00FC732D"/>
    <w:rsid w:val="00FD02E8"/>
    <w:rsid w:val="00FD069B"/>
    <w:rsid w:val="00FD1144"/>
    <w:rsid w:val="00FD1261"/>
    <w:rsid w:val="00FD1715"/>
    <w:rsid w:val="00FD3941"/>
    <w:rsid w:val="00FD5751"/>
    <w:rsid w:val="00FD5B65"/>
    <w:rsid w:val="00FD5BDC"/>
    <w:rsid w:val="00FE22FC"/>
    <w:rsid w:val="00FE2779"/>
    <w:rsid w:val="00FE497F"/>
    <w:rsid w:val="00FE4A65"/>
    <w:rsid w:val="00FE5129"/>
    <w:rsid w:val="00FE5510"/>
    <w:rsid w:val="00FE5F3C"/>
    <w:rsid w:val="00FE60F4"/>
    <w:rsid w:val="00FE6F79"/>
    <w:rsid w:val="00FE72AB"/>
    <w:rsid w:val="00FF0214"/>
    <w:rsid w:val="00FF143A"/>
    <w:rsid w:val="00FF1CD9"/>
    <w:rsid w:val="00FF2C0C"/>
    <w:rsid w:val="00FF2F6E"/>
    <w:rsid w:val="00FF350D"/>
    <w:rsid w:val="00FF3987"/>
    <w:rsid w:val="00FF3EA3"/>
    <w:rsid w:val="00FF5F10"/>
    <w:rsid w:val="00FF7205"/>
    <w:rsid w:val="24488BB6"/>
    <w:rsid w:val="32B2ACA2"/>
    <w:rsid w:val="447A0989"/>
    <w:rsid w:val="5C1E68E4"/>
    <w:rsid w:val="6E37F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7DCEA6D-4BE3-43E0-BF41-19A43797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3462</TotalTime>
  <Pages>6</Pages>
  <Words>2078</Words>
  <Characters>11849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13900</CharactersWithSpaces>
  <SharedDoc>false</SharedDoc>
  <HLinks>
    <vt:vector size="60" baseType="variant"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_Toc165539146</vt:lpwstr>
      </vt:variant>
      <vt:variant>
        <vt:i4>1638454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_Toc165539145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_Toc165539144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_Toc165539143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_Toc165539142</vt:lpwstr>
      </vt:variant>
      <vt:variant>
        <vt:i4>1638454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_Toc165539141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_Toc165539139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_Toc165539138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_Toc165539137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_Toc165539136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1218</cp:revision>
  <cp:lastPrinted>1900-01-01T08:00:00Z</cp:lastPrinted>
  <dcterms:created xsi:type="dcterms:W3CDTF">2023-09-04T13:04:00Z</dcterms:created>
  <dcterms:modified xsi:type="dcterms:W3CDTF">2024-05-10T06:24:00Z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