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3CB2DD5A" w:rsidR="00F305CC" w:rsidRDefault="00F305CC" w:rsidP="00F305CC">
      <w:pPr>
        <w:pStyle w:val="1"/>
      </w:pPr>
      <w:r w:rsidRPr="00320A6B">
        <w:t>2</w:t>
      </w:r>
      <w:r w:rsidRPr="00320A6B">
        <w:tab/>
      </w:r>
      <w:r w:rsidR="00874B7A">
        <w:t>Proposals</w:t>
      </w:r>
    </w:p>
    <w:p w14:paraId="33F17BA9" w14:textId="4BF3485C" w:rsidR="002E761B" w:rsidRDefault="00874B7A" w:rsidP="00BE1061">
      <w:pPr>
        <w:spacing w:before="120" w:after="120"/>
        <w:rPr>
          <w:b/>
          <w:bCs/>
        </w:rPr>
      </w:pPr>
      <w:r>
        <w:rPr>
          <w:b/>
          <w:bCs/>
        </w:rPr>
        <w:t>The following is proposed:</w:t>
      </w:r>
    </w:p>
    <w:p w14:paraId="60943ED1" w14:textId="49BAF376" w:rsidR="00874B7A" w:rsidRDefault="00874B7A" w:rsidP="00BE1061">
      <w:pPr>
        <w:spacing w:before="120" w:after="120"/>
        <w:rPr>
          <w:b/>
          <w:bCs/>
        </w:rPr>
      </w:pPr>
      <w:r>
        <w:rPr>
          <w:b/>
          <w:bCs/>
        </w:rPr>
        <w:t>…</w:t>
      </w:r>
    </w:p>
    <w:p w14:paraId="23DA704C" w14:textId="0A9003F9" w:rsidR="0096408F" w:rsidRDefault="008F5665" w:rsidP="0096408F">
      <w:pPr>
        <w:pStyle w:val="1"/>
      </w:pPr>
      <w:r>
        <w:t>3</w:t>
      </w:r>
      <w:r>
        <w:tab/>
        <w:t>Discussion</w:t>
      </w:r>
    </w:p>
    <w:p w14:paraId="3C4B0B7B" w14:textId="130E1C6E" w:rsidR="00913255" w:rsidRPr="00913255" w:rsidRDefault="00976F11" w:rsidP="00976F11">
      <w:pPr>
        <w:pStyle w:val="2"/>
      </w:pPr>
      <w:r w:rsidRPr="00976F11">
        <w:t>3.1</w:t>
      </w:r>
      <w:r>
        <w:tab/>
      </w:r>
      <w:r w:rsidR="00913255" w:rsidRPr="00976F11">
        <w:t>High level issues and stage 2</w:t>
      </w:r>
    </w:p>
    <w:p w14:paraId="45CBAD31" w14:textId="0208C54D" w:rsidR="000F1A15" w:rsidRDefault="000F1A15" w:rsidP="00B40B51">
      <w:pPr>
        <w:pStyle w:val="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0BDBECBD" w:rsidR="00811919" w:rsidRPr="00422058" w:rsidRDefault="00422058" w:rsidP="00A55BA3">
      <w:pPr>
        <w:snapToGrid w:val="0"/>
        <w:spacing w:before="120" w:after="120"/>
        <w:rPr>
          <w:bCs/>
          <w:color w:val="C45911" w:themeColor="accent2" w:themeShade="BF"/>
          <w:lang w:val="en-US" w:eastAsia="zh-CN"/>
        </w:rPr>
      </w:pPr>
      <w:r w:rsidRPr="00422058">
        <w:rPr>
          <w:rFonts w:hint="eastAsia"/>
          <w:bCs/>
          <w:color w:val="C45911" w:themeColor="accent2" w:themeShade="BF"/>
          <w:lang w:val="en-US" w:eastAsia="zh-CN"/>
        </w:rPr>
        <w:t>[</w:t>
      </w:r>
      <w:r w:rsidRPr="00422058">
        <w:rPr>
          <w:bCs/>
          <w:color w:val="C45911" w:themeColor="accent2" w:themeShade="BF"/>
          <w:lang w:val="en-US" w:eastAsia="zh-CN"/>
        </w:rPr>
        <w:t>Huawei]:</w:t>
      </w:r>
      <w:r>
        <w:rPr>
          <w:bCs/>
          <w:color w:val="C45911" w:themeColor="accent2" w:themeShade="BF"/>
          <w:lang w:val="en-US" w:eastAsia="zh-CN"/>
        </w:rPr>
        <w:t xml:space="preserve"> </w:t>
      </w:r>
      <w:r w:rsidR="009F2C2B">
        <w:rPr>
          <w:bCs/>
          <w:color w:val="C45911" w:themeColor="accent2" w:themeShade="BF"/>
          <w:lang w:val="en-US" w:eastAsia="zh-CN"/>
        </w:rPr>
        <w:t xml:space="preserve">For AI 9.1.9.2, </w:t>
      </w:r>
      <w:r>
        <w:rPr>
          <w:bCs/>
          <w:color w:val="C45911" w:themeColor="accent2" w:themeShade="BF"/>
          <w:lang w:val="en-US" w:eastAsia="zh-CN"/>
        </w:rPr>
        <w:t xml:space="preserve">Can we try to agree </w:t>
      </w:r>
      <w:r w:rsidR="009F2C2B">
        <w:rPr>
          <w:bCs/>
          <w:color w:val="C45911" w:themeColor="accent2" w:themeShade="BF"/>
          <w:lang w:val="en-US" w:eastAsia="zh-CN"/>
        </w:rPr>
        <w:t xml:space="preserve">some simple </w:t>
      </w:r>
      <w:r>
        <w:rPr>
          <w:bCs/>
          <w:color w:val="C45911" w:themeColor="accent2" w:themeShade="BF"/>
          <w:lang w:val="en-US" w:eastAsia="zh-CN"/>
        </w:rPr>
        <w:t xml:space="preserve">pure ASN.1 CRs directly </w:t>
      </w:r>
      <w:r w:rsidR="009F2C2B">
        <w:rPr>
          <w:bCs/>
          <w:color w:val="C45911" w:themeColor="accent2" w:themeShade="BF"/>
          <w:lang w:val="en-US" w:eastAsia="zh-CN"/>
        </w:rPr>
        <w:t>rather than merge them?</w:t>
      </w:r>
    </w:p>
    <w:p w14:paraId="0B409AC9" w14:textId="77777777" w:rsidR="00811919" w:rsidRDefault="00811919" w:rsidP="00A55BA3">
      <w:pPr>
        <w:snapToGrid w:val="0"/>
        <w:spacing w:before="120" w:after="120"/>
        <w:rPr>
          <w:b/>
          <w:bCs/>
          <w:highlight w:val="green"/>
          <w:lang w:val="en-US"/>
        </w:rPr>
      </w:pPr>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w:t>
      </w:r>
      <w:proofErr w:type="spellStart"/>
      <w:r w:rsidR="009B5100" w:rsidRPr="009B5100">
        <w:rPr>
          <w:lang w:val="en-US"/>
        </w:rPr>
        <w:t>mIAB</w:t>
      </w:r>
      <w:proofErr w:type="spellEnd"/>
      <w:r w:rsidR="009B5100" w:rsidRPr="009B5100">
        <w:rPr>
          <w:lang w:val="en-US"/>
        </w:rPr>
        <w:t xml:space="preserve">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3"/>
        <w:rPr>
          <w:lang w:val="en-US"/>
        </w:rPr>
      </w:pPr>
      <w:r w:rsidRPr="00B467A6">
        <w:rPr>
          <w:highlight w:val="green"/>
          <w:lang w:val="en-US"/>
        </w:rPr>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 xml:space="preserve">CU can request from </w:t>
      </w:r>
      <w:proofErr w:type="spellStart"/>
      <w:r w:rsidR="00803A21" w:rsidRPr="00803A21">
        <w:rPr>
          <w:lang w:val="en-US"/>
        </w:rPr>
        <w:t>mIAB</w:t>
      </w:r>
      <w:proofErr w:type="spellEnd"/>
      <w:r w:rsidR="00803A21" w:rsidRPr="00803A21">
        <w:rPr>
          <w:lang w:val="en-US"/>
        </w:rPr>
        <w:t xml:space="preserve">-DU to change cell barring via </w:t>
      </w:r>
      <w:proofErr w:type="spellStart"/>
      <w:r w:rsidR="00803A21" w:rsidRPr="00803A21">
        <w:rPr>
          <w:lang w:val="en-US"/>
        </w:rPr>
        <w:t>gNB</w:t>
      </w:r>
      <w:proofErr w:type="spellEnd"/>
      <w:r w:rsidR="00803A21" w:rsidRPr="00803A21">
        <w:rPr>
          <w:lang w:val="en-US"/>
        </w:rPr>
        <w:t>-CU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w:t>
      </w:r>
      <w:proofErr w:type="spellStart"/>
      <w:r>
        <w:rPr>
          <w:lang w:val="en-US"/>
        </w:rPr>
        <w:t>gNB</w:t>
      </w:r>
      <w:proofErr w:type="spellEnd"/>
      <w:r>
        <w:rPr>
          <w:lang w:val="en-US"/>
        </w:rPr>
        <w:t xml:space="preserve">-CU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lastRenderedPageBreak/>
        <w:t xml:space="preserve">For Rel-18 </w:t>
      </w:r>
      <w:proofErr w:type="spellStart"/>
      <w:r>
        <w:rPr>
          <w:lang w:val="en-US"/>
        </w:rPr>
        <w:t>mIAB</w:t>
      </w:r>
      <w:proofErr w:type="spellEnd"/>
      <w:r>
        <w:rPr>
          <w:lang w:val="en-US"/>
        </w:rPr>
        <w:t xml:space="preserve">, the </w:t>
      </w:r>
      <w:proofErr w:type="spellStart"/>
      <w:r>
        <w:rPr>
          <w:lang w:val="en-US"/>
        </w:rPr>
        <w:t>mIAB</w:t>
      </w:r>
      <w:proofErr w:type="spellEnd"/>
      <w:r>
        <w:rPr>
          <w:lang w:val="en-US"/>
        </w:rPr>
        <w:t>-node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 xml:space="preserve">CU can request from </w:t>
      </w:r>
      <w:proofErr w:type="spellStart"/>
      <w:r w:rsidR="00803A21" w:rsidRPr="00803A21">
        <w:rPr>
          <w:b/>
          <w:bCs/>
          <w:lang w:val="en-US"/>
        </w:rPr>
        <w:t>mIAB</w:t>
      </w:r>
      <w:proofErr w:type="spellEnd"/>
      <w:r w:rsidR="00803A21" w:rsidRPr="00803A21">
        <w:rPr>
          <w:b/>
          <w:bCs/>
          <w:lang w:val="en-US"/>
        </w:rPr>
        <w:t xml:space="preserve">-DU to change cell barring via </w:t>
      </w:r>
      <w:proofErr w:type="spellStart"/>
      <w:r w:rsidR="00803A21" w:rsidRPr="00803A21">
        <w:rPr>
          <w:b/>
          <w:bCs/>
          <w:lang w:val="en-US"/>
        </w:rPr>
        <w:t>gNB</w:t>
      </w:r>
      <w:proofErr w:type="spellEnd"/>
      <w:r w:rsidR="00803A21" w:rsidRPr="00803A21">
        <w:rPr>
          <w:b/>
          <w:bCs/>
          <w:lang w:val="en-US"/>
        </w:rPr>
        <w:t>-CU Configuration Update Request (equivalent to Rel-16 IAB)</w:t>
      </w:r>
      <w:r w:rsidR="00DC7B62">
        <w:rPr>
          <w:b/>
          <w:bCs/>
          <w:lang w:val="en-US"/>
        </w:rPr>
        <w:t>.</w:t>
      </w:r>
    </w:p>
    <w:p w14:paraId="36F3E641" w14:textId="77777777" w:rsidR="007234B3" w:rsidRDefault="007234B3" w:rsidP="00D70761">
      <w:pPr>
        <w:snapToGrid w:val="0"/>
        <w:spacing w:after="120"/>
        <w:rPr>
          <w:b/>
          <w:bCs/>
          <w:lang w:val="en-US"/>
        </w:rPr>
      </w:pPr>
    </w:p>
    <w:p w14:paraId="01088026" w14:textId="30D9C4E2" w:rsidR="00D70761" w:rsidRPr="00D70761" w:rsidRDefault="00D70761" w:rsidP="00B40B51">
      <w:pPr>
        <w:pStyle w:val="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 xml:space="preserve">Passing </w:t>
      </w:r>
      <w:proofErr w:type="spellStart"/>
      <w:r w:rsidRPr="00D70761">
        <w:rPr>
          <w:lang w:val="en-US"/>
        </w:rPr>
        <w:t>mIAB</w:t>
      </w:r>
      <w:proofErr w:type="spellEnd"/>
      <w:r w:rsidRPr="00D70761">
        <w:rPr>
          <w:lang w:val="en-US"/>
        </w:rPr>
        <w:t xml:space="preserve"> authorization status indication via </w:t>
      </w:r>
      <w:proofErr w:type="spellStart"/>
      <w:r w:rsidRPr="00D70761">
        <w:rPr>
          <w:lang w:val="en-US"/>
        </w:rPr>
        <w:t>TMModification</w:t>
      </w:r>
      <w:proofErr w:type="spellEnd"/>
      <w:r w:rsidRPr="00D70761">
        <w:rPr>
          <w:lang w:val="en-US"/>
        </w:rPr>
        <w:t xml:space="preserve"> request without prior </w:t>
      </w:r>
      <w:proofErr w:type="spellStart"/>
      <w:r w:rsidRPr="00D70761">
        <w:rPr>
          <w:lang w:val="en-US"/>
        </w:rPr>
        <w:t>TMManagememt</w:t>
      </w:r>
      <w:proofErr w:type="spellEnd"/>
      <w:r w:rsidRPr="00D70761">
        <w:rPr>
          <w:lang w:val="en-US"/>
        </w:rPr>
        <w:t xml:space="preserve"> exchange</w:t>
      </w:r>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 xml:space="preserve">Qualcomm: Add to 38.401, that F1-terminating CU should always initiate the </w:t>
      </w:r>
      <w:proofErr w:type="spellStart"/>
      <w:r w:rsidR="00D70761" w:rsidRPr="00D70761">
        <w:rPr>
          <w:lang w:val="en-US"/>
        </w:rPr>
        <w:t>TMManagement</w:t>
      </w:r>
      <w:proofErr w:type="spellEnd"/>
      <w:r w:rsidR="00D70761" w:rsidRPr="00D70761">
        <w:rPr>
          <w:lang w:val="en-US"/>
        </w:rPr>
        <w:t xml:space="preserve">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xml:space="preserve">: Add to 38.401, that the RRC-terminating CU only uses the </w:t>
      </w:r>
      <w:proofErr w:type="spellStart"/>
      <w:r w:rsidR="00D70761" w:rsidRPr="00D70761">
        <w:rPr>
          <w:lang w:val="en-US"/>
        </w:rPr>
        <w:t>TMModification</w:t>
      </w:r>
      <w:proofErr w:type="spellEnd"/>
      <w:r w:rsidR="00D70761" w:rsidRPr="00D70761">
        <w:rPr>
          <w:lang w:val="en-US"/>
        </w:rPr>
        <w:t xml:space="preserve"> Request in case it has received a </w:t>
      </w:r>
      <w:proofErr w:type="spellStart"/>
      <w:r w:rsidR="00D70761" w:rsidRPr="00D70761">
        <w:rPr>
          <w:lang w:val="en-US"/>
        </w:rPr>
        <w:t>TMManagement</w:t>
      </w:r>
      <w:proofErr w:type="spellEnd"/>
      <w:r w:rsidR="00D70761" w:rsidRPr="00D70761">
        <w:rPr>
          <w:lang w:val="en-US"/>
        </w:rPr>
        <w:t xml:space="preserve"> Request before, otherwise it should use the </w:t>
      </w:r>
      <w:proofErr w:type="spellStart"/>
      <w:r w:rsidR="00D70761" w:rsidRPr="00D70761">
        <w:rPr>
          <w:lang w:val="en-US"/>
        </w:rPr>
        <w:t>TMManagement</w:t>
      </w:r>
      <w:proofErr w:type="spellEnd"/>
      <w:r w:rsidR="00D70761" w:rsidRPr="00D70761">
        <w:rPr>
          <w:lang w:val="en-US"/>
        </w:rPr>
        <w:t xml:space="preserve">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a9"/>
        <w:numPr>
          <w:ilvl w:val="0"/>
          <w:numId w:val="26"/>
        </w:numPr>
        <w:snapToGrid w:val="0"/>
        <w:spacing w:after="120"/>
        <w:rPr>
          <w:lang w:val="en-US"/>
        </w:rPr>
      </w:pPr>
      <w:r w:rsidRPr="003A4540">
        <w:rPr>
          <w:lang w:val="en-US"/>
        </w:rPr>
        <w:t xml:space="preserve">When an </w:t>
      </w:r>
      <w:proofErr w:type="spellStart"/>
      <w:r w:rsidRPr="003A4540">
        <w:rPr>
          <w:lang w:val="en-US"/>
        </w:rPr>
        <w:t>mIAB</w:t>
      </w:r>
      <w:proofErr w:type="spellEnd"/>
      <w:r w:rsidRPr="003A4540">
        <w:rPr>
          <w:lang w:val="en-US"/>
        </w:rPr>
        <w:t xml:space="preserve">-node is initially authorized, the MT’s CU establishes BH and the DU’s CU establishes F1. Without UE traffic, there may not send a </w:t>
      </w:r>
      <w:proofErr w:type="spellStart"/>
      <w:r w:rsidRPr="003A4540">
        <w:rPr>
          <w:lang w:val="en-US"/>
        </w:rPr>
        <w:t>TMManagement</w:t>
      </w:r>
      <w:proofErr w:type="spellEnd"/>
      <w:r w:rsidRPr="003A4540">
        <w:rPr>
          <w:lang w:val="en-US"/>
        </w:rPr>
        <w:t xml:space="preserve"> Request. When the </w:t>
      </w:r>
      <w:proofErr w:type="spellStart"/>
      <w:r w:rsidRPr="003A4540">
        <w:rPr>
          <w:lang w:val="en-US"/>
        </w:rPr>
        <w:t>mIAB</w:t>
      </w:r>
      <w:proofErr w:type="spellEnd"/>
      <w:r w:rsidRPr="003A4540">
        <w:rPr>
          <w:lang w:val="en-US"/>
        </w:rPr>
        <w:t xml:space="preserve">-node is then deauthorized, the MT’s CU cannot send forward the authorization status to the DU’s CU </w:t>
      </w:r>
      <w:r>
        <w:rPr>
          <w:lang w:val="en-US"/>
        </w:rPr>
        <w:t xml:space="preserve">in the </w:t>
      </w:r>
      <w:proofErr w:type="spellStart"/>
      <w:r>
        <w:rPr>
          <w:lang w:val="en-US"/>
        </w:rPr>
        <w:t>TMModification</w:t>
      </w:r>
      <w:proofErr w:type="spellEnd"/>
      <w:r>
        <w:rPr>
          <w:lang w:val="en-US"/>
        </w:rPr>
        <w:t xml:space="preserve"> Request </w:t>
      </w:r>
      <w:r w:rsidRPr="003A4540">
        <w:rPr>
          <w:lang w:val="en-US"/>
        </w:rPr>
        <w:t xml:space="preserve">since it does not have the </w:t>
      </w:r>
      <w:proofErr w:type="spellStart"/>
      <w:r w:rsidRPr="003A4540">
        <w:rPr>
          <w:lang w:val="en-US"/>
        </w:rPr>
        <w:t>XnAP</w:t>
      </w:r>
      <w:proofErr w:type="spellEnd"/>
      <w:r w:rsidRPr="003A4540">
        <w:rPr>
          <w:lang w:val="en-US"/>
        </w:rPr>
        <w:t xml:space="preserve">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 xml:space="preserve">The MT’s CU does not send the authorization status to the DU’s CU until the DU’s CU has traffic, initiates the </w:t>
      </w:r>
      <w:proofErr w:type="spellStart"/>
      <w:r w:rsidR="003A4540" w:rsidRPr="003A319C">
        <w:rPr>
          <w:lang w:val="en-US"/>
        </w:rPr>
        <w:t>TMManagement</w:t>
      </w:r>
      <w:proofErr w:type="spellEnd"/>
      <w:r w:rsidR="003A4540" w:rsidRPr="003A319C">
        <w:rPr>
          <w:lang w:val="en-US"/>
        </w:rPr>
        <w:t xml:space="preserve">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w:t>
      </w:r>
      <w:proofErr w:type="spellStart"/>
      <w:r w:rsidR="003A4540" w:rsidRPr="003A319C">
        <w:rPr>
          <w:lang w:val="en-US"/>
        </w:rPr>
        <w:t>mIAB</w:t>
      </w:r>
      <w:proofErr w:type="spellEnd"/>
      <w:r w:rsidR="003A4540" w:rsidRPr="003A319C">
        <w:rPr>
          <w:lang w:val="en-US"/>
        </w:rPr>
        <w:t>-DU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 xml:space="preserve">The DU’s CU always sends the </w:t>
      </w:r>
      <w:proofErr w:type="spellStart"/>
      <w:r w:rsidR="003A4540" w:rsidRPr="003A319C">
        <w:rPr>
          <w:lang w:val="en-US"/>
        </w:rPr>
        <w:t>TMManagement</w:t>
      </w:r>
      <w:proofErr w:type="spellEnd"/>
      <w:r w:rsidR="003A4540" w:rsidRPr="003A319C">
        <w:rPr>
          <w:lang w:val="en-US"/>
        </w:rPr>
        <w:t xml:space="preserve">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72760B9B"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35A81B9E" w14:textId="4FA47F91" w:rsidR="00AB4338" w:rsidRDefault="00AB4338" w:rsidP="00382F79">
      <w:pPr>
        <w:snapToGrid w:val="0"/>
        <w:spacing w:after="120"/>
        <w:rPr>
          <w:ins w:id="1" w:author="Lenovo" w:date="2024-02-27T22:52:00Z"/>
          <w:bCs/>
          <w:color w:val="C45911" w:themeColor="accent2" w:themeShade="BF"/>
          <w:lang w:val="en-US" w:eastAsia="zh-CN"/>
        </w:rPr>
      </w:pPr>
      <w:r w:rsidRPr="006D240B">
        <w:rPr>
          <w:rFonts w:hint="eastAsia"/>
          <w:bCs/>
          <w:color w:val="C45911" w:themeColor="accent2" w:themeShade="BF"/>
          <w:lang w:val="en-US" w:eastAsia="zh-CN"/>
        </w:rPr>
        <w:t>[</w:t>
      </w:r>
      <w:r w:rsidRPr="006D240B">
        <w:rPr>
          <w:bCs/>
          <w:color w:val="C45911" w:themeColor="accent2" w:themeShade="BF"/>
          <w:lang w:val="en-US" w:eastAsia="zh-CN"/>
        </w:rPr>
        <w:t>Huawei]: Agree option 3, should be captured as agreement and be reflected in the procedure design in stage 2 specification.</w:t>
      </w:r>
    </w:p>
    <w:p w14:paraId="1BB4AB6A" w14:textId="609723E9" w:rsidR="001D099F" w:rsidRDefault="001D099F" w:rsidP="00382F79">
      <w:pPr>
        <w:snapToGrid w:val="0"/>
        <w:spacing w:after="120"/>
        <w:rPr>
          <w:ins w:id="2" w:author="Fujitsu" w:date="2024-02-28T00:02:00Z"/>
          <w:bCs/>
          <w:color w:val="C45911" w:themeColor="accent2" w:themeShade="BF"/>
          <w:lang w:val="en-US" w:eastAsia="zh-CN"/>
        </w:rPr>
      </w:pPr>
      <w:ins w:id="3" w:author="Lenovo" w:date="2024-02-27T22:52:00Z">
        <w:r>
          <w:rPr>
            <w:bCs/>
            <w:color w:val="C45911" w:themeColor="accent2" w:themeShade="BF"/>
            <w:lang w:val="en-US" w:eastAsia="zh-CN"/>
          </w:rPr>
          <w:t xml:space="preserve">[Lenovo]: </w:t>
        </w:r>
      </w:ins>
      <w:ins w:id="4" w:author="Lenovo" w:date="2024-02-27T22:53:00Z">
        <w:r>
          <w:rPr>
            <w:bCs/>
            <w:color w:val="C45911" w:themeColor="accent2" w:themeShade="BF"/>
            <w:lang w:val="en-US" w:eastAsia="zh-CN"/>
          </w:rPr>
          <w:t xml:space="preserve">Prefer Option 3, and agree to capture the stage 2 </w:t>
        </w:r>
      </w:ins>
      <w:ins w:id="5" w:author="Lenovo" w:date="2024-02-27T22:54:00Z">
        <w:r>
          <w:rPr>
            <w:bCs/>
            <w:color w:val="C45911" w:themeColor="accent2" w:themeShade="BF"/>
            <w:lang w:val="en-US" w:eastAsia="zh-CN"/>
          </w:rPr>
          <w:t>statement as an agreement.</w:t>
        </w:r>
      </w:ins>
    </w:p>
    <w:p w14:paraId="59FE29F0" w14:textId="6705EEFC" w:rsidR="006A38BD" w:rsidRPr="006D240B" w:rsidRDefault="006A38BD" w:rsidP="00382F79">
      <w:pPr>
        <w:snapToGrid w:val="0"/>
        <w:spacing w:after="120"/>
        <w:rPr>
          <w:bCs/>
          <w:color w:val="C45911" w:themeColor="accent2" w:themeShade="BF"/>
          <w:lang w:val="en-US" w:eastAsia="zh-CN"/>
        </w:rPr>
      </w:pPr>
      <w:ins w:id="6" w:author="Fujitsu" w:date="2024-02-28T00:02:00Z">
        <w:r>
          <w:rPr>
            <w:rFonts w:hint="eastAsia"/>
            <w:bCs/>
            <w:color w:val="C45911" w:themeColor="accent2" w:themeShade="BF"/>
            <w:lang w:val="en-US" w:eastAsia="zh-CN"/>
          </w:rPr>
          <w:t>[</w:t>
        </w:r>
        <w:r>
          <w:rPr>
            <w:bCs/>
            <w:color w:val="C45911" w:themeColor="accent2" w:themeShade="BF"/>
            <w:lang w:val="en-US" w:eastAsia="zh-CN"/>
          </w:rPr>
          <w:t xml:space="preserve">Fujitsu]: Agree Option 3, and </w:t>
        </w:r>
      </w:ins>
      <w:ins w:id="7" w:author="Fujitsu" w:date="2024-02-28T00:03:00Z">
        <w:r>
          <w:rPr>
            <w:bCs/>
            <w:color w:val="C45911" w:themeColor="accent2" w:themeShade="BF"/>
            <w:lang w:val="en-US" w:eastAsia="zh-CN"/>
          </w:rPr>
          <w:t xml:space="preserve">it </w:t>
        </w:r>
      </w:ins>
      <w:ins w:id="8" w:author="Fujitsu" w:date="2024-02-28T00:02:00Z">
        <w:r>
          <w:rPr>
            <w:bCs/>
            <w:color w:val="C45911" w:themeColor="accent2" w:themeShade="BF"/>
            <w:lang w:val="en-US" w:eastAsia="zh-CN"/>
          </w:rPr>
          <w:t xml:space="preserve">should be </w:t>
        </w:r>
      </w:ins>
      <w:ins w:id="9" w:author="Fujitsu" w:date="2024-02-28T00:03:00Z">
        <w:r>
          <w:rPr>
            <w:bCs/>
            <w:color w:val="C45911" w:themeColor="accent2" w:themeShade="BF"/>
            <w:lang w:val="en-US" w:eastAsia="zh-CN"/>
          </w:rPr>
          <w:t>captured in stage 2 specification</w:t>
        </w:r>
      </w:ins>
      <w:ins w:id="10" w:author="Fujitsu" w:date="2024-02-28T00:02:00Z">
        <w:r>
          <w:rPr>
            <w:bCs/>
            <w:color w:val="C45911" w:themeColor="accent2" w:themeShade="BF"/>
            <w:lang w:val="en-US" w:eastAsia="zh-CN"/>
          </w:rPr>
          <w:t>.</w:t>
        </w:r>
      </w:ins>
    </w:p>
    <w:p w14:paraId="4E63A252" w14:textId="77777777" w:rsidR="00D70761" w:rsidRPr="00067CAA" w:rsidRDefault="00D70761" w:rsidP="00382F79">
      <w:pPr>
        <w:snapToGrid w:val="0"/>
        <w:spacing w:after="120"/>
        <w:rPr>
          <w:b/>
          <w:bCs/>
          <w:u w:val="single"/>
          <w:lang w:val="en-US"/>
        </w:rPr>
      </w:pPr>
    </w:p>
    <w:p w14:paraId="3D4CCD71" w14:textId="2CEFF81A" w:rsidR="00803A21" w:rsidRPr="00803A21" w:rsidRDefault="00567494" w:rsidP="00B40B51">
      <w:pPr>
        <w:pStyle w:val="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t>R3-24020</w:t>
      </w:r>
      <w:r>
        <w:rPr>
          <w:lang w:val="en-US"/>
        </w:rPr>
        <w:t xml:space="preserve">4 - </w:t>
      </w:r>
      <w:r w:rsidR="00803A21" w:rsidRPr="00803A21">
        <w:rPr>
          <w:lang w:val="en-US"/>
        </w:rPr>
        <w:t>Lenovo: Explicit signaling in F1 Setup response: “</w:t>
      </w:r>
      <w:r w:rsidR="00803A21" w:rsidRPr="00803A21">
        <w:rPr>
          <w:i/>
          <w:iCs/>
          <w:lang w:val="en-US"/>
        </w:rPr>
        <w:t xml:space="preserve">If the F1 SETUP RESPONSE message contains the F1 DU Migration Triggering Info IE, the </w:t>
      </w:r>
      <w:proofErr w:type="spellStart"/>
      <w:r w:rsidR="00803A21" w:rsidRPr="00803A21">
        <w:rPr>
          <w:i/>
          <w:iCs/>
          <w:lang w:val="en-US"/>
        </w:rPr>
        <w:t>gNB</w:t>
      </w:r>
      <w:proofErr w:type="spellEnd"/>
      <w:r w:rsidR="00803A21" w:rsidRPr="00803A21">
        <w:rPr>
          <w:i/>
          <w:iCs/>
          <w:lang w:val="en-US"/>
        </w:rPr>
        <w:t>-DU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3"/>
        <w:rPr>
          <w:lang w:val="en-US"/>
        </w:rPr>
      </w:pPr>
      <w:r w:rsidRPr="003A319C">
        <w:rPr>
          <w:highlight w:val="green"/>
          <w:lang w:val="en-US"/>
        </w:rPr>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“8.YY.1”</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3"/>
        <w:rPr>
          <w:lang w:val="en-US"/>
        </w:rPr>
      </w:pPr>
      <w:r w:rsidRPr="00D55BB4">
        <w:rPr>
          <w:highlight w:val="green"/>
          <w:lang w:val="en-US"/>
        </w:rPr>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 xml:space="preserve">for </w:t>
      </w:r>
      <w:proofErr w:type="spellStart"/>
      <w:r>
        <w:rPr>
          <w:lang w:val="en-US"/>
        </w:rPr>
        <w:t>mIAB</w:t>
      </w:r>
      <w:proofErr w:type="spellEnd"/>
      <w:r>
        <w:rPr>
          <w:lang w:val="en-US"/>
        </w:rPr>
        <w:t xml:space="preserve">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 xml:space="preserve">revise </w:t>
      </w:r>
      <w:proofErr w:type="spellStart"/>
      <w:r w:rsidR="004D1C2B">
        <w:rPr>
          <w:b/>
          <w:bCs/>
          <w:lang w:val="en-US"/>
        </w:rPr>
        <w:t>mIAB</w:t>
      </w:r>
      <w:proofErr w:type="spellEnd"/>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489E2E22" w:rsidR="00567494" w:rsidRDefault="00567494" w:rsidP="00D70761">
      <w:pPr>
        <w:snapToGrid w:val="0"/>
        <w:spacing w:after="120"/>
        <w:rPr>
          <w:b/>
          <w:bCs/>
          <w:lang w:val="en-US" w:eastAsia="zh-CN"/>
        </w:rPr>
      </w:pPr>
    </w:p>
    <w:p w14:paraId="380D88A7" w14:textId="37DC85E2" w:rsidR="00D70761" w:rsidRPr="00D70761" w:rsidRDefault="00D70761" w:rsidP="00B40B51">
      <w:pPr>
        <w:pStyle w:val="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IAB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 xml:space="preserve">Qualcomm: Clarify in 38.423 for procedure description for TMM, that for </w:t>
      </w:r>
      <w:proofErr w:type="spellStart"/>
      <w:r w:rsidR="00D70761" w:rsidRPr="00D70761">
        <w:rPr>
          <w:lang w:val="en-US"/>
        </w:rPr>
        <w:t>mIAB</w:t>
      </w:r>
      <w:proofErr w:type="spellEnd"/>
      <w:r w:rsidR="00D70761" w:rsidRPr="00D70761">
        <w:rPr>
          <w:lang w:val="en-US"/>
        </w:rPr>
        <w:t>,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proofErr w:type="gramStart"/>
      <w:r w:rsidR="00D70761" w:rsidRPr="00D70761">
        <w:rPr>
          <w:i/>
          <w:iCs/>
          <w:lang w:val="en-US"/>
        </w:rPr>
        <w:t>Non-F1</w:t>
      </w:r>
      <w:proofErr w:type="gramEnd"/>
      <w:r w:rsidR="00D70761" w:rsidRPr="00D70761">
        <w:rPr>
          <w:i/>
          <w:iCs/>
          <w:lang w:val="en-US"/>
        </w:rPr>
        <w:t xml:space="preserve">-terminating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w:t>
      </w:r>
      <w:proofErr w:type="spellStart"/>
      <w:r w:rsidR="00D70761" w:rsidRPr="00D70761">
        <w:rPr>
          <w:lang w:val="en-US"/>
        </w:rPr>
        <w:t>mIAB</w:t>
      </w:r>
      <w:proofErr w:type="spellEnd"/>
      <w:r w:rsidR="00D70761" w:rsidRPr="00D70761">
        <w:rPr>
          <w:lang w:val="en-US"/>
        </w:rPr>
        <w:t xml:space="preserve">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ZTE: Add in 38.423 for every occurrence of non-F1-terminating IAB-</w:t>
      </w:r>
      <w:proofErr w:type="gramStart"/>
      <w:r w:rsidR="00D70761" w:rsidRPr="00D70761">
        <w:rPr>
          <w:lang w:val="en-US"/>
        </w:rPr>
        <w:t>donor  an</w:t>
      </w:r>
      <w:proofErr w:type="gramEnd"/>
      <w:r w:rsidR="00D70761" w:rsidRPr="00D70761">
        <w:rPr>
          <w:lang w:val="en-US"/>
        </w:rPr>
        <w:t xml:space="preserve"> “or RRC-terminating IAB-donor in case of </w:t>
      </w:r>
      <w:proofErr w:type="spellStart"/>
      <w:r w:rsidR="00D70761" w:rsidRPr="00D70761">
        <w:rPr>
          <w:lang w:val="en-US"/>
        </w:rPr>
        <w:t>mIAB</w:t>
      </w:r>
      <w:proofErr w:type="spellEnd"/>
      <w:r w:rsidR="00D70761" w:rsidRPr="00D70761">
        <w:rPr>
          <w:lang w:val="en-US"/>
        </w:rPr>
        <w:t>.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ins w:id="11" w:author="Fujitsu" w:date="2024-02-28T00:03:00Z"/>
          <w:lang w:val="en-US"/>
        </w:rPr>
      </w:pPr>
      <w:r w:rsidRPr="009C6CAF">
        <w:rPr>
          <w:b/>
          <w:bCs/>
          <w:lang w:val="en-US"/>
        </w:rPr>
        <w:t>Problem 1: the</w:t>
      </w:r>
      <w:r w:rsidRPr="009033FD">
        <w:rPr>
          <w:lang w:val="en-US"/>
        </w:rPr>
        <w:t xml:space="preserve"> </w:t>
      </w:r>
      <w:proofErr w:type="spellStart"/>
      <w:r w:rsidRPr="009033FD">
        <w:rPr>
          <w:lang w:val="en-US"/>
        </w:rPr>
        <w:t>mIAB</w:t>
      </w:r>
      <w:proofErr w:type="spellEnd"/>
      <w:r w:rsidRPr="009033FD">
        <w:rPr>
          <w:lang w:val="en-US"/>
        </w:rPr>
        <w:t>-node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4B888020" w14:textId="339C1D70" w:rsidR="006A38BD" w:rsidRDefault="006A38BD" w:rsidP="00D70761">
      <w:pPr>
        <w:snapToGrid w:val="0"/>
        <w:spacing w:after="120"/>
        <w:rPr>
          <w:lang w:val="en-US" w:eastAsia="zh-CN"/>
        </w:rPr>
      </w:pPr>
      <w:ins w:id="12" w:author="Fujitsu" w:date="2024-02-28T00:03:00Z">
        <w:r>
          <w:rPr>
            <w:rFonts w:hint="eastAsia"/>
            <w:lang w:val="en-US" w:eastAsia="zh-CN"/>
          </w:rPr>
          <w:t>[</w:t>
        </w:r>
        <w:r>
          <w:rPr>
            <w:lang w:val="en-US" w:eastAsia="zh-CN"/>
          </w:rPr>
          <w:t xml:space="preserve">Fujitsu]: Do not agree that </w:t>
        </w:r>
      </w:ins>
      <w:ins w:id="13" w:author="Fujitsu" w:date="2024-02-28T00:04:00Z">
        <w:r>
          <w:rPr>
            <w:rFonts w:hint="eastAsia"/>
            <w:lang w:val="en-US" w:eastAsia="zh-CN"/>
          </w:rPr>
          <w:t>o</w:t>
        </w:r>
        <w:r>
          <w:rPr>
            <w:lang w:val="en-US" w:eastAsia="zh-CN"/>
          </w:rPr>
          <w:t xml:space="preserve">ne F1-terminating donor is the same as the non-F1-terminating donor. An F1-terminating donor cannot be a non-F1-terminating donor </w:t>
        </w:r>
      </w:ins>
      <w:ins w:id="14" w:author="Fujitsu" w:date="2024-02-28T00:05:00Z">
        <w:r>
          <w:rPr>
            <w:lang w:val="en-US" w:eastAsia="zh-CN"/>
          </w:rPr>
          <w:t xml:space="preserve">by definition: </w:t>
        </w:r>
        <w:proofErr w:type="gramStart"/>
        <w:r w:rsidRPr="00D70761">
          <w:rPr>
            <w:i/>
            <w:iCs/>
            <w:lang w:val="en-US"/>
          </w:rPr>
          <w:t>Non-F1</w:t>
        </w:r>
        <w:proofErr w:type="gramEnd"/>
        <w:r w:rsidRPr="00D70761">
          <w:rPr>
            <w:i/>
            <w:iCs/>
            <w:lang w:val="en-US"/>
          </w:rPr>
          <w:t xml:space="preserve">-terminating IAB-donor of boundary IAB-node: Refers to the IAB-donor that has an RRC connection with the boundary node but </w:t>
        </w:r>
        <w:r w:rsidRPr="006A38BD">
          <w:rPr>
            <w:i/>
            <w:iCs/>
            <w:highlight w:val="yellow"/>
            <w:lang w:val="en-US"/>
            <w:rPrChange w:id="15" w:author="Fujitsu" w:date="2024-02-28T00:05:00Z">
              <w:rPr>
                <w:i/>
                <w:iCs/>
                <w:lang w:val="en-US"/>
              </w:rPr>
            </w:rPrChange>
          </w:rPr>
          <w:t>does not terminate F1</w:t>
        </w:r>
        <w:r w:rsidRPr="00D70761">
          <w:rPr>
            <w:i/>
            <w:iCs/>
            <w:lang w:val="en-US"/>
          </w:rPr>
          <w:t xml:space="preserve"> with this boundary node</w:t>
        </w:r>
      </w:ins>
      <w:ins w:id="16" w:author="Fujitsu" w:date="2024-02-28T00:04:00Z">
        <w:r>
          <w:rPr>
            <w:lang w:val="en-US" w:eastAsia="zh-CN"/>
          </w:rPr>
          <w:t xml:space="preserve">. </w:t>
        </w:r>
      </w:ins>
      <w:ins w:id="17" w:author="Fujitsu" w:date="2024-02-28T00:05:00Z">
        <w:r>
          <w:rPr>
            <w:lang w:val="en-US" w:eastAsia="zh-CN"/>
          </w:rPr>
          <w:t xml:space="preserve">An F1-terminating donor </w:t>
        </w:r>
      </w:ins>
      <w:ins w:id="18" w:author="Fujitsu" w:date="2024-02-28T00:06:00Z">
        <w:r>
          <w:rPr>
            <w:lang w:val="en-US" w:eastAsia="zh-CN"/>
          </w:rPr>
          <w:t xml:space="preserve">can be an RRC-terminating donor. </w:t>
        </w:r>
      </w:ins>
      <w:ins w:id="19" w:author="Fujitsu" w:date="2024-02-28T00:07:00Z">
        <w:r>
          <w:rPr>
            <w:lang w:val="en-US" w:eastAsia="zh-CN"/>
          </w:rPr>
          <w:t>An RRC-terminating donor can be an F1-terminating donor or a non-F1-terminating donor. The TMM procedures will only be used when the RRC-terminating donor is a non-F1-terminating donor.</w:t>
        </w:r>
      </w:ins>
      <w:ins w:id="20" w:author="Fujitsu" w:date="2024-02-28T00:08:00Z">
        <w:r>
          <w:rPr>
            <w:lang w:val="en-US" w:eastAsia="zh-CN"/>
          </w:rPr>
          <w:t xml:space="preserve"> The use</w:t>
        </w:r>
      </w:ins>
      <w:ins w:id="21" w:author="Fujitsu" w:date="2024-02-28T00:09:00Z">
        <w:r>
          <w:rPr>
            <w:lang w:val="en-US" w:eastAsia="zh-CN"/>
          </w:rPr>
          <w:t xml:space="preserve"> of non-F1-terminating donor</w:t>
        </w:r>
      </w:ins>
      <w:ins w:id="22" w:author="Fujitsu" w:date="2024-02-28T00:10:00Z">
        <w:r>
          <w:rPr>
            <w:lang w:val="en-US" w:eastAsia="zh-CN"/>
          </w:rPr>
          <w:t xml:space="preserve"> (and also RRC-terminating donor)</w:t>
        </w:r>
      </w:ins>
      <w:ins w:id="23" w:author="Fujitsu" w:date="2024-02-28T00:09:00Z">
        <w:r>
          <w:rPr>
            <w:lang w:val="en-US" w:eastAsia="zh-CN"/>
          </w:rPr>
          <w:t xml:space="preserve"> is </w:t>
        </w:r>
      </w:ins>
      <w:ins w:id="24" w:author="Fujitsu" w:date="2024-02-28T00:10:00Z">
        <w:r>
          <w:rPr>
            <w:lang w:val="en-US" w:eastAsia="zh-CN"/>
          </w:rPr>
          <w:t xml:space="preserve">actually </w:t>
        </w:r>
      </w:ins>
      <w:ins w:id="25" w:author="Fujitsu" w:date="2024-02-28T00:09:00Z">
        <w:r>
          <w:rPr>
            <w:lang w:val="en-US" w:eastAsia="zh-CN"/>
          </w:rPr>
          <w:t>correct if we extend the definition</w:t>
        </w:r>
      </w:ins>
      <w:ins w:id="26" w:author="Fujitsu" w:date="2024-02-28T00:15:00Z">
        <w:r w:rsidR="00E8059B">
          <w:rPr>
            <w:lang w:val="en-US" w:eastAsia="zh-CN"/>
          </w:rPr>
          <w:t xml:space="preserve"> of non-F1-terminating donor</w:t>
        </w:r>
      </w:ins>
      <w:ins w:id="27" w:author="Fujitsu" w:date="2024-02-28T00:09:00Z">
        <w:r>
          <w:rPr>
            <w:lang w:val="en-US" w:eastAsia="zh-CN"/>
          </w:rPr>
          <w:t xml:space="preserve"> to be applicable to a mobile IAB node.</w:t>
        </w:r>
      </w:ins>
    </w:p>
    <w:p w14:paraId="6A023277" w14:textId="6AE3F426" w:rsidR="009033FD" w:rsidRDefault="009033FD" w:rsidP="00D70761">
      <w:pPr>
        <w:snapToGrid w:val="0"/>
        <w:spacing w:after="120"/>
        <w:rPr>
          <w:lang w:val="en-US"/>
        </w:rPr>
      </w:pPr>
      <w:r w:rsidRPr="009C6CAF">
        <w:rPr>
          <w:b/>
          <w:bCs/>
          <w:lang w:val="en-US"/>
        </w:rPr>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w:t>
      </w:r>
      <w:proofErr w:type="spellStart"/>
      <w:r>
        <w:rPr>
          <w:lang w:val="en-US"/>
        </w:rPr>
        <w:t>mIAB</w:t>
      </w:r>
      <w:proofErr w:type="spellEnd"/>
      <w:r>
        <w:rPr>
          <w:lang w:val="en-US"/>
        </w:rPr>
        <w:t xml:space="preserve">, the non-F1-terminating donor of the boundary node refers to the RRC-terminating donor. The attempt should be made to minimize the number of changes. The above contributions can be used as baseline. </w:t>
      </w:r>
    </w:p>
    <w:p w14:paraId="12F05F1F" w14:textId="77777777" w:rsidR="009033FD" w:rsidRDefault="009033FD" w:rsidP="00D70761">
      <w:pPr>
        <w:snapToGrid w:val="0"/>
        <w:spacing w:after="120"/>
        <w:rPr>
          <w:b/>
          <w:bCs/>
          <w:lang w:val="en-US"/>
        </w:rPr>
      </w:pPr>
    </w:p>
    <w:p w14:paraId="1D4FE92C" w14:textId="0298E62B" w:rsidR="00567494" w:rsidRDefault="00A63609" w:rsidP="00D70761">
      <w:pPr>
        <w:snapToGrid w:val="0"/>
        <w:spacing w:after="120"/>
        <w:rPr>
          <w:ins w:id="28" w:author="Fujitsu" w:date="2024-02-28T00:11:00Z"/>
          <w:b/>
          <w:bCs/>
          <w:lang w:val="en-US"/>
        </w:rPr>
      </w:pPr>
      <w:r w:rsidRPr="009033FD">
        <w:rPr>
          <w:b/>
          <w:bCs/>
          <w:highlight w:val="yellow"/>
          <w:lang w:val="en-US"/>
        </w:rPr>
        <w:lastRenderedPageBreak/>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Use R3-240074, R3-240075, R3-240076, R3-240442, R3-240203 as baseline.</w:t>
      </w:r>
    </w:p>
    <w:p w14:paraId="1D87227C" w14:textId="015D9DDD" w:rsidR="006A38BD" w:rsidRPr="006A38BD" w:rsidRDefault="006A38BD" w:rsidP="00D70761">
      <w:pPr>
        <w:snapToGrid w:val="0"/>
        <w:spacing w:after="120"/>
        <w:rPr>
          <w:lang w:val="en-US" w:eastAsia="zh-CN"/>
          <w:rPrChange w:id="29" w:author="Fujitsu" w:date="2024-02-28T00:12:00Z">
            <w:rPr>
              <w:b/>
              <w:bCs/>
              <w:lang w:val="en-US" w:eastAsia="zh-CN"/>
            </w:rPr>
          </w:rPrChange>
        </w:rPr>
      </w:pPr>
      <w:ins w:id="30" w:author="Fujitsu" w:date="2024-02-28T00:11:00Z">
        <w:r w:rsidRPr="006A38BD">
          <w:rPr>
            <w:lang w:val="en-US" w:eastAsia="zh-CN"/>
            <w:rPrChange w:id="31" w:author="Fujitsu" w:date="2024-02-28T00:12:00Z">
              <w:rPr>
                <w:b/>
                <w:bCs/>
                <w:lang w:val="en-US" w:eastAsia="zh-CN"/>
              </w:rPr>
            </w:rPrChange>
          </w:rPr>
          <w:t xml:space="preserve">[Fujitsu]: </w:t>
        </w:r>
      </w:ins>
      <w:ins w:id="32" w:author="Fujitsu" w:date="2024-02-28T00:12:00Z">
        <w:r>
          <w:rPr>
            <w:lang w:val="en-US" w:eastAsia="zh-CN"/>
          </w:rPr>
          <w:t>Agree</w:t>
        </w:r>
        <w:r w:rsidR="00E8059B">
          <w:rPr>
            <w:lang w:val="en-US" w:eastAsia="zh-CN"/>
          </w:rPr>
          <w:t xml:space="preserve"> that clarification to 38.423 is needed. Not sure about the second sentence. </w:t>
        </w:r>
      </w:ins>
      <w:ins w:id="33" w:author="Fujitsu" w:date="2024-02-28T00:13:00Z">
        <w:r w:rsidR="00E8059B">
          <w:rPr>
            <w:lang w:val="en-US" w:eastAsia="zh-CN"/>
          </w:rPr>
          <w:t xml:space="preserve">All TMM procedures/messages </w:t>
        </w:r>
      </w:ins>
      <w:ins w:id="34" w:author="Fujitsu" w:date="2024-02-28T00:15:00Z">
        <w:r w:rsidR="00E8059B">
          <w:rPr>
            <w:lang w:val="en-US" w:eastAsia="zh-CN"/>
          </w:rPr>
          <w:t xml:space="preserve">will </w:t>
        </w:r>
      </w:ins>
      <w:ins w:id="35" w:author="Fujitsu" w:date="2024-02-28T00:16:00Z">
        <w:r w:rsidR="00E8059B">
          <w:rPr>
            <w:lang w:val="en-US" w:eastAsia="zh-CN"/>
          </w:rPr>
          <w:t xml:space="preserve">be </w:t>
        </w:r>
      </w:ins>
      <w:ins w:id="36" w:author="Fujitsu" w:date="2024-02-28T00:17:00Z">
        <w:r w:rsidR="00E8059B">
          <w:rPr>
            <w:lang w:val="en-US" w:eastAsia="zh-CN"/>
          </w:rPr>
          <w:t>re</w:t>
        </w:r>
      </w:ins>
      <w:ins w:id="37" w:author="Fujitsu" w:date="2024-02-28T00:16:00Z">
        <w:r w:rsidR="00E8059B">
          <w:rPr>
            <w:lang w:val="en-US" w:eastAsia="zh-CN"/>
          </w:rPr>
          <w:t xml:space="preserve">used by mobile IAB nodes. If anything, the term “boundary node” used in the context of these procedures should apply for </w:t>
        </w:r>
        <w:proofErr w:type="spellStart"/>
        <w:r w:rsidR="00E8059B">
          <w:rPr>
            <w:lang w:val="en-US" w:eastAsia="zh-CN"/>
          </w:rPr>
          <w:t>for</w:t>
        </w:r>
        <w:proofErr w:type="spellEnd"/>
        <w:r w:rsidR="00E8059B">
          <w:rPr>
            <w:lang w:val="en-US" w:eastAsia="zh-CN"/>
          </w:rPr>
          <w:t xml:space="preserve"> mobile IAB</w:t>
        </w:r>
      </w:ins>
      <w:ins w:id="38" w:author="Fujitsu" w:date="2024-02-28T00:17:00Z">
        <w:r w:rsidR="00E8059B">
          <w:rPr>
            <w:lang w:val="en-US" w:eastAsia="zh-CN"/>
          </w:rPr>
          <w:t>.</w:t>
        </w:r>
      </w:ins>
    </w:p>
    <w:p w14:paraId="00E51E54" w14:textId="77777777" w:rsidR="00A63609" w:rsidRDefault="00A63609" w:rsidP="00D70761">
      <w:pPr>
        <w:snapToGrid w:val="0"/>
        <w:spacing w:after="120"/>
        <w:rPr>
          <w:b/>
          <w:bCs/>
          <w:lang w:val="en-US"/>
        </w:rPr>
      </w:pPr>
    </w:p>
    <w:p w14:paraId="0C1564EB" w14:textId="1B2B9DFB" w:rsidR="00803A21" w:rsidRPr="00803A21" w:rsidRDefault="007047C8" w:rsidP="00B40B51">
      <w:pPr>
        <w:pStyle w:val="3"/>
        <w:rPr>
          <w:i/>
          <w:iCs/>
          <w:lang w:val="en-US"/>
        </w:rPr>
      </w:pPr>
      <w:r w:rsidRPr="00031B4A">
        <w:rPr>
          <w:highlight w:val="green"/>
          <w:lang w:val="en-US"/>
        </w:rPr>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w:t>
      </w:r>
      <w:proofErr w:type="spellStart"/>
      <w:r w:rsidR="00803A21" w:rsidRPr="00803A21">
        <w:rPr>
          <w:lang w:val="en-US"/>
        </w:rPr>
        <w:t>gNB</w:t>
      </w:r>
      <w:proofErr w:type="spellEnd"/>
      <w:r w:rsidR="00803A21" w:rsidRPr="00803A21">
        <w:rPr>
          <w:lang w:val="en-US"/>
        </w:rPr>
        <w:t xml:space="preserve">-DU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proofErr w:type="spellStart"/>
      <w:r w:rsidR="00803A21" w:rsidRPr="00803A21">
        <w:rPr>
          <w:lang w:val="en-US"/>
        </w:rPr>
        <w:t>mIAB</w:t>
      </w:r>
      <w:proofErr w:type="spellEnd"/>
      <w:r w:rsidR="00803A21" w:rsidRPr="00803A21">
        <w:rPr>
          <w:lang w:val="en-US"/>
        </w:rPr>
        <w:t xml:space="preserve">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w:t>
      </w:r>
      <w:proofErr w:type="spellStart"/>
      <w:r w:rsidR="00803A21" w:rsidRPr="00803A21">
        <w:rPr>
          <w:lang w:val="en-US"/>
        </w:rPr>
        <w:t>Xn</w:t>
      </w:r>
      <w:proofErr w:type="spellEnd"/>
      <w:r w:rsidR="00803A21" w:rsidRPr="00803A21">
        <w:rPr>
          <w:lang w:val="en-US"/>
        </w:rPr>
        <w:t xml:space="preserve">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70A2240D"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xml:space="preserve">, several companies felt that a minor change to section 8.9.14 may be sufficient to clarify the behavior when the </w:t>
      </w:r>
      <w:proofErr w:type="spellStart"/>
      <w:r>
        <w:rPr>
          <w:lang w:val="en-US"/>
        </w:rPr>
        <w:t>mIAB</w:t>
      </w:r>
      <w:proofErr w:type="spellEnd"/>
      <w:r>
        <w:rPr>
          <w:lang w:val="en-US"/>
        </w:rPr>
        <w:t xml:space="preserve"> authorization status = “non-authorized” is passed during MT HO. Further, this may be added to the MT migration section rather than the </w:t>
      </w:r>
      <w:proofErr w:type="spellStart"/>
      <w:r>
        <w:rPr>
          <w:lang w:val="en-US"/>
        </w:rPr>
        <w:t>mIAB-authoriation</w:t>
      </w:r>
      <w:proofErr w:type="spellEnd"/>
      <w:r>
        <w:rPr>
          <w:lang w:val="en-US"/>
        </w:rPr>
        <w:t xml:space="preserve">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7D8B37F8"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proofErr w:type="spellStart"/>
      <w:r>
        <w:rPr>
          <w:b/>
          <w:bCs/>
          <w:lang w:val="en-US"/>
        </w:rPr>
        <w:t>mIAB</w:t>
      </w:r>
      <w:proofErr w:type="spellEnd"/>
      <w:r>
        <w:rPr>
          <w:b/>
          <w:bCs/>
          <w:lang w:val="en-US"/>
        </w:rPr>
        <w:t xml:space="preserve"> authorization status = “non-authorized” is received during MT migration</w:t>
      </w:r>
      <w:r w:rsidR="00CC4596">
        <w:rPr>
          <w:b/>
          <w:bCs/>
          <w:lang w:val="en-US"/>
        </w:rPr>
        <w:t xml:space="preserve"> and RLF recovery</w:t>
      </w:r>
      <w:r>
        <w:rPr>
          <w:b/>
          <w:bCs/>
          <w:lang w:val="en-US"/>
        </w:rPr>
        <w:t>.</w:t>
      </w:r>
      <w:r w:rsidR="00071D42">
        <w:rPr>
          <w:b/>
          <w:bCs/>
          <w:lang w:val="en-US"/>
        </w:rPr>
        <w:t xml:space="preserve"> </w:t>
      </w:r>
    </w:p>
    <w:p w14:paraId="1D251D11" w14:textId="14B17474" w:rsidR="00071D42" w:rsidRDefault="00071D42" w:rsidP="009D12B3">
      <w:pPr>
        <w:snapToGrid w:val="0"/>
        <w:spacing w:after="120"/>
        <w:rPr>
          <w:bCs/>
          <w:color w:val="C45911" w:themeColor="accent2" w:themeShade="BF"/>
          <w:lang w:val="en-US" w:eastAsia="zh-CN"/>
        </w:rPr>
      </w:pPr>
      <w:r w:rsidRPr="00071D42">
        <w:rPr>
          <w:rFonts w:hint="eastAsia"/>
          <w:bCs/>
          <w:color w:val="C45911" w:themeColor="accent2" w:themeShade="BF"/>
          <w:lang w:val="en-US" w:eastAsia="zh-CN"/>
        </w:rPr>
        <w:t>[</w:t>
      </w:r>
      <w:r w:rsidRPr="00071D42">
        <w:rPr>
          <w:bCs/>
          <w:color w:val="C45911" w:themeColor="accent2" w:themeShade="BF"/>
          <w:lang w:val="en-US" w:eastAsia="zh-CN"/>
        </w:rPr>
        <w:t>Huawei]</w:t>
      </w:r>
      <w:r>
        <w:rPr>
          <w:bCs/>
          <w:color w:val="C45911" w:themeColor="accent2" w:themeShade="BF"/>
          <w:lang w:val="en-US" w:eastAsia="zh-CN"/>
        </w:rPr>
        <w:t xml:space="preserve"> For Issue 14, the change for TS 38.423 is needed, but not mentioned in P9 here. So, we suggest Proposal 9b as below:</w:t>
      </w:r>
    </w:p>
    <w:p w14:paraId="30A56CA1" w14:textId="78E4D9D2" w:rsidR="00071D42" w:rsidRPr="00640FC6" w:rsidRDefault="00071D42" w:rsidP="00071D42">
      <w:pPr>
        <w:snapToGrid w:val="0"/>
        <w:spacing w:after="120"/>
        <w:rPr>
          <w:bCs/>
          <w:color w:val="C45911" w:themeColor="accent2" w:themeShade="BF"/>
          <w:u w:val="single"/>
          <w:lang w:val="en-US" w:eastAsia="zh-CN"/>
        </w:rPr>
      </w:pPr>
      <w:r w:rsidRPr="00640FC6">
        <w:rPr>
          <w:bCs/>
          <w:color w:val="C45911" w:themeColor="accent2" w:themeShade="BF"/>
          <w:u w:val="single"/>
          <w:lang w:val="en-US" w:eastAsia="zh-CN"/>
        </w:rPr>
        <w:t xml:space="preserve">Proposal 9b: 38.423 to capture the behavior of the MT’s new IAB-donor for the </w:t>
      </w:r>
      <w:proofErr w:type="spellStart"/>
      <w:r w:rsidRPr="00640FC6">
        <w:rPr>
          <w:bCs/>
          <w:color w:val="C45911" w:themeColor="accent2" w:themeShade="BF"/>
          <w:u w:val="single"/>
          <w:lang w:val="en-US" w:eastAsia="zh-CN"/>
        </w:rPr>
        <w:t>mIAB</w:t>
      </w:r>
      <w:proofErr w:type="spellEnd"/>
      <w:r w:rsidRPr="00640FC6">
        <w:rPr>
          <w:bCs/>
          <w:color w:val="C45911" w:themeColor="accent2" w:themeShade="BF"/>
          <w:u w:val="single"/>
          <w:lang w:val="en-US" w:eastAsia="zh-CN"/>
        </w:rPr>
        <w:t xml:space="preserve"> authorization status IE during RLF recovery. </w:t>
      </w:r>
      <w:del w:id="39" w:author="CATT" w:date="2024-02-27T19:02:00Z">
        <w:r w:rsidR="00DB66CC" w:rsidRPr="00640FC6" w:rsidDel="004D4842">
          <w:rPr>
            <w:bCs/>
            <w:color w:val="C45911" w:themeColor="accent2" w:themeShade="BF"/>
            <w:u w:val="single"/>
            <w:lang w:val="en-US" w:eastAsia="zh-CN"/>
          </w:rPr>
          <w:delText>The behavior if the authorization status is “not authorized” can be linked to 38.401.</w:delText>
        </w:r>
      </w:del>
    </w:p>
    <w:p w14:paraId="76CD3707" w14:textId="33DA0C78" w:rsidR="00071D42" w:rsidRDefault="008D56BE" w:rsidP="009D12B3">
      <w:pPr>
        <w:snapToGrid w:val="0"/>
        <w:spacing w:after="120"/>
        <w:rPr>
          <w:ins w:id="40" w:author="CATT" w:date="2024-02-27T19:02:00Z"/>
          <w:bCs/>
          <w:color w:val="C45911" w:themeColor="accent2" w:themeShade="BF"/>
          <w:lang w:val="en-US" w:eastAsia="zh-CN"/>
        </w:rPr>
      </w:pPr>
      <w:ins w:id="41" w:author="Lenovo" w:date="2024-02-27T22:55:00Z">
        <w:r>
          <w:rPr>
            <w:bCs/>
            <w:color w:val="C45911" w:themeColor="accent2" w:themeShade="BF"/>
            <w:lang w:val="en-US" w:eastAsia="zh-CN"/>
          </w:rPr>
          <w:t>[Lenovo]: Agree with P9b.</w:t>
        </w:r>
      </w:ins>
    </w:p>
    <w:p w14:paraId="2EBBF876" w14:textId="77777777" w:rsidR="004D4842" w:rsidRPr="00071D42" w:rsidRDefault="004D4842" w:rsidP="004D4842">
      <w:pPr>
        <w:snapToGrid w:val="0"/>
        <w:spacing w:after="120"/>
        <w:rPr>
          <w:ins w:id="42" w:author="CATT" w:date="2024-02-27T19:02:00Z"/>
          <w:bCs/>
          <w:color w:val="C45911" w:themeColor="accent2" w:themeShade="BF"/>
          <w:lang w:val="en-US" w:eastAsia="zh-CN"/>
        </w:rPr>
      </w:pPr>
      <w:ins w:id="43" w:author="CATT" w:date="2024-02-27T19:02:00Z">
        <w:r>
          <w:rPr>
            <w:rFonts w:hint="eastAsia"/>
            <w:bCs/>
            <w:color w:val="C45911" w:themeColor="accent2" w:themeShade="BF"/>
            <w:lang w:val="en-US" w:eastAsia="zh-CN"/>
          </w:rPr>
          <w:t>[</w:t>
        </w:r>
        <w:r>
          <w:rPr>
            <w:bCs/>
            <w:color w:val="C45911" w:themeColor="accent2" w:themeShade="BF"/>
            <w:lang w:val="en-US" w:eastAsia="zh-CN"/>
          </w:rPr>
          <w:t>CATT]: The behavior of target IAB-donor does not need to be captured in stage-2 spec. The behavior only needs to be captured in 423 without referring to 401, since it is clear and definite, that is different with the NG-RAN handling for the authorization status received from CN which would lead to different solutions for different cases. So, we agree with HW’s P9b with revision.</w:t>
        </w:r>
      </w:ins>
    </w:p>
    <w:p w14:paraId="4F1D3661" w14:textId="77777777" w:rsidR="004D4842" w:rsidRPr="00071D42" w:rsidRDefault="004D4842" w:rsidP="009D12B3">
      <w:pPr>
        <w:snapToGrid w:val="0"/>
        <w:spacing w:after="120"/>
        <w:rPr>
          <w:bCs/>
          <w:color w:val="C45911" w:themeColor="accent2" w:themeShade="BF"/>
          <w:lang w:val="en-US" w:eastAsia="zh-CN"/>
        </w:rPr>
      </w:pPr>
    </w:p>
    <w:p w14:paraId="08F9C43C" w14:textId="77777777" w:rsidR="0094790B" w:rsidRDefault="0094790B" w:rsidP="009D12B3">
      <w:pPr>
        <w:snapToGrid w:val="0"/>
        <w:spacing w:after="120"/>
        <w:rPr>
          <w:b/>
          <w:bCs/>
          <w:lang w:val="en-US"/>
        </w:rPr>
      </w:pPr>
    </w:p>
    <w:p w14:paraId="01520A22" w14:textId="0559A281" w:rsidR="00803A21" w:rsidRPr="00803A21" w:rsidRDefault="009D12B3" w:rsidP="00B40B51">
      <w:pPr>
        <w:pStyle w:val="3"/>
        <w:rPr>
          <w:lang w:val="en-US"/>
        </w:rPr>
      </w:pPr>
      <w:r w:rsidRPr="00B3133D">
        <w:rPr>
          <w:highlight w:val="green"/>
          <w:lang w:val="en-US"/>
        </w:rPr>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 xml:space="preserve">Add to 38.401 a new section on PCI collision avoidance for </w:t>
      </w:r>
      <w:proofErr w:type="spellStart"/>
      <w:r w:rsidR="00803A21" w:rsidRPr="00803A21">
        <w:rPr>
          <w:lang w:val="en-US"/>
        </w:rPr>
        <w:t>mIAB</w:t>
      </w:r>
      <w:proofErr w:type="spellEnd"/>
      <w:r w:rsidR="00803A21" w:rsidRPr="00803A21">
        <w:rPr>
          <w:lang w:val="en-US"/>
        </w:rPr>
        <w:t>.</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35B6150" w14:textId="4894D83C" w:rsidR="00803A21" w:rsidRDefault="00B3133D" w:rsidP="00B3133D">
      <w:pPr>
        <w:snapToGrid w:val="0"/>
        <w:spacing w:after="120"/>
        <w:rPr>
          <w:lang w:val="en-US"/>
        </w:rPr>
      </w:pPr>
      <w:r>
        <w:rPr>
          <w:lang w:val="en-US"/>
        </w:rPr>
        <w:t xml:space="preserve">  </w:t>
      </w: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3"/>
        <w:rPr>
          <w:lang w:val="en-US"/>
        </w:rPr>
      </w:pPr>
      <w:r w:rsidRPr="00FD5224">
        <w:rPr>
          <w:highlight w:val="green"/>
          <w:lang w:val="en-US"/>
        </w:rPr>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w:t>
      </w:r>
      <w:proofErr w:type="spellStart"/>
      <w:r w:rsidR="009B5100" w:rsidRPr="009B5100">
        <w:rPr>
          <w:lang w:val="en-US"/>
        </w:rPr>
        <w:t>mIAB</w:t>
      </w:r>
      <w:proofErr w:type="spellEnd"/>
      <w:r w:rsidR="009B5100" w:rsidRPr="009B5100">
        <w:rPr>
          <w:lang w:val="en-US"/>
        </w:rPr>
        <w:t xml:space="preserve"> authorization status in path switch request ack is mandatory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w:t>
      </w:r>
      <w:proofErr w:type="gramStart"/>
      <w:r w:rsidR="009B5100" w:rsidRPr="009B5100">
        <w:rPr>
          <w:i/>
          <w:iCs/>
          <w:lang w:val="en-US"/>
        </w:rPr>
        <w:t>an</w:t>
      </w:r>
      <w:proofErr w:type="gramEnd"/>
      <w:r w:rsidR="009B5100" w:rsidRPr="009B5100">
        <w:rPr>
          <w:i/>
          <w:iCs/>
          <w:lang w:val="en-US"/>
        </w:rPr>
        <w:t xml:space="preserve"> </w:t>
      </w:r>
      <w:r w:rsidR="00F6782D">
        <w:rPr>
          <w:i/>
          <w:iCs/>
          <w:lang w:val="en-US"/>
        </w:rPr>
        <w:t xml:space="preserve">mobile </w:t>
      </w:r>
      <w:r w:rsidR="009B5100" w:rsidRPr="009B5100">
        <w:rPr>
          <w:i/>
          <w:iCs/>
          <w:lang w:val="en-US"/>
        </w:rPr>
        <w:t>IAB-MT</w:t>
      </w:r>
      <w:r w:rsidR="00EE46C7">
        <w:rPr>
          <w:i/>
          <w:iCs/>
          <w:lang w:val="en-US"/>
        </w:rPr>
        <w:t xml:space="preserve"> and the </w:t>
      </w:r>
      <w:proofErr w:type="spellStart"/>
      <w:r w:rsidR="00EE46C7">
        <w:rPr>
          <w:i/>
          <w:iCs/>
          <w:lang w:val="en-US"/>
        </w:rPr>
        <w:t>mIAB</w:t>
      </w:r>
      <w:proofErr w:type="spellEnd"/>
      <w:r w:rsidR="00EE46C7">
        <w:rPr>
          <w:i/>
          <w:iCs/>
          <w:lang w:val="en-US"/>
        </w:rPr>
        <w:t xml:space="preserve">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w:t>
      </w:r>
      <w:proofErr w:type="spellStart"/>
      <w:r>
        <w:rPr>
          <w:lang w:val="en-US"/>
        </w:rPr>
        <w:t>mIAB</w:t>
      </w:r>
      <w:proofErr w:type="spellEnd"/>
      <w:r>
        <w:rPr>
          <w:lang w:val="en-US"/>
        </w:rPr>
        <w:t xml:space="preserve"> authorization status to the RAN whenever it has changed. </w:t>
      </w:r>
      <w:r w:rsidRPr="009B5100">
        <w:rPr>
          <w:lang w:val="en-US"/>
        </w:rPr>
        <w:t>R3-240429</w:t>
      </w:r>
      <w:r>
        <w:rPr>
          <w:lang w:val="en-US"/>
        </w:rPr>
        <w:t xml:space="preserve"> 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3"/>
        <w:rPr>
          <w:i/>
          <w:iCs/>
          <w:color w:val="4472C4" w:themeColor="accent1"/>
          <w:lang w:val="en-US"/>
        </w:rPr>
      </w:pPr>
      <w:r w:rsidRPr="00336E3A">
        <w:rPr>
          <w:highlight w:val="green"/>
          <w:lang w:val="en-US"/>
        </w:rPr>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Clarification that in presence of two logical DUs, DL traffic can be differentiated based on upper layers</w:t>
      </w:r>
      <w:r w:rsidR="00F33361">
        <w:rPr>
          <w:lang w:val="en-US"/>
        </w:rPr>
        <w:t xml:space="preserve"> </w:t>
      </w:r>
    </w:p>
    <w:p w14:paraId="54454503" w14:textId="594D6C8A" w:rsidR="00D70761" w:rsidRPr="00B03DF9" w:rsidRDefault="00336E3A" w:rsidP="00336E3A">
      <w:pPr>
        <w:pStyle w:val="a9"/>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1CEC1778" w14:textId="77777777" w:rsidR="00A404D0" w:rsidRPr="006E77C8" w:rsidRDefault="00A404D0" w:rsidP="006E77C8">
      <w:pPr>
        <w:snapToGrid w:val="0"/>
        <w:spacing w:after="120"/>
        <w:rPr>
          <w:b/>
          <w:bCs/>
          <w:lang w:val="en-US"/>
        </w:rPr>
      </w:pPr>
    </w:p>
    <w:p w14:paraId="2A215931" w14:textId="6F8EA5FD" w:rsidR="009B5100" w:rsidRPr="009B5100" w:rsidRDefault="00401657" w:rsidP="00B40B51">
      <w:pPr>
        <w:pStyle w:val="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 xml:space="preserve">If the UE is </w:t>
      </w:r>
      <w:proofErr w:type="gramStart"/>
      <w:r w:rsidRPr="009B5100">
        <w:rPr>
          <w:i/>
          <w:iCs/>
          <w:lang w:val="en-US"/>
        </w:rPr>
        <w:t>an</w:t>
      </w:r>
      <w:proofErr w:type="gramEnd"/>
      <w:r w:rsidRPr="009B5100">
        <w:rPr>
          <w:i/>
          <w:iCs/>
          <w:lang w:val="en-US"/>
        </w:rPr>
        <w:t xml:space="preserve">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whether the AMF would or would not know which PDU session </w:t>
      </w:r>
      <w:r w:rsidR="009E3B6C">
        <w:rPr>
          <w:lang w:val="en-US"/>
        </w:rPr>
        <w:t>w</w:t>
      </w:r>
      <w:r w:rsidRPr="00336E3A">
        <w:rPr>
          <w:lang w:val="en-US"/>
        </w:rPr>
        <w:t xml:space="preserve">as (de)activated, or whether the RAN was directly informed about activated PDU sessions by the SMF.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A4C688C" w:rsidR="00B4588A" w:rsidRPr="00934B30" w:rsidRDefault="00934B30" w:rsidP="00B4588A">
      <w:pPr>
        <w:snapToGrid w:val="0"/>
        <w:spacing w:before="120" w:after="120"/>
        <w:rPr>
          <w:bCs/>
          <w:color w:val="C45911" w:themeColor="accent2" w:themeShade="BF"/>
          <w:lang w:val="en-US" w:eastAsia="zh-CN"/>
        </w:rPr>
      </w:pPr>
      <w:r w:rsidRPr="00934B30">
        <w:rPr>
          <w:rFonts w:hint="eastAsia"/>
          <w:bCs/>
          <w:color w:val="C45911" w:themeColor="accent2" w:themeShade="BF"/>
          <w:lang w:val="en-US" w:eastAsia="zh-CN"/>
        </w:rPr>
        <w:t>[</w:t>
      </w:r>
      <w:r w:rsidRPr="00934B30">
        <w:rPr>
          <w:bCs/>
          <w:color w:val="C45911" w:themeColor="accent2" w:themeShade="BF"/>
          <w:lang w:val="en-US" w:eastAsia="zh-CN"/>
        </w:rPr>
        <w:t>Huawei]</w:t>
      </w:r>
      <w:r>
        <w:rPr>
          <w:bCs/>
          <w:color w:val="C45911" w:themeColor="accent2" w:themeShade="BF"/>
          <w:lang w:val="en-US" w:eastAsia="zh-CN"/>
        </w:rPr>
        <w:t xml:space="preserve"> </w:t>
      </w:r>
      <w:r w:rsidR="00071D42">
        <w:rPr>
          <w:bCs/>
          <w:color w:val="C45911" w:themeColor="accent2" w:themeShade="BF"/>
          <w:lang w:val="en-US" w:eastAsia="zh-CN"/>
        </w:rPr>
        <w:t>F</w:t>
      </w:r>
      <w:r>
        <w:rPr>
          <w:rFonts w:hint="eastAsia"/>
          <w:bCs/>
          <w:color w:val="C45911" w:themeColor="accent2" w:themeShade="BF"/>
          <w:lang w:val="en-US" w:eastAsia="zh-CN"/>
        </w:rPr>
        <w:t>ine</w:t>
      </w:r>
      <w:r>
        <w:rPr>
          <w:bCs/>
          <w:color w:val="C45911" w:themeColor="accent2" w:themeShade="BF"/>
          <w:lang w:val="en-US" w:eastAsia="zh-CN"/>
        </w:rPr>
        <w:t xml:space="preserve"> </w:t>
      </w:r>
      <w:r>
        <w:rPr>
          <w:rFonts w:hint="eastAsia"/>
          <w:bCs/>
          <w:color w:val="C45911" w:themeColor="accent2" w:themeShade="BF"/>
          <w:lang w:val="en-US" w:eastAsia="zh-CN"/>
        </w:rPr>
        <w:t>to</w:t>
      </w:r>
      <w:r>
        <w:rPr>
          <w:bCs/>
          <w:color w:val="C45911" w:themeColor="accent2" w:themeShade="BF"/>
          <w:lang w:val="en-US" w:eastAsia="zh-CN"/>
        </w:rPr>
        <w:t xml:space="preserve"> </w:t>
      </w:r>
      <w:r>
        <w:rPr>
          <w:rFonts w:hint="eastAsia"/>
          <w:bCs/>
          <w:color w:val="C45911" w:themeColor="accent2" w:themeShade="BF"/>
          <w:lang w:val="en-US" w:eastAsia="zh-CN"/>
        </w:rPr>
        <w:t>wait</w:t>
      </w:r>
      <w:r>
        <w:rPr>
          <w:bCs/>
          <w:color w:val="C45911" w:themeColor="accent2" w:themeShade="BF"/>
          <w:lang w:val="en-US" w:eastAsia="zh-CN"/>
        </w:rPr>
        <w:t xml:space="preserve"> </w:t>
      </w:r>
      <w:r>
        <w:rPr>
          <w:rFonts w:hint="eastAsia"/>
          <w:bCs/>
          <w:color w:val="C45911" w:themeColor="accent2" w:themeShade="BF"/>
          <w:lang w:val="en-US" w:eastAsia="zh-CN"/>
        </w:rPr>
        <w:t>for</w:t>
      </w:r>
      <w:r>
        <w:rPr>
          <w:bCs/>
          <w:color w:val="C45911" w:themeColor="accent2" w:themeShade="BF"/>
          <w:lang w:val="en-US" w:eastAsia="zh-CN"/>
        </w:rPr>
        <w:t xml:space="preserve"> </w:t>
      </w:r>
      <w:r>
        <w:rPr>
          <w:rFonts w:hint="eastAsia"/>
          <w:bCs/>
          <w:color w:val="C45911" w:themeColor="accent2" w:themeShade="BF"/>
          <w:lang w:val="en-US" w:eastAsia="zh-CN"/>
        </w:rPr>
        <w:t>SA</w:t>
      </w:r>
      <w:r>
        <w:rPr>
          <w:bCs/>
          <w:color w:val="C45911" w:themeColor="accent2" w:themeShade="BF"/>
          <w:lang w:val="en-US" w:eastAsia="zh-CN"/>
        </w:rPr>
        <w:t xml:space="preserve">2 for </w:t>
      </w:r>
      <w:r>
        <w:rPr>
          <w:rFonts w:hint="eastAsia"/>
          <w:bCs/>
          <w:color w:val="C45911" w:themeColor="accent2" w:themeShade="BF"/>
          <w:lang w:val="en-US" w:eastAsia="zh-CN"/>
        </w:rPr>
        <w:t>the</w:t>
      </w:r>
      <w:r>
        <w:rPr>
          <w:bCs/>
          <w:color w:val="C45911" w:themeColor="accent2" w:themeShade="BF"/>
          <w:lang w:val="en-US" w:eastAsia="zh-CN"/>
        </w:rPr>
        <w:t xml:space="preserve"> </w:t>
      </w:r>
      <w:r>
        <w:rPr>
          <w:rFonts w:hint="eastAsia"/>
          <w:bCs/>
          <w:color w:val="C45911" w:themeColor="accent2" w:themeShade="BF"/>
          <w:lang w:val="en-US" w:eastAsia="zh-CN"/>
        </w:rPr>
        <w:t>NG</w:t>
      </w:r>
      <w:r>
        <w:rPr>
          <w:bCs/>
          <w:color w:val="C45911" w:themeColor="accent2" w:themeShade="BF"/>
          <w:lang w:val="en-US" w:eastAsia="zh-CN"/>
        </w:rPr>
        <w:t xml:space="preserve"> </w:t>
      </w:r>
      <w:r>
        <w:rPr>
          <w:rFonts w:hint="eastAsia"/>
          <w:bCs/>
          <w:color w:val="C45911" w:themeColor="accent2" w:themeShade="BF"/>
          <w:lang w:val="en-US" w:eastAsia="zh-CN"/>
        </w:rPr>
        <w:t>Handover</w:t>
      </w:r>
      <w:r>
        <w:rPr>
          <w:bCs/>
          <w:color w:val="C45911" w:themeColor="accent2" w:themeShade="BF"/>
          <w:lang w:val="en-US" w:eastAsia="zh-CN"/>
        </w:rPr>
        <w:t xml:space="preserve"> </w:t>
      </w:r>
      <w:r>
        <w:rPr>
          <w:rFonts w:hint="eastAsia"/>
          <w:bCs/>
          <w:color w:val="C45911" w:themeColor="accent2" w:themeShade="BF"/>
          <w:lang w:val="en-US" w:eastAsia="zh-CN"/>
        </w:rPr>
        <w:t>Required,</w:t>
      </w:r>
      <w:r>
        <w:rPr>
          <w:bCs/>
          <w:color w:val="C45911" w:themeColor="accent2" w:themeShade="BF"/>
          <w:lang w:val="en-US" w:eastAsia="zh-CN"/>
        </w:rPr>
        <w:t xml:space="preserve"> but no</w:t>
      </w:r>
      <w:r>
        <w:rPr>
          <w:rFonts w:hint="eastAsia"/>
          <w:bCs/>
          <w:color w:val="C45911" w:themeColor="accent2" w:themeShade="BF"/>
          <w:lang w:val="en-US" w:eastAsia="zh-CN"/>
        </w:rPr>
        <w:t>t</w:t>
      </w:r>
      <w:r>
        <w:rPr>
          <w:bCs/>
          <w:color w:val="C45911" w:themeColor="accent2" w:themeShade="BF"/>
          <w:lang w:val="en-US" w:eastAsia="zh-CN"/>
        </w:rPr>
        <w:t xml:space="preserve"> for the NG Handover Request Ack</w:t>
      </w:r>
      <w:r w:rsidR="00EE53F9">
        <w:rPr>
          <w:bCs/>
          <w:color w:val="C45911" w:themeColor="accent2" w:themeShade="BF"/>
          <w:lang w:val="en-US" w:eastAsia="zh-CN"/>
        </w:rPr>
        <w:t xml:space="preserve">. Because R3 already agreed that the AMF to include the </w:t>
      </w:r>
      <w:r w:rsidR="00EE53F9">
        <w:rPr>
          <w:rFonts w:hint="eastAsia"/>
          <w:bCs/>
          <w:color w:val="C45911" w:themeColor="accent2" w:themeShade="BF"/>
          <w:lang w:val="en-US" w:eastAsia="zh-CN"/>
        </w:rPr>
        <w:t>no</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PDU</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session</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indicator</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w:t>
      </w:r>
      <w:r w:rsidR="00EE53F9">
        <w:rPr>
          <w:bCs/>
          <w:color w:val="C459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14:paraId="0DD98C1A" w14:textId="77777777" w:rsidR="00E76F35" w:rsidRDefault="00E76F35" w:rsidP="00401657">
      <w:pPr>
        <w:snapToGrid w:val="0"/>
        <w:spacing w:before="120" w:after="120"/>
        <w:rPr>
          <w:b/>
          <w:bCs/>
          <w:lang w:val="en-US"/>
        </w:rPr>
      </w:pPr>
    </w:p>
    <w:p w14:paraId="08382F30" w14:textId="7173297A" w:rsidR="009B5100" w:rsidRPr="009B5100" w:rsidRDefault="00401657" w:rsidP="00B40B51">
      <w:pPr>
        <w:pStyle w:val="3"/>
        <w:rPr>
          <w:i/>
          <w:iCs/>
          <w:lang w:val="en-US"/>
        </w:rPr>
      </w:pPr>
      <w:r w:rsidRPr="007D07EE">
        <w:rPr>
          <w:highlight w:val="green"/>
          <w:lang w:val="en-US"/>
        </w:rPr>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 xml:space="preserve">In 38.423, add to Retrieve UE Context Retrieval message behavior in case </w:t>
      </w:r>
      <w:proofErr w:type="spellStart"/>
      <w:r w:rsidR="009B5100" w:rsidRPr="009B5100">
        <w:rPr>
          <w:lang w:val="en-US"/>
        </w:rPr>
        <w:t>mIAB</w:t>
      </w:r>
      <w:proofErr w:type="spellEnd"/>
      <w:r w:rsidR="009B5100" w:rsidRPr="009B5100">
        <w:rPr>
          <w:lang w:val="en-US"/>
        </w:rPr>
        <w:t>-MT is not authorized</w:t>
      </w:r>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a9"/>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w:t>
      </w:r>
      <w:proofErr w:type="spellStart"/>
      <w:r w:rsidRPr="00653853">
        <w:rPr>
          <w:lang w:val="en-US"/>
        </w:rPr>
        <w:t>Xn</w:t>
      </w:r>
      <w:proofErr w:type="spellEnd"/>
      <w:r w:rsidRPr="00653853">
        <w:rPr>
          <w:lang w:val="en-US"/>
        </w:rPr>
        <w:t xml:space="preserve"> Context Retrieval Response (and </w:t>
      </w:r>
      <w:proofErr w:type="spellStart"/>
      <w:r w:rsidRPr="00653853">
        <w:rPr>
          <w:lang w:val="en-US"/>
        </w:rPr>
        <w:t>TMManagementResponse</w:t>
      </w:r>
      <w:proofErr w:type="spellEnd"/>
      <w:r w:rsidRPr="00653853">
        <w:rPr>
          <w:lang w:val="en-US"/>
        </w:rPr>
        <w:t>)</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3"/>
        <w:rPr>
          <w:lang w:val="en-US"/>
        </w:rPr>
      </w:pPr>
      <w:r w:rsidRPr="00A352EB">
        <w:rPr>
          <w:highlight w:val="green"/>
          <w:lang w:val="en-US"/>
        </w:rPr>
        <w:lastRenderedPageBreak/>
        <w:t>Issue 15:</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 xml:space="preserve">In 38.420, add to exchange information on </w:t>
      </w:r>
      <w:proofErr w:type="spellStart"/>
      <w:r w:rsidR="009B5100" w:rsidRPr="009B5100">
        <w:rPr>
          <w:lang w:val="en-US"/>
        </w:rPr>
        <w:t>mIAB</w:t>
      </w:r>
      <w:proofErr w:type="spellEnd"/>
      <w:r w:rsidR="009B5100" w:rsidRPr="009B5100">
        <w:rPr>
          <w:lang w:val="en-US"/>
        </w:rPr>
        <w:t xml:space="preserve">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Offline discussion was controversial whether every little bit of information would have to be included in the IA</w:t>
      </w:r>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xml:space="preserve">: Capture in 38.420 that TMM procedures convey IAB and </w:t>
      </w:r>
      <w:proofErr w:type="spellStart"/>
      <w:r w:rsidRPr="00297BCD">
        <w:rPr>
          <w:b/>
          <w:bCs/>
          <w:lang w:val="en-US"/>
        </w:rPr>
        <w:t>mIAB</w:t>
      </w:r>
      <w:proofErr w:type="spellEnd"/>
      <w:r w:rsidRPr="00297BCD">
        <w:rPr>
          <w:b/>
          <w:bCs/>
          <w:lang w:val="en-US"/>
        </w:rPr>
        <w:t xml:space="preserve"> authorization status</w:t>
      </w:r>
      <w:r w:rsidR="00952833">
        <w:rPr>
          <w:b/>
          <w:bCs/>
          <w:lang w:val="en-US"/>
        </w:rPr>
        <w:t xml:space="preserve">, e.g., “… change information, e.g., </w:t>
      </w:r>
      <w:proofErr w:type="spellStart"/>
      <w:r w:rsidR="00952833">
        <w:rPr>
          <w:b/>
          <w:bCs/>
          <w:lang w:val="en-US"/>
        </w:rPr>
        <w:t>mIAB</w:t>
      </w:r>
      <w:proofErr w:type="spellEnd"/>
      <w:r w:rsidR="00952833">
        <w:rPr>
          <w:b/>
          <w:bCs/>
          <w:lang w:val="en-US"/>
        </w:rPr>
        <w:t xml:space="preserve"> authorization information”</w:t>
      </w:r>
      <w:r w:rsidRPr="00297BCD">
        <w:rPr>
          <w:b/>
          <w:bCs/>
          <w:lang w:val="en-US"/>
        </w:rPr>
        <w:t>.</w:t>
      </w:r>
    </w:p>
    <w:p w14:paraId="012DB119" w14:textId="77777777" w:rsidR="00D70761" w:rsidRPr="00D70761" w:rsidRDefault="00D70761" w:rsidP="00297BCD">
      <w:pPr>
        <w:snapToGrid w:val="0"/>
        <w:spacing w:after="120"/>
        <w:rPr>
          <w:color w:val="4472C4" w:themeColor="accent1"/>
          <w:lang w:val="en-US"/>
        </w:rPr>
      </w:pPr>
    </w:p>
    <w:p w14:paraId="0F611312" w14:textId="1ACA6D71" w:rsidR="00D70761" w:rsidRPr="00D70761" w:rsidRDefault="00D70761" w:rsidP="00B40B51">
      <w:pPr>
        <w:pStyle w:val="3"/>
        <w:rPr>
          <w:i/>
          <w:iCs/>
          <w:color w:val="4472C4" w:themeColor="accent1"/>
          <w:lang w:val="en-US"/>
        </w:rPr>
      </w:pPr>
      <w:r w:rsidRPr="002F01A8">
        <w:rPr>
          <w:highlight w:val="green"/>
          <w:lang w:val="en-US"/>
        </w:rPr>
        <w:t>Issue</w:t>
      </w:r>
      <w:r w:rsidR="00B2231C" w:rsidRPr="002F01A8">
        <w:rPr>
          <w:highlight w:val="green"/>
          <w:lang w:val="en-US"/>
        </w:rPr>
        <w:t xml:space="preserve"> 17</w:t>
      </w:r>
      <w:r>
        <w:rPr>
          <w:lang w:val="en-US"/>
        </w:rPr>
        <w:t xml:space="preserve">: </w:t>
      </w:r>
      <w:r w:rsidRPr="00D70761">
        <w:rPr>
          <w:lang w:val="en-US"/>
        </w:rPr>
        <w:t xml:space="preserve">RRC-terminating CU to refuse IAB TMM request for offload if </w:t>
      </w:r>
      <w:proofErr w:type="spellStart"/>
      <w:r w:rsidRPr="00D70761">
        <w:rPr>
          <w:lang w:val="en-US"/>
        </w:rPr>
        <w:t>mIAB</w:t>
      </w:r>
      <w:proofErr w:type="spellEnd"/>
      <w:r w:rsidRPr="00D70761">
        <w:rPr>
          <w:lang w:val="en-US"/>
        </w:rPr>
        <w:t>-MT is not authorized</w:t>
      </w:r>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w:t>
      </w:r>
      <w:proofErr w:type="spellStart"/>
      <w:r w:rsidR="00D70761" w:rsidRPr="00D70761">
        <w:rPr>
          <w:lang w:val="en-US"/>
        </w:rPr>
        <w:t>mIAB</w:t>
      </w:r>
      <w:proofErr w:type="spellEnd"/>
      <w:r w:rsidR="00D70761" w:rsidRPr="00D70761">
        <w:rPr>
          <w:lang w:val="en-US"/>
        </w:rPr>
        <w:t xml:space="preserve">-MT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Nokia: Add in 38.423 to reject procedure new cause values for “no BH resource” and “non authorized”</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a9"/>
        <w:numPr>
          <w:ilvl w:val="0"/>
          <w:numId w:val="29"/>
        </w:numPr>
        <w:snapToGrid w:val="0"/>
        <w:spacing w:before="120" w:after="120"/>
        <w:rPr>
          <w:lang w:val="en-US"/>
        </w:rPr>
      </w:pPr>
      <w:r w:rsidRPr="00321358">
        <w:rPr>
          <w:lang w:val="en-US"/>
        </w:rPr>
        <w:t xml:space="preserve">The </w:t>
      </w:r>
      <w:proofErr w:type="spellStart"/>
      <w:r w:rsidRPr="00321358">
        <w:rPr>
          <w:lang w:val="en-US"/>
        </w:rPr>
        <w:t>mIAB</w:t>
      </w:r>
      <w:proofErr w:type="spellEnd"/>
      <w:r w:rsidRPr="00321358">
        <w:rPr>
          <w:lang w:val="en-US"/>
        </w:rPr>
        <w:t xml:space="preserve"> authorization status changes at MT handover (e.g., due to the MT’s new location) to “not authorized”. After the HO, the DU’s CU initiates the </w:t>
      </w:r>
      <w:proofErr w:type="spellStart"/>
      <w:r w:rsidRPr="00321358">
        <w:rPr>
          <w:lang w:val="en-US"/>
        </w:rPr>
        <w:t>TMManagement</w:t>
      </w:r>
      <w:proofErr w:type="spellEnd"/>
      <w:r w:rsidRPr="00321358">
        <w:rPr>
          <w:lang w:val="en-US"/>
        </w:rPr>
        <w:t xml:space="preserve"> procedure with </w:t>
      </w:r>
      <w:proofErr w:type="gramStart"/>
      <w:r w:rsidRPr="00321358">
        <w:rPr>
          <w:lang w:val="en-US"/>
        </w:rPr>
        <w:t>an</w:t>
      </w:r>
      <w:proofErr w:type="gramEnd"/>
      <w:r w:rsidRPr="00321358">
        <w:rPr>
          <w:lang w:val="en-US"/>
        </w:rPr>
        <w:t xml:space="preserve">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w:t>
      </w:r>
      <w:proofErr w:type="spellStart"/>
      <w:r>
        <w:rPr>
          <w:lang w:val="en-US"/>
        </w:rPr>
        <w:t>TMModification</w:t>
      </w:r>
      <w:proofErr w:type="spellEnd"/>
      <w:r>
        <w:rPr>
          <w:lang w:val="en-US"/>
        </w:rPr>
        <w:t xml:space="preserve"> Request afterwards with the new authorization status. To avoid this extra step, it is proposed to add a “</w:t>
      </w:r>
      <w:proofErr w:type="spellStart"/>
      <w:r>
        <w:rPr>
          <w:lang w:val="en-US"/>
        </w:rPr>
        <w:t>mIAB</w:t>
      </w:r>
      <w:proofErr w:type="spellEnd"/>
      <w:r>
        <w:rPr>
          <w:lang w:val="en-US"/>
        </w:rPr>
        <w:t>-node not authorized” cause value to the traffic offload rejection.</w:t>
      </w:r>
    </w:p>
    <w:p w14:paraId="3F845930" w14:textId="3B06A578" w:rsidR="00321358" w:rsidRDefault="00321358" w:rsidP="00321358">
      <w:pPr>
        <w:pStyle w:val="a9"/>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a9"/>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a9"/>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a9"/>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53FB8460" w:rsid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002C1904">
        <w:rPr>
          <w:b/>
          <w:bCs/>
          <w:lang w:val="en-US"/>
        </w:rPr>
        <w:t xml:space="preserve"> Check potential impact on Rel-16/17 IAB. Check potential impact on F1AP.</w:t>
      </w:r>
    </w:p>
    <w:p w14:paraId="73123967" w14:textId="46172670" w:rsidR="00307492" w:rsidRPr="00D87A6F" w:rsidRDefault="00D87A6F" w:rsidP="001971C8">
      <w:pPr>
        <w:snapToGrid w:val="0"/>
        <w:spacing w:before="120" w:after="120"/>
        <w:rPr>
          <w:bCs/>
          <w:color w:val="C45911" w:themeColor="accent2" w:themeShade="BF"/>
          <w:lang w:val="en-US" w:eastAsia="zh-CN"/>
        </w:rPr>
      </w:pPr>
      <w:r w:rsidRPr="00D87A6F">
        <w:rPr>
          <w:rFonts w:hint="eastAsia"/>
          <w:bCs/>
          <w:color w:val="C45911" w:themeColor="accent2" w:themeShade="BF"/>
          <w:lang w:val="en-US" w:eastAsia="zh-CN"/>
        </w:rPr>
        <w:t>[</w:t>
      </w:r>
      <w:r w:rsidRPr="00D87A6F">
        <w:rPr>
          <w:bCs/>
          <w:color w:val="C45911" w:themeColor="accent2" w:themeShade="BF"/>
          <w:lang w:val="en-US" w:eastAsia="zh-CN"/>
        </w:rPr>
        <w:t>Huawei]</w:t>
      </w:r>
      <w:r>
        <w:rPr>
          <w:bCs/>
          <w:color w:val="C45911" w:themeColor="accent2" w:themeShade="BF"/>
          <w:lang w:val="en-US" w:eastAsia="zh-CN"/>
        </w:rPr>
        <w:t>:</w:t>
      </w:r>
      <w:r w:rsidR="0005139A">
        <w:rPr>
          <w:bCs/>
          <w:color w:val="C45911" w:themeColor="accent2" w:themeShade="BF"/>
          <w:lang w:val="en-US" w:eastAsia="zh-CN"/>
        </w:rPr>
        <w:t xml:space="preserve"> It is unclear to me why we need check the previous release in Rel-18 Agenda Item? What is the impact to F1AP on the TMM reject? Would like to suggest the following change </w:t>
      </w:r>
    </w:p>
    <w:p w14:paraId="7CF36720" w14:textId="56692E87" w:rsidR="0057600B" w:rsidRDefault="0057600B" w:rsidP="0057600B">
      <w:pPr>
        <w:snapToGrid w:val="0"/>
        <w:spacing w:before="120" w:after="120"/>
        <w:rPr>
          <w:ins w:id="44" w:author="CATT" w:date="2024-02-27T19:03:00Z"/>
          <w:b/>
          <w:bCs/>
          <w:lang w:val="en-US"/>
        </w:rPr>
      </w:pPr>
      <w:r w:rsidRPr="0057600B">
        <w:rPr>
          <w:b/>
          <w:bCs/>
          <w:lang w:val="en-US"/>
        </w:rPr>
        <w:t>Proposal 17:</w:t>
      </w:r>
      <w:r w:rsidRPr="0017018D">
        <w:rPr>
          <w:b/>
          <w:bCs/>
          <w:lang w:val="en-US"/>
        </w:rPr>
        <w:t xml:space="preserve"> </w:t>
      </w:r>
      <w:r>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Pr="0057600B">
        <w:rPr>
          <w:b/>
          <w:bCs/>
          <w:lang w:val="en-US"/>
        </w:rPr>
        <w:t xml:space="preserve"> </w:t>
      </w:r>
      <w:del w:id="45" w:author="Huawei" w:date="2024-02-27T16:10:00Z">
        <w:r w:rsidDel="0057600B">
          <w:rPr>
            <w:b/>
            <w:bCs/>
            <w:lang w:val="en-US"/>
          </w:rPr>
          <w:delText>Check potential impact on Rel-16/17 IAB. Check potential impact on F1AP.</w:delText>
        </w:r>
      </w:del>
    </w:p>
    <w:p w14:paraId="30CFF09C" w14:textId="77777777" w:rsidR="004D4842" w:rsidRDefault="004D4842" w:rsidP="004D4842">
      <w:pPr>
        <w:snapToGrid w:val="0"/>
        <w:spacing w:before="120" w:after="120"/>
        <w:rPr>
          <w:ins w:id="46" w:author="CATT" w:date="2024-02-27T19:03:00Z"/>
          <w:lang w:val="en-US" w:eastAsia="zh-CN"/>
        </w:rPr>
      </w:pPr>
      <w:ins w:id="47" w:author="CATT" w:date="2024-02-27T19:03:00Z">
        <w:r w:rsidRPr="004F0443">
          <w:rPr>
            <w:rFonts w:hint="eastAsia"/>
            <w:lang w:val="en-US" w:eastAsia="zh-CN"/>
          </w:rPr>
          <w:t>[</w:t>
        </w:r>
        <w:r w:rsidRPr="004F0443">
          <w:rPr>
            <w:lang w:val="en-US" w:eastAsia="zh-CN"/>
          </w:rPr>
          <w:t xml:space="preserve">CATT]: </w:t>
        </w:r>
        <w:r>
          <w:rPr>
            <w:lang w:val="en-US" w:eastAsia="zh-CN"/>
          </w:rPr>
          <w:t>If we consider cause values, it d</w:t>
        </w:r>
        <w:r w:rsidRPr="004F0443">
          <w:rPr>
            <w:lang w:val="en-US" w:eastAsia="zh-CN"/>
          </w:rPr>
          <w:t xml:space="preserve">oes not make sense to </w:t>
        </w:r>
        <w:r>
          <w:rPr>
            <w:lang w:val="en-US" w:eastAsia="zh-CN"/>
          </w:rPr>
          <w:t xml:space="preserve">only </w:t>
        </w:r>
        <w:r w:rsidRPr="004F0443">
          <w:rPr>
            <w:lang w:val="en-US" w:eastAsia="zh-CN"/>
          </w:rPr>
          <w:t>introduce value</w:t>
        </w:r>
        <w:r>
          <w:rPr>
            <w:lang w:val="en-US" w:eastAsia="zh-CN"/>
          </w:rPr>
          <w:t>s for such two cases</w:t>
        </w:r>
        <w:r w:rsidRPr="004F0443">
          <w:rPr>
            <w:lang w:val="en-US" w:eastAsia="zh-CN"/>
          </w:rPr>
          <w:t>.</w:t>
        </w:r>
      </w:ins>
    </w:p>
    <w:p w14:paraId="344E6B56" w14:textId="77777777" w:rsidR="004D4842" w:rsidRDefault="004D4842" w:rsidP="004D4842">
      <w:pPr>
        <w:snapToGrid w:val="0"/>
        <w:spacing w:before="120" w:after="120"/>
        <w:rPr>
          <w:ins w:id="48" w:author="CATT" w:date="2024-02-27T19:03:00Z"/>
          <w:lang w:val="en-US" w:eastAsia="zh-CN"/>
        </w:rPr>
      </w:pPr>
      <w:ins w:id="49" w:author="CATT" w:date="2024-02-27T19:03:00Z">
        <w:r>
          <w:rPr>
            <w:lang w:val="en-US" w:eastAsia="zh-CN"/>
          </w:rPr>
          <w:t xml:space="preserve">On the other hand, if the </w:t>
        </w:r>
        <w:proofErr w:type="spellStart"/>
        <w:r>
          <w:rPr>
            <w:lang w:val="en-US" w:eastAsia="zh-CN"/>
          </w:rPr>
          <w:t>mIAB</w:t>
        </w:r>
        <w:proofErr w:type="spellEnd"/>
        <w:r>
          <w:rPr>
            <w:lang w:val="en-US" w:eastAsia="zh-CN"/>
          </w:rPr>
          <w:t>-node is not authorized, a</w:t>
        </w:r>
        <w:r w:rsidRPr="004F0443">
          <w:rPr>
            <w:lang w:val="en-US" w:eastAsia="zh-CN"/>
          </w:rPr>
          <w:t xml:space="preserve">fter the MT’s CU reject the offload request, it can send the </w:t>
        </w:r>
        <w:proofErr w:type="spellStart"/>
        <w:r w:rsidRPr="004F0443">
          <w:rPr>
            <w:lang w:val="en-US" w:eastAsia="zh-CN"/>
          </w:rPr>
          <w:t>TMModification</w:t>
        </w:r>
        <w:proofErr w:type="spellEnd"/>
        <w:r w:rsidRPr="004F0443">
          <w:rPr>
            <w:lang w:val="en-US" w:eastAsia="zh-CN"/>
          </w:rPr>
          <w:t xml:space="preserve"> Request with “not authorized” information to the DU’s CU</w:t>
        </w:r>
        <w:r>
          <w:rPr>
            <w:lang w:val="en-US" w:eastAsia="zh-CN"/>
          </w:rPr>
          <w:t xml:space="preserve"> immediately</w:t>
        </w:r>
        <w:r w:rsidRPr="004F0443">
          <w:rPr>
            <w:lang w:val="en-US" w:eastAsia="zh-CN"/>
          </w:rPr>
          <w:t xml:space="preserve">, then the DU’s CU will know that the rejection received before is due to </w:t>
        </w:r>
        <w:proofErr w:type="spellStart"/>
        <w:r w:rsidRPr="004F0443">
          <w:rPr>
            <w:lang w:val="en-US" w:eastAsia="zh-CN"/>
          </w:rPr>
          <w:t>mIAB</w:t>
        </w:r>
        <w:proofErr w:type="spellEnd"/>
        <w:r w:rsidRPr="004F0443">
          <w:rPr>
            <w:lang w:val="en-US" w:eastAsia="zh-CN"/>
          </w:rPr>
          <w:t>-node not being authorized</w:t>
        </w:r>
        <w:r>
          <w:rPr>
            <w:lang w:val="en-US" w:eastAsia="zh-CN"/>
          </w:rPr>
          <w:t>. Alternatively, the TMM Reject message can carry the authorized status.</w:t>
        </w:r>
      </w:ins>
    </w:p>
    <w:p w14:paraId="3F7893D7" w14:textId="77777777" w:rsidR="004D4842" w:rsidRDefault="004D4842" w:rsidP="004D4842">
      <w:pPr>
        <w:snapToGrid w:val="0"/>
        <w:spacing w:before="120" w:after="120"/>
        <w:rPr>
          <w:ins w:id="50" w:author="CATT" w:date="2024-02-27T19:03:00Z"/>
          <w:lang w:val="en-US" w:eastAsia="zh-CN"/>
        </w:rPr>
      </w:pPr>
      <w:ins w:id="51" w:author="CATT" w:date="2024-02-27T19:03:00Z">
        <w:r>
          <w:rPr>
            <w:lang w:val="en-US" w:eastAsia="zh-CN"/>
          </w:rPr>
          <w:t xml:space="preserve">We need to capture that </w:t>
        </w:r>
        <w:r>
          <w:rPr>
            <w:lang w:val="en-US"/>
          </w:rPr>
          <w:t>MT’s</w:t>
        </w:r>
        <w:r w:rsidRPr="00D70761">
          <w:rPr>
            <w:lang w:val="en-US"/>
          </w:rPr>
          <w:t xml:space="preserve"> CU </w:t>
        </w:r>
        <w:r>
          <w:rPr>
            <w:lang w:val="en-US"/>
          </w:rPr>
          <w:t>may</w:t>
        </w:r>
        <w:r w:rsidRPr="00D70761">
          <w:rPr>
            <w:lang w:val="en-US"/>
          </w:rPr>
          <w:t xml:space="preserve"> reject IAB TMM request for offload </w:t>
        </w:r>
        <w:r>
          <w:rPr>
            <w:lang w:val="en-US"/>
          </w:rPr>
          <w:t>when</w:t>
        </w:r>
        <w:r w:rsidRPr="00D70761">
          <w:rPr>
            <w:lang w:val="en-US"/>
          </w:rPr>
          <w:t xml:space="preserve"> </w:t>
        </w:r>
        <w:proofErr w:type="spellStart"/>
        <w:r w:rsidRPr="00D70761">
          <w:rPr>
            <w:lang w:val="en-US"/>
          </w:rPr>
          <w:t>mIAB</w:t>
        </w:r>
        <w:proofErr w:type="spellEnd"/>
        <w:r w:rsidRPr="00D70761">
          <w:rPr>
            <w:lang w:val="en-US"/>
          </w:rPr>
          <w:t>-MT is not authorized</w:t>
        </w:r>
        <w:r>
          <w:rPr>
            <w:lang w:val="en-US" w:eastAsia="zh-CN"/>
          </w:rPr>
          <w:t>. Or, we introduce authorization status IE in the TMM Reject message.</w:t>
        </w:r>
      </w:ins>
    </w:p>
    <w:p w14:paraId="1C2ACB8F" w14:textId="0FCC7188" w:rsidR="004D4842" w:rsidRDefault="004D4842" w:rsidP="004D4842">
      <w:pPr>
        <w:snapToGrid w:val="0"/>
        <w:spacing w:before="120" w:after="120"/>
        <w:rPr>
          <w:b/>
          <w:bCs/>
          <w:lang w:val="en-US"/>
        </w:rPr>
      </w:pPr>
      <w:ins w:id="52" w:author="CATT" w:date="2024-02-27T19:03:00Z">
        <w:r w:rsidRPr="005F4D84">
          <w:rPr>
            <w:rFonts w:hint="eastAsia"/>
            <w:b/>
            <w:bCs/>
            <w:lang w:val="en-US" w:eastAsia="zh-CN"/>
          </w:rPr>
          <w:lastRenderedPageBreak/>
          <w:t>P</w:t>
        </w:r>
        <w:r w:rsidRPr="005F4D84">
          <w:rPr>
            <w:b/>
            <w:bCs/>
            <w:lang w:val="en-US" w:eastAsia="zh-CN"/>
          </w:rPr>
          <w:t xml:space="preserve">17: Capture in spec that </w:t>
        </w:r>
        <w:r w:rsidRPr="005F4D84">
          <w:rPr>
            <w:b/>
            <w:bCs/>
            <w:lang w:val="en-US"/>
          </w:rPr>
          <w:t xml:space="preserve">RRC-terminating CU may reject IAB TMM request for offload if </w:t>
        </w:r>
        <w:proofErr w:type="spellStart"/>
        <w:r w:rsidRPr="005F4D84">
          <w:rPr>
            <w:b/>
            <w:bCs/>
            <w:lang w:val="en-US"/>
          </w:rPr>
          <w:t>mIAB</w:t>
        </w:r>
        <w:proofErr w:type="spellEnd"/>
        <w:r w:rsidRPr="005F4D84">
          <w:rPr>
            <w:b/>
            <w:bCs/>
            <w:lang w:val="en-US"/>
          </w:rPr>
          <w:t>-MT is not authorized</w:t>
        </w:r>
        <w:r>
          <w:rPr>
            <w:b/>
            <w:bCs/>
            <w:lang w:val="en-US"/>
          </w:rPr>
          <w:t>, or introduce authorization status IE in the TMM Reject message</w:t>
        </w:r>
        <w:r w:rsidRPr="005F4D84">
          <w:rPr>
            <w:b/>
            <w:bCs/>
            <w:lang w:val="en-US"/>
          </w:rPr>
          <w:t>.</w:t>
        </w:r>
      </w:ins>
    </w:p>
    <w:p w14:paraId="7DD74F84" w14:textId="62BA564A" w:rsidR="00CD4280" w:rsidRDefault="00CD4280" w:rsidP="00D70761">
      <w:pPr>
        <w:snapToGrid w:val="0"/>
        <w:spacing w:before="120" w:after="120"/>
        <w:rPr>
          <w:b/>
          <w:bCs/>
          <w:lang w:val="en-US"/>
        </w:rPr>
      </w:pPr>
    </w:p>
    <w:p w14:paraId="73D02854" w14:textId="2236424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 xml:space="preserve">In 38.401, clarify under IAB and </w:t>
      </w:r>
      <w:proofErr w:type="spellStart"/>
      <w:r w:rsidRPr="00D70761">
        <w:rPr>
          <w:lang w:val="en-US"/>
        </w:rPr>
        <w:t>mIAB</w:t>
      </w:r>
      <w:proofErr w:type="spellEnd"/>
      <w:r w:rsidRPr="00D70761">
        <w:rPr>
          <w:lang w:val="en-US"/>
        </w:rPr>
        <w:t xml:space="preserve"> integration procedures, that the (m)IAB-indication in Msg5 also indicates “operation as (m)IAB-node”</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proofErr w:type="spellStart"/>
      <w:r w:rsidR="00653853" w:rsidRPr="00E96F07">
        <w:rPr>
          <w:i/>
          <w:iCs/>
        </w:rPr>
        <w:t>RRCSetupComplete</w:t>
      </w:r>
      <w:proofErr w:type="spellEnd"/>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 xml:space="preserve">In 38.401, add to migration of mobile IAB-MT via </w:t>
      </w:r>
      <w:proofErr w:type="spellStart"/>
      <w:r w:rsidRPr="00D70761">
        <w:rPr>
          <w:lang w:val="en-US"/>
        </w:rPr>
        <w:t>Xn</w:t>
      </w:r>
      <w:proofErr w:type="spellEnd"/>
      <w:r w:rsidRPr="00D70761">
        <w:rPr>
          <w:lang w:val="en-US"/>
        </w:rPr>
        <w:t xml:space="preserve"> the NOTE that </w:t>
      </w:r>
      <w:proofErr w:type="spellStart"/>
      <w:r w:rsidRPr="00D70761">
        <w:rPr>
          <w:lang w:val="en-US"/>
        </w:rPr>
        <w:t>Xn</w:t>
      </w:r>
      <w:proofErr w:type="spellEnd"/>
      <w:r w:rsidRPr="00D70761">
        <w:rPr>
          <w:lang w:val="en-US"/>
        </w:rPr>
        <w:t xml:space="preserve">-based signaling is up to implementation in absence of </w:t>
      </w:r>
      <w:proofErr w:type="spellStart"/>
      <w:r w:rsidRPr="00D70761">
        <w:rPr>
          <w:lang w:val="en-US"/>
        </w:rPr>
        <w:t>Xn</w:t>
      </w:r>
      <w:proofErr w:type="spellEnd"/>
      <w:r w:rsidRPr="00D70761">
        <w:rPr>
          <w:lang w:val="en-US"/>
        </w:rPr>
        <w:t xml:space="preserve">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t xml:space="preserve">38.401 already contains multiple NOTEs for </w:t>
      </w:r>
      <w:proofErr w:type="spellStart"/>
      <w:r>
        <w:rPr>
          <w:lang w:val="en-US"/>
        </w:rPr>
        <w:t>mIAB</w:t>
      </w:r>
      <w:proofErr w:type="spellEnd"/>
      <w:r>
        <w:rPr>
          <w:lang w:val="en-US"/>
        </w:rPr>
        <w:t xml:space="preserve"> that operation in absence of </w:t>
      </w:r>
      <w:proofErr w:type="spellStart"/>
      <w:r>
        <w:rPr>
          <w:lang w:val="en-US"/>
        </w:rPr>
        <w:t>Xn</w:t>
      </w:r>
      <w:proofErr w:type="spellEnd"/>
      <w:r>
        <w:rPr>
          <w:lang w:val="en-US"/>
        </w:rPr>
        <w:t xml:space="preserve"> is up to implementation. This </w:t>
      </w:r>
      <w:proofErr w:type="spellStart"/>
      <w:r>
        <w:rPr>
          <w:lang w:val="en-US"/>
        </w:rPr>
        <w:t>tdoc</w:t>
      </w:r>
      <w:proofErr w:type="spellEnd"/>
      <w:r>
        <w:rPr>
          <w:lang w:val="en-US"/>
        </w:rPr>
        <w:t xml:space="preserve"> aims to add such a NOTE also to </w:t>
      </w:r>
      <w:proofErr w:type="spellStart"/>
      <w:r>
        <w:rPr>
          <w:lang w:val="en-US"/>
        </w:rPr>
        <w:t>Xn</w:t>
      </w:r>
      <w:proofErr w:type="spellEnd"/>
      <w:r>
        <w:rPr>
          <w:lang w:val="en-US"/>
        </w:rPr>
        <w:t xml:space="preserve">-based MT migration with respect to </w:t>
      </w:r>
      <w:proofErr w:type="spellStart"/>
      <w:r>
        <w:rPr>
          <w:lang w:val="en-US"/>
        </w:rPr>
        <w:t>Xn</w:t>
      </w:r>
      <w:proofErr w:type="spellEnd"/>
      <w:r>
        <w:rPr>
          <w:lang w:val="en-US"/>
        </w:rPr>
        <w:t xml:space="preserve"> between DU’s CU and MT’s CU.</w:t>
      </w:r>
    </w:p>
    <w:p w14:paraId="0F7F809D" w14:textId="4D69C54E" w:rsidR="00905C68" w:rsidRDefault="00905C68" w:rsidP="00905C68">
      <w:pPr>
        <w:snapToGrid w:val="0"/>
        <w:spacing w:before="120" w:after="120"/>
        <w:rPr>
          <w:ins w:id="53" w:author="CATT" w:date="2024-02-27T19:04:00Z"/>
          <w:b/>
          <w:bCs/>
          <w:lang w:val="en-US"/>
        </w:rPr>
      </w:pPr>
      <w:r w:rsidRPr="00905C68">
        <w:rPr>
          <w:b/>
          <w:bCs/>
          <w:highlight w:val="yellow"/>
          <w:lang w:val="en-US"/>
        </w:rPr>
        <w:t>Potential proposal 19:</w:t>
      </w:r>
      <w:r>
        <w:rPr>
          <w:lang w:val="en-US"/>
        </w:rPr>
        <w:t xml:space="preserve"> </w:t>
      </w:r>
      <w:r w:rsidRPr="00D70761">
        <w:rPr>
          <w:b/>
          <w:bCs/>
          <w:lang w:val="en-US"/>
        </w:rPr>
        <w:t xml:space="preserve">In 38.401, add to migration of mobile IAB-MT via </w:t>
      </w:r>
      <w:proofErr w:type="spellStart"/>
      <w:r w:rsidRPr="00D70761">
        <w:rPr>
          <w:b/>
          <w:bCs/>
          <w:lang w:val="en-US"/>
        </w:rPr>
        <w:t>Xn</w:t>
      </w:r>
      <w:proofErr w:type="spellEnd"/>
      <w:r w:rsidRPr="00D70761">
        <w:rPr>
          <w:b/>
          <w:bCs/>
          <w:lang w:val="en-US"/>
        </w:rPr>
        <w:t xml:space="preserve"> the NOTE that </w:t>
      </w:r>
      <w:proofErr w:type="spellStart"/>
      <w:r w:rsidRPr="00D70761">
        <w:rPr>
          <w:b/>
          <w:bCs/>
          <w:lang w:val="en-US"/>
        </w:rPr>
        <w:t>Xn</w:t>
      </w:r>
      <w:proofErr w:type="spellEnd"/>
      <w:r w:rsidRPr="00D70761">
        <w:rPr>
          <w:b/>
          <w:bCs/>
          <w:lang w:val="en-US"/>
        </w:rPr>
        <w:t xml:space="preserve">-based signaling is up to implementation in absence of </w:t>
      </w:r>
      <w:proofErr w:type="spellStart"/>
      <w:r w:rsidRPr="00D70761">
        <w:rPr>
          <w:b/>
          <w:bCs/>
          <w:lang w:val="en-US"/>
        </w:rPr>
        <w:t>Xn</w:t>
      </w:r>
      <w:proofErr w:type="spellEnd"/>
      <w:r w:rsidRPr="00D70761">
        <w:rPr>
          <w:b/>
          <w:bCs/>
          <w:lang w:val="en-US"/>
        </w:rPr>
        <w:t xml:space="preserve"> interface</w:t>
      </w:r>
      <w:r>
        <w:rPr>
          <w:b/>
          <w:bCs/>
          <w:lang w:val="en-US"/>
        </w:rPr>
        <w:t xml:space="preserve"> between MT’s CU and DU’s CU</w:t>
      </w:r>
      <w:r w:rsidRPr="00D70761">
        <w:rPr>
          <w:b/>
          <w:bCs/>
          <w:lang w:val="en-US"/>
        </w:rPr>
        <w:t>.</w:t>
      </w:r>
    </w:p>
    <w:p w14:paraId="72F8FEDF" w14:textId="77777777" w:rsidR="004D4842" w:rsidRPr="00AE14C5" w:rsidRDefault="004D4842" w:rsidP="004D4842">
      <w:pPr>
        <w:snapToGrid w:val="0"/>
        <w:spacing w:before="120" w:after="120"/>
        <w:rPr>
          <w:ins w:id="54" w:author="CATT" w:date="2024-02-27T19:04:00Z"/>
          <w:rFonts w:hint="eastAsia"/>
          <w:lang w:val="en-US" w:eastAsia="zh-CN"/>
        </w:rPr>
      </w:pPr>
      <w:ins w:id="55" w:author="CATT" w:date="2024-02-27T19:04:00Z">
        <w:r w:rsidRPr="00AE14C5">
          <w:rPr>
            <w:rFonts w:hint="eastAsia"/>
            <w:lang w:val="en-US" w:eastAsia="zh-CN"/>
          </w:rPr>
          <w:t>[</w:t>
        </w:r>
        <w:r w:rsidRPr="00AE14C5">
          <w:rPr>
            <w:lang w:val="en-US" w:eastAsia="zh-CN"/>
          </w:rPr>
          <w:t xml:space="preserve">CATT]: We have the similar NOTE in DU migration and MT migration via NG HO, whereas, the note for MT migration via </w:t>
        </w:r>
        <w:proofErr w:type="spellStart"/>
        <w:r w:rsidRPr="00AE14C5">
          <w:rPr>
            <w:lang w:val="en-US" w:eastAsia="zh-CN"/>
          </w:rPr>
          <w:t>Xn</w:t>
        </w:r>
        <w:proofErr w:type="spellEnd"/>
        <w:r w:rsidRPr="00AE14C5">
          <w:rPr>
            <w:lang w:val="en-US" w:eastAsia="zh-CN"/>
          </w:rPr>
          <w:t xml:space="preserve"> HO is missing. </w:t>
        </w:r>
      </w:ins>
    </w:p>
    <w:p w14:paraId="6DC32896" w14:textId="77777777" w:rsidR="004D4842" w:rsidRPr="00D70761" w:rsidRDefault="004D4842" w:rsidP="00905C68">
      <w:pPr>
        <w:snapToGrid w:val="0"/>
        <w:spacing w:before="120" w:after="120"/>
        <w:rPr>
          <w:lang w:val="en-US"/>
        </w:rPr>
      </w:pPr>
    </w:p>
    <w:p w14:paraId="4318D131" w14:textId="77777777" w:rsidR="00CD4280" w:rsidRDefault="00CD4280" w:rsidP="00D70761">
      <w:pPr>
        <w:snapToGrid w:val="0"/>
        <w:spacing w:before="120" w:after="120"/>
        <w:rPr>
          <w:b/>
          <w:bCs/>
          <w:lang w:val="en-US"/>
        </w:rPr>
      </w:pPr>
    </w:p>
    <w:p w14:paraId="6F5332A6" w14:textId="66927F7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2930A23E" w:rsidR="00905C68" w:rsidRDefault="00905C68" w:rsidP="00905C68">
      <w:pPr>
        <w:snapToGrid w:val="0"/>
        <w:spacing w:before="120" w:after="120"/>
        <w:rPr>
          <w:ins w:id="56" w:author="CATT" w:date="2024-02-27T19:04:00Z"/>
          <w:b/>
          <w:bCs/>
          <w:lang w:val="en-US"/>
        </w:rPr>
      </w:pPr>
      <w:r w:rsidRPr="00905C68">
        <w:rPr>
          <w:b/>
          <w:bCs/>
          <w:highlight w:val="yellow"/>
          <w:lang w:val="en-US"/>
        </w:rPr>
        <w:t>No proposal.</w:t>
      </w:r>
    </w:p>
    <w:p w14:paraId="49CCE782" w14:textId="54DA4EE7" w:rsidR="004D4842" w:rsidRDefault="004D4842" w:rsidP="00905C68">
      <w:pPr>
        <w:snapToGrid w:val="0"/>
        <w:spacing w:before="120" w:after="120"/>
        <w:rPr>
          <w:b/>
          <w:bCs/>
          <w:lang w:val="en-US"/>
        </w:rPr>
      </w:pPr>
      <w:ins w:id="57" w:author="CATT" w:date="2024-02-27T19:04:00Z">
        <w:r w:rsidRPr="00BC14BA">
          <w:rPr>
            <w:rFonts w:hint="eastAsia"/>
            <w:lang w:val="en-US" w:eastAsia="zh-CN"/>
          </w:rPr>
          <w:t>[</w:t>
        </w:r>
        <w:r w:rsidRPr="00BC14BA">
          <w:rPr>
            <w:lang w:val="en-US" w:eastAsia="zh-CN"/>
          </w:rPr>
          <w:t xml:space="preserve">CATT]: We believe this should be made clear because </w:t>
        </w:r>
        <w:r>
          <w:rPr>
            <w:lang w:val="en-US" w:eastAsia="zh-CN"/>
          </w:rPr>
          <w:t>different</w:t>
        </w:r>
        <w:r w:rsidRPr="00BC14BA">
          <w:rPr>
            <w:lang w:val="en-US" w:eastAsia="zh-CN"/>
          </w:rPr>
          <w:t xml:space="preserve"> cases are </w:t>
        </w:r>
        <w:r>
          <w:rPr>
            <w:lang w:val="en-US" w:eastAsia="zh-CN"/>
          </w:rPr>
          <w:t>involved in each relative procedure</w:t>
        </w:r>
        <w:r w:rsidRPr="00BC14BA">
          <w:rPr>
            <w:lang w:val="en-US" w:eastAsia="zh-CN"/>
          </w:rPr>
          <w:t>.</w:t>
        </w:r>
      </w:ins>
    </w:p>
    <w:p w14:paraId="178648F6" w14:textId="77777777" w:rsidR="00905C68" w:rsidRDefault="00905C68" w:rsidP="00867393">
      <w:pPr>
        <w:snapToGrid w:val="0"/>
        <w:spacing w:before="120" w:after="120"/>
      </w:pPr>
    </w:p>
    <w:p w14:paraId="3B5911AD" w14:textId="6C19B685" w:rsidR="00803A21" w:rsidRPr="00803A21" w:rsidRDefault="00803A2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 not discussed during offline</w:t>
      </w:r>
      <w:r>
        <w:rPr>
          <w:lang w:val="en-US"/>
        </w:rPr>
        <w:t xml:space="preserve">: </w:t>
      </w:r>
      <w:r w:rsidRPr="00803A21">
        <w:rPr>
          <w:lang w:val="en-US"/>
        </w:rPr>
        <w:t xml:space="preserve">In 38.423, differentiate in </w:t>
      </w:r>
      <w:proofErr w:type="spellStart"/>
      <w:r w:rsidRPr="00803A21">
        <w:rPr>
          <w:lang w:val="en-US"/>
        </w:rPr>
        <w:t>gNB</w:t>
      </w:r>
      <w:proofErr w:type="spellEnd"/>
      <w:r w:rsidRPr="00803A21">
        <w:rPr>
          <w:lang w:val="en-US"/>
        </w:rPr>
        <w:t xml:space="preserve">-DU Configuration Update whether only BAP address is provided or both, BAP address and </w:t>
      </w:r>
      <w:proofErr w:type="spellStart"/>
      <w:r w:rsidRPr="00803A21">
        <w:rPr>
          <w:lang w:val="en-US"/>
        </w:rPr>
        <w:t>gNB</w:t>
      </w:r>
      <w:proofErr w:type="spellEnd"/>
      <w:r w:rsidRPr="00803A21">
        <w:rPr>
          <w:lang w:val="en-US"/>
        </w:rPr>
        <w:t xml:space="preserve"> </w:t>
      </w:r>
      <w:proofErr w:type="gramStart"/>
      <w:r w:rsidRPr="00803A21">
        <w:rPr>
          <w:lang w:val="en-US"/>
        </w:rPr>
        <w:t>ID.</w:t>
      </w:r>
      <w:r w:rsidRPr="00803A21">
        <w:rPr>
          <w:i/>
          <w:iCs/>
          <w:color w:val="4472C4" w:themeColor="accent1"/>
          <w:lang w:val="en-US"/>
        </w:rPr>
        <w:t>.</w:t>
      </w:r>
      <w:proofErr w:type="gramEnd"/>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 xml:space="preserve">The rapporteur believes that this IE is only used when both BAP address and </w:t>
      </w:r>
      <w:proofErr w:type="spellStart"/>
      <w:r>
        <w:t>gNB</w:t>
      </w:r>
      <w:proofErr w:type="spellEnd"/>
      <w:r>
        <w:t xml:space="preserve"> ID are updated.</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538530DC" w14:textId="77777777" w:rsidR="004D4842" w:rsidRDefault="004D4842" w:rsidP="004D4842">
      <w:pPr>
        <w:snapToGrid w:val="0"/>
        <w:spacing w:after="120"/>
        <w:rPr>
          <w:ins w:id="58" w:author="CATT" w:date="2024-02-27T19:05:00Z"/>
          <w:lang w:eastAsia="zh-CN"/>
        </w:rPr>
      </w:pPr>
      <w:ins w:id="59" w:author="CATT" w:date="2024-02-27T19:05:00Z">
        <w:r>
          <w:rPr>
            <w:rFonts w:hint="eastAsia"/>
            <w:lang w:eastAsia="zh-CN"/>
          </w:rPr>
          <w:t>[</w:t>
        </w:r>
        <w:r>
          <w:rPr>
            <w:lang w:eastAsia="zh-CN"/>
          </w:rPr>
          <w:t xml:space="preserve">CATT]: There is case where only BAP address is needed, i.e., the target MT’s CU is the same as DU’s CU and in that case TMM procedure is not necessary. However, 473 captures that: </w:t>
        </w:r>
      </w:ins>
    </w:p>
    <w:p w14:paraId="37B048E1" w14:textId="77777777" w:rsidR="004D4842" w:rsidRPr="00905C68" w:rsidRDefault="004D4842" w:rsidP="004D4842">
      <w:pPr>
        <w:snapToGrid w:val="0"/>
        <w:spacing w:after="120"/>
        <w:rPr>
          <w:ins w:id="60" w:author="CATT" w:date="2024-02-27T19:05:00Z"/>
          <w:rFonts w:hint="eastAsia"/>
          <w:lang w:eastAsia="zh-CN"/>
        </w:rPr>
      </w:pPr>
      <w:ins w:id="61" w:author="CATT" w:date="2024-02-27T19:05:00Z">
        <w:r>
          <w:rPr>
            <w:snapToGrid w:val="0"/>
          </w:rPr>
          <w:lastRenderedPageBreak/>
          <w:t xml:space="preserve">“If the </w:t>
        </w:r>
        <w:r>
          <w:rPr>
            <w:rFonts w:cs="Arial"/>
            <w:i/>
            <w:iCs/>
            <w:szCs w:val="18"/>
          </w:rPr>
          <w:t>RRC Terminating IAB-Donor Related Info</w:t>
        </w:r>
        <w:r>
          <w:rPr>
            <w:snapToGrid w:val="0"/>
          </w:rPr>
          <w:t xml:space="preserve"> IE is included in the </w:t>
        </w:r>
        <w:r>
          <w:t xml:space="preserve">GNB-DU CONFIGURATION UPDATE message, the </w:t>
        </w:r>
        <w:proofErr w:type="spellStart"/>
        <w:r>
          <w:rPr>
            <w:snapToGrid w:val="0"/>
          </w:rPr>
          <w:t>gNB</w:t>
        </w:r>
        <w:proofErr w:type="spellEnd"/>
        <w:r>
          <w:rPr>
            <w:snapToGrid w:val="0"/>
          </w:rPr>
          <w:t xml:space="preserve">-CU shall, if </w:t>
        </w:r>
        <w:proofErr w:type="gramStart"/>
        <w:r>
          <w:rPr>
            <w:snapToGrid w:val="0"/>
          </w:rPr>
          <w:t>supported,…</w:t>
        </w:r>
        <w:proofErr w:type="gramEnd"/>
        <w:r>
          <w:rPr>
            <w:rFonts w:cs="Arial"/>
            <w:szCs w:val="18"/>
          </w:rPr>
          <w:t xml:space="preserve">, and it shall </w:t>
        </w:r>
        <w:r w:rsidRPr="00BC14BA">
          <w:rPr>
            <w:b/>
            <w:bCs/>
            <w:snapToGrid w:val="0"/>
          </w:rPr>
          <w:t xml:space="preserve">use this  BAP address and </w:t>
        </w:r>
        <w:proofErr w:type="spellStart"/>
        <w:r w:rsidRPr="00BC14BA">
          <w:rPr>
            <w:b/>
            <w:bCs/>
            <w:snapToGrid w:val="0"/>
          </w:rPr>
          <w:t>gNB</w:t>
        </w:r>
        <w:proofErr w:type="spellEnd"/>
        <w:r w:rsidRPr="00BC14BA">
          <w:rPr>
            <w:b/>
            <w:bCs/>
            <w:snapToGrid w:val="0"/>
          </w:rPr>
          <w:t xml:space="preserve"> ID for the subsequent </w:t>
        </w:r>
        <w:r w:rsidRPr="00BC14BA">
          <w:rPr>
            <w:b/>
            <w:bCs/>
          </w:rPr>
          <w:t>IAB Transport Migration Management procedure</w:t>
        </w:r>
        <w:r>
          <w:rPr>
            <w:snapToGrid w:val="0"/>
          </w:rPr>
          <w:t xml:space="preserve"> towards the RRC-terminating IAB-donor of the mobile IAB-node,…”</w:t>
        </w:r>
      </w:ins>
    </w:p>
    <w:p w14:paraId="6307F3AF" w14:textId="070D4A31" w:rsidR="00803A21" w:rsidRPr="00905C68" w:rsidRDefault="00803A21" w:rsidP="00905C68">
      <w:pPr>
        <w:snapToGrid w:val="0"/>
        <w:spacing w:after="120"/>
      </w:pPr>
    </w:p>
    <w:p w14:paraId="7A4BDDD3" w14:textId="77777777" w:rsidR="007047C8" w:rsidRDefault="007047C8" w:rsidP="00803A21">
      <w:pPr>
        <w:snapToGrid w:val="0"/>
        <w:spacing w:after="120"/>
        <w:rPr>
          <w:b/>
          <w:bCs/>
          <w:lang w:val="en-US"/>
        </w:rPr>
      </w:pPr>
    </w:p>
    <w:p w14:paraId="48AA5B39" w14:textId="43DA7818" w:rsidR="009B5100" w:rsidRPr="009B5100" w:rsidRDefault="009B5100" w:rsidP="00CC36D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 not discussed during offline</w:t>
      </w:r>
      <w:r>
        <w:rPr>
          <w:lang w:val="en-US"/>
        </w:rPr>
        <w:t xml:space="preserve">: </w:t>
      </w:r>
      <w:r w:rsidRPr="009B5100">
        <w:rPr>
          <w:lang w:val="en-US"/>
        </w:rPr>
        <w:t xml:space="preserve">In 38.473, clarify for </w:t>
      </w:r>
      <w:proofErr w:type="spellStart"/>
      <w:r w:rsidRPr="009B5100">
        <w:rPr>
          <w:lang w:val="en-US"/>
        </w:rPr>
        <w:t>gNB</w:t>
      </w:r>
      <w:proofErr w:type="spellEnd"/>
      <w:r w:rsidRPr="009B5100">
        <w:rPr>
          <w:lang w:val="en-US"/>
        </w:rPr>
        <w:t xml:space="preserve">-DU Config Update that for </w:t>
      </w:r>
      <w:proofErr w:type="spellStart"/>
      <w:r w:rsidRPr="009B5100">
        <w:rPr>
          <w:lang w:val="en-US"/>
        </w:rPr>
        <w:t>mIAB</w:t>
      </w:r>
      <w:proofErr w:type="spellEnd"/>
      <w:r w:rsidRPr="009B5100">
        <w:rPr>
          <w:lang w:val="en-US"/>
        </w:rPr>
        <w:t xml:space="preserve">-nodes, the </w:t>
      </w:r>
      <w:proofErr w:type="spellStart"/>
      <w:r w:rsidRPr="009B5100">
        <w:rPr>
          <w:lang w:val="en-US"/>
        </w:rPr>
        <w:t>gNB</w:t>
      </w:r>
      <w:proofErr w:type="spellEnd"/>
      <w:r w:rsidRPr="009B5100">
        <w:rPr>
          <w:lang w:val="en-US"/>
        </w:rPr>
        <w:t xml:space="preserve">-DU applies </w:t>
      </w:r>
      <w:proofErr w:type="spellStart"/>
      <w:r w:rsidRPr="009B5100">
        <w:rPr>
          <w:lang w:val="en-US"/>
        </w:rPr>
        <w:t>mIAB</w:t>
      </w:r>
      <w:proofErr w:type="spellEnd"/>
      <w:r w:rsidRPr="009B5100">
        <w:rPr>
          <w:lang w:val="en-US"/>
        </w:rPr>
        <w:t xml:space="preserve">-DU and the </w:t>
      </w:r>
      <w:proofErr w:type="spellStart"/>
      <w:r w:rsidRPr="009B5100">
        <w:rPr>
          <w:lang w:val="en-US"/>
        </w:rPr>
        <w:t>gNB</w:t>
      </w:r>
      <w:proofErr w:type="spellEnd"/>
      <w:r w:rsidRPr="009B5100">
        <w:rPr>
          <w:lang w:val="en-US"/>
        </w:rPr>
        <w:t>-CU to donor-CU</w:t>
      </w:r>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This procedure is applicable for mobile IAB-nodes, where the term "</w:t>
      </w:r>
      <w:proofErr w:type="spellStart"/>
      <w:r w:rsidR="009B5100" w:rsidRPr="009B5100">
        <w:rPr>
          <w:i/>
          <w:iCs/>
          <w:lang w:val="en-US"/>
        </w:rPr>
        <w:t>gNB</w:t>
      </w:r>
      <w:proofErr w:type="spellEnd"/>
      <w:r w:rsidR="009B5100" w:rsidRPr="009B5100">
        <w:rPr>
          <w:i/>
          <w:iCs/>
          <w:lang w:val="en-US"/>
        </w:rPr>
        <w:t>-DU" applies to a mobile IAB-DU, and the term "</w:t>
      </w:r>
      <w:proofErr w:type="spellStart"/>
      <w:r w:rsidR="009B5100" w:rsidRPr="009B5100">
        <w:rPr>
          <w:i/>
          <w:iCs/>
          <w:lang w:val="en-US"/>
        </w:rPr>
        <w:t>gNB</w:t>
      </w:r>
      <w:proofErr w:type="spellEnd"/>
      <w:r w:rsidR="009B5100" w:rsidRPr="009B5100">
        <w:rPr>
          <w:i/>
          <w:iCs/>
          <w:lang w:val="en-US"/>
        </w:rPr>
        <w:t xml:space="preserve">-CU" applies to a F1-terminating IAB-donor-CU.”  </w:t>
      </w:r>
    </w:p>
    <w:p w14:paraId="4EA33A45" w14:textId="6B2CAC68" w:rsidR="00905C68" w:rsidRDefault="00905C68" w:rsidP="00905C68">
      <w:pPr>
        <w:snapToGrid w:val="0"/>
        <w:spacing w:before="120" w:after="120"/>
      </w:pPr>
      <w:r>
        <w:t xml:space="preserve">The rapporteur believes that this clarification was not added for Rel-16/17 IAB-DU. It would therefore be inconsistent to introduce it only for </w:t>
      </w:r>
      <w:proofErr w:type="spellStart"/>
      <w:r>
        <w:t>mIAB</w:t>
      </w:r>
      <w:proofErr w:type="spellEnd"/>
      <w:r>
        <w:t>.</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77777777" w:rsidR="009B5100" w:rsidRPr="009B5100" w:rsidRDefault="009B5100" w:rsidP="00A55BA3">
      <w:pPr>
        <w:snapToGrid w:val="0"/>
        <w:spacing w:before="120" w:after="120"/>
        <w:ind w:left="1440"/>
        <w:rPr>
          <w:lang w:val="en-US"/>
        </w:rPr>
      </w:pPr>
    </w:p>
    <w:sectPr w:rsidR="009B5100" w:rsidRPr="009B5100">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B8CE" w14:textId="77777777" w:rsidR="00353309" w:rsidRDefault="00353309">
      <w:r>
        <w:separator/>
      </w:r>
    </w:p>
  </w:endnote>
  <w:endnote w:type="continuationSeparator" w:id="0">
    <w:p w14:paraId="21A251D4" w14:textId="77777777" w:rsidR="00353309" w:rsidRDefault="0035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0672" w14:textId="77777777" w:rsidR="00353309" w:rsidRDefault="00353309">
      <w:r>
        <w:separator/>
      </w:r>
    </w:p>
  </w:footnote>
  <w:footnote w:type="continuationSeparator" w:id="0">
    <w:p w14:paraId="77A7151F" w14:textId="77777777" w:rsidR="00353309" w:rsidRDefault="0035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a3"/>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5"/>
  </w:num>
  <w:num w:numId="3">
    <w:abstractNumId w:val="1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5"/>
  </w:num>
  <w:num w:numId="8">
    <w:abstractNumId w:val="2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9"/>
  </w:num>
  <w:num w:numId="13">
    <w:abstractNumId w:val="1"/>
  </w:num>
  <w:num w:numId="14">
    <w:abstractNumId w:val="23"/>
  </w:num>
  <w:num w:numId="15">
    <w:abstractNumId w:val="17"/>
  </w:num>
  <w:num w:numId="16">
    <w:abstractNumId w:val="25"/>
  </w:num>
  <w:num w:numId="17">
    <w:abstractNumId w:val="25"/>
  </w:num>
  <w:num w:numId="18">
    <w:abstractNumId w:val="28"/>
  </w:num>
  <w:num w:numId="19">
    <w:abstractNumId w:val="22"/>
  </w:num>
  <w:num w:numId="20">
    <w:abstractNumId w:val="11"/>
  </w:num>
  <w:num w:numId="21">
    <w:abstractNumId w:val="12"/>
  </w:num>
  <w:num w:numId="22">
    <w:abstractNumId w:val="16"/>
  </w:num>
  <w:num w:numId="23">
    <w:abstractNumId w:val="8"/>
  </w:num>
  <w:num w:numId="24">
    <w:abstractNumId w:val="24"/>
  </w:num>
  <w:num w:numId="25">
    <w:abstractNumId w:val="10"/>
  </w:num>
  <w:num w:numId="26">
    <w:abstractNumId w:val="26"/>
  </w:num>
  <w:num w:numId="27">
    <w:abstractNumId w:val="5"/>
  </w:num>
  <w:num w:numId="28">
    <w:abstractNumId w:val="4"/>
  </w:num>
  <w:num w:numId="29">
    <w:abstractNumId w:val="13"/>
  </w:num>
  <w:num w:numId="30">
    <w:abstractNumId w:val="21"/>
  </w:num>
  <w:num w:numId="31">
    <w:abstractNumId w:val="14"/>
  </w:num>
  <w:num w:numId="32">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jitsu">
    <w15:presenceInfo w15:providerId="None" w15:userId="Fujitsu"/>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427B"/>
    <w:rsid w:val="000E49BE"/>
    <w:rsid w:val="000E5617"/>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099F"/>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309"/>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A75B7"/>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4842"/>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365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73F"/>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38BD"/>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938"/>
    <w:rsid w:val="00884F4E"/>
    <w:rsid w:val="008856E7"/>
    <w:rsid w:val="00886422"/>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467A"/>
    <w:rsid w:val="008D56BE"/>
    <w:rsid w:val="008D5BDF"/>
    <w:rsid w:val="008D7FDD"/>
    <w:rsid w:val="008E0A91"/>
    <w:rsid w:val="008E1092"/>
    <w:rsid w:val="008E131E"/>
    <w:rsid w:val="008E1B0B"/>
    <w:rsid w:val="008E2B18"/>
    <w:rsid w:val="008E3326"/>
    <w:rsid w:val="008E345E"/>
    <w:rsid w:val="008E3B19"/>
    <w:rsid w:val="008E412B"/>
    <w:rsid w:val="008E51F2"/>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778"/>
    <w:rsid w:val="00984CEB"/>
    <w:rsid w:val="009851DF"/>
    <w:rsid w:val="00985778"/>
    <w:rsid w:val="009859BF"/>
    <w:rsid w:val="00985B04"/>
    <w:rsid w:val="00986356"/>
    <w:rsid w:val="009871BA"/>
    <w:rsid w:val="009877F1"/>
    <w:rsid w:val="00990913"/>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40F9"/>
    <w:rsid w:val="00D85F7B"/>
    <w:rsid w:val="00D8668E"/>
    <w:rsid w:val="00D8694E"/>
    <w:rsid w:val="00D86EF8"/>
    <w:rsid w:val="00D870B2"/>
    <w:rsid w:val="00D87A08"/>
    <w:rsid w:val="00D87A6F"/>
    <w:rsid w:val="00D87E00"/>
    <w:rsid w:val="00D9008B"/>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2C"/>
    <w:rsid w:val="00E77AE3"/>
    <w:rsid w:val="00E77E21"/>
    <w:rsid w:val="00E8059B"/>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0B"/>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页眉 字符"/>
    <w:aliases w:val="header odd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a7">
    <w:name w:val="Hyperlink"/>
    <w:rsid w:val="0056573F"/>
    <w:rPr>
      <w:color w:val="0000FF"/>
      <w:u w:val="single"/>
    </w:rPr>
  </w:style>
  <w:style w:type="table" w:styleId="a8">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a"/>
    <w:link w:val="aa"/>
    <w:uiPriority w:val="34"/>
    <w:qFormat/>
    <w:rsid w:val="001833C6"/>
    <w:pPr>
      <w:ind w:left="720"/>
      <w:contextualSpacing/>
    </w:pPr>
  </w:style>
  <w:style w:type="paragraph" w:styleId="ab">
    <w:name w:val="Balloon Text"/>
    <w:basedOn w:val="a"/>
    <w:link w:val="ac"/>
    <w:semiHidden/>
    <w:unhideWhenUsed/>
    <w:rsid w:val="008A2D12"/>
    <w:pPr>
      <w:spacing w:after="0"/>
    </w:pPr>
    <w:rPr>
      <w:rFonts w:ascii="Segoe UI" w:hAnsi="Segoe UI" w:cs="Segoe UI"/>
      <w:sz w:val="18"/>
      <w:szCs w:val="18"/>
    </w:rPr>
  </w:style>
  <w:style w:type="character" w:customStyle="1" w:styleId="ac">
    <w:name w:val="批注框文本 字符"/>
    <w:link w:val="ab"/>
    <w:semiHidden/>
    <w:rsid w:val="008A2D12"/>
    <w:rPr>
      <w:rFonts w:ascii="Segoe UI" w:hAnsi="Segoe UI" w:cs="Segoe UI"/>
      <w:sz w:val="18"/>
      <w:szCs w:val="18"/>
      <w:lang w:eastAsia="en-US"/>
    </w:rPr>
  </w:style>
  <w:style w:type="paragraph" w:customStyle="1" w:styleId="maintext">
    <w:name w:val="main text"/>
    <w:basedOn w:val="a"/>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a"/>
    <w:rsid w:val="00F84AD1"/>
    <w:pPr>
      <w:tabs>
        <w:tab w:val="left" w:pos="2160"/>
      </w:tabs>
      <w:spacing w:before="120" w:after="120"/>
    </w:pPr>
    <w:rPr>
      <w:rFonts w:eastAsia="宋体"/>
      <w:sz w:val="28"/>
      <w:szCs w:val="28"/>
    </w:rPr>
  </w:style>
  <w:style w:type="character" w:customStyle="1" w:styleId="aa">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R4_bullets 字符,1st level - Bullet List Paragraph 字符,Lettre d'introduction 字符"/>
    <w:link w:val="a9"/>
    <w:uiPriority w:val="34"/>
    <w:qFormat/>
    <w:locked/>
    <w:rsid w:val="008D0839"/>
    <w:rPr>
      <w:lang w:val="en-GB"/>
    </w:rPr>
  </w:style>
  <w:style w:type="character" w:styleId="ad">
    <w:name w:val="annotation reference"/>
    <w:uiPriority w:val="99"/>
    <w:rsid w:val="00270F19"/>
    <w:rPr>
      <w:sz w:val="16"/>
      <w:szCs w:val="16"/>
    </w:rPr>
  </w:style>
  <w:style w:type="paragraph" w:customStyle="1" w:styleId="Doc-title">
    <w:name w:val="Doc-title"/>
    <w:basedOn w:val="a"/>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a"/>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ae">
    <w:name w:val="annotation text"/>
    <w:basedOn w:val="a"/>
    <w:link w:val="af"/>
    <w:uiPriority w:val="99"/>
    <w:rsid w:val="002879DE"/>
  </w:style>
  <w:style w:type="character" w:customStyle="1" w:styleId="af">
    <w:name w:val="批注文字 字符"/>
    <w:basedOn w:val="a0"/>
    <w:link w:val="ae"/>
    <w:uiPriority w:val="99"/>
    <w:rsid w:val="002879DE"/>
    <w:rPr>
      <w:lang w:val="en-GB"/>
    </w:rPr>
  </w:style>
  <w:style w:type="paragraph" w:styleId="af0">
    <w:name w:val="annotation subject"/>
    <w:basedOn w:val="ae"/>
    <w:next w:val="ae"/>
    <w:link w:val="af1"/>
    <w:unhideWhenUsed/>
    <w:qFormat/>
    <w:rsid w:val="002879DE"/>
    <w:rPr>
      <w:b/>
      <w:bCs/>
    </w:rPr>
  </w:style>
  <w:style w:type="character" w:customStyle="1" w:styleId="af1">
    <w:name w:val="批注主题 字符"/>
    <w:basedOn w:val="af"/>
    <w:link w:val="af0"/>
    <w:rsid w:val="002879DE"/>
    <w:rPr>
      <w:b/>
      <w:bCs/>
      <w:lang w:val="en-GB"/>
    </w:rPr>
  </w:style>
  <w:style w:type="paragraph" w:styleId="af2">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a"/>
    <w:rsid w:val="009520D2"/>
    <w:pPr>
      <w:jc w:val="center"/>
    </w:pPr>
    <w:rPr>
      <w:rFonts w:eastAsia="宋体"/>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af3">
    <w:name w:val="Document Map"/>
    <w:basedOn w:val="a"/>
    <w:link w:val="af4"/>
    <w:qFormat/>
    <w:rsid w:val="00B775C8"/>
    <w:pPr>
      <w:spacing w:line="259" w:lineRule="auto"/>
    </w:pPr>
    <w:rPr>
      <w:rFonts w:ascii="Tahoma" w:eastAsia="宋体" w:hAnsi="Tahoma" w:cs="Tahoma"/>
      <w:sz w:val="16"/>
      <w:szCs w:val="16"/>
    </w:rPr>
  </w:style>
  <w:style w:type="character" w:customStyle="1" w:styleId="af4">
    <w:name w:val="文档结构图 字符"/>
    <w:basedOn w:val="a0"/>
    <w:link w:val="af3"/>
    <w:qFormat/>
    <w:rsid w:val="00B775C8"/>
    <w:rPr>
      <w:rFonts w:ascii="Tahoma" w:eastAsia="宋体" w:hAnsi="Tahoma" w:cs="Tahoma"/>
      <w:sz w:val="16"/>
      <w:szCs w:val="16"/>
      <w:lang w:val="en-GB"/>
    </w:rPr>
  </w:style>
  <w:style w:type="character" w:styleId="af5">
    <w:name w:val="FollowedHyperlink"/>
    <w:basedOn w:val="a0"/>
    <w:qFormat/>
    <w:rsid w:val="00B775C8"/>
    <w:rPr>
      <w:color w:val="954F72" w:themeColor="followedHyperlink"/>
      <w:u w:val="single"/>
    </w:rPr>
  </w:style>
  <w:style w:type="paragraph" w:customStyle="1" w:styleId="00BodyText">
    <w:name w:val="00 BodyText"/>
    <w:basedOn w:val="a"/>
    <w:qFormat/>
    <w:rsid w:val="00B775C8"/>
    <w:pPr>
      <w:spacing w:after="220" w:line="259" w:lineRule="auto"/>
    </w:pPr>
    <w:rPr>
      <w:rFonts w:ascii="Arial" w:eastAsia="宋体"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10">
    <w:name w:val="标题 1 字符"/>
    <w:link w:val="1"/>
    <w:qFormat/>
    <w:rsid w:val="00B775C8"/>
    <w:rPr>
      <w:rFonts w:ascii="Arial" w:hAnsi="Arial"/>
      <w:sz w:val="36"/>
      <w:lang w:val="en-GB"/>
    </w:rPr>
  </w:style>
  <w:style w:type="character" w:customStyle="1" w:styleId="20">
    <w:name w:val="标题 2 字符"/>
    <w:link w:val="2"/>
    <w:rsid w:val="00B775C8"/>
    <w:rPr>
      <w:rFonts w:ascii="Arial" w:hAnsi="Arial"/>
      <w:sz w:val="32"/>
      <w:lang w:val="en-GB"/>
    </w:rPr>
  </w:style>
  <w:style w:type="character" w:customStyle="1" w:styleId="30">
    <w:name w:val="标题 3 字符"/>
    <w:link w:val="3"/>
    <w:rsid w:val="00B775C8"/>
    <w:rPr>
      <w:rFonts w:ascii="Arial" w:hAnsi="Arial"/>
      <w:sz w:val="28"/>
      <w:lang w:val="en-GB"/>
    </w:rPr>
  </w:style>
  <w:style w:type="character" w:customStyle="1" w:styleId="40">
    <w:name w:val="标题 4 字符"/>
    <w:link w:val="4"/>
    <w:rsid w:val="00B775C8"/>
    <w:rPr>
      <w:rFonts w:ascii="Arial" w:hAnsi="Arial"/>
      <w:sz w:val="24"/>
      <w:lang w:val="en-GB"/>
    </w:rPr>
  </w:style>
  <w:style w:type="character" w:customStyle="1" w:styleId="60">
    <w:name w:val="标题 6 字符"/>
    <w:link w:val="6"/>
    <w:rsid w:val="00B775C8"/>
    <w:rPr>
      <w:rFonts w:ascii="Arial" w:hAnsi="Arial"/>
      <w:lang w:val="en-GB"/>
    </w:rPr>
  </w:style>
  <w:style w:type="character" w:customStyle="1" w:styleId="80">
    <w:name w:val="标题 8 字符"/>
    <w:link w:val="8"/>
    <w:qFormat/>
    <w:rsid w:val="00B775C8"/>
    <w:rPr>
      <w:rFonts w:ascii="Arial" w:hAnsi="Arial"/>
      <w:sz w:val="36"/>
      <w:lang w:val="en-GB"/>
    </w:rPr>
  </w:style>
  <w:style w:type="character" w:customStyle="1" w:styleId="90">
    <w:name w:val="标题 9 字符"/>
    <w:link w:val="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1">
    <w:name w:val="修订1"/>
    <w:hidden/>
    <w:uiPriority w:val="99"/>
    <w:semiHidden/>
    <w:qFormat/>
    <w:rsid w:val="00B775C8"/>
    <w:pPr>
      <w:spacing w:after="160" w:line="259" w:lineRule="auto"/>
    </w:pPr>
    <w:rPr>
      <w:rFonts w:eastAsia="Times New Roman"/>
      <w:lang w:val="en-GB"/>
    </w:rPr>
  </w:style>
  <w:style w:type="character" w:customStyle="1" w:styleId="12">
    <w:name w:val="@他1"/>
    <w:uiPriority w:val="99"/>
    <w:semiHidden/>
    <w:unhideWhenUsed/>
    <w:rsid w:val="00B775C8"/>
    <w:rPr>
      <w:color w:val="2B579A"/>
      <w:shd w:val="clear" w:color="auto" w:fill="E6E6E6"/>
    </w:rPr>
  </w:style>
  <w:style w:type="paragraph" w:customStyle="1" w:styleId="3GPPHeader">
    <w:name w:val="3GPP_Header"/>
    <w:basedOn w:val="a"/>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a6">
    <w:name w:val="页脚 字符"/>
    <w:basedOn w:val="a0"/>
    <w:link w:val="a5"/>
    <w:rsid w:val="00B775C8"/>
    <w:rPr>
      <w:rFonts w:ascii="Arial" w:hAnsi="Arial"/>
      <w:b/>
      <w:i/>
      <w:noProof/>
      <w:sz w:val="18"/>
      <w:lang w:val="en-GB" w:eastAsia="ja-JP"/>
    </w:rPr>
  </w:style>
  <w:style w:type="paragraph" w:styleId="21">
    <w:name w:val="index 2"/>
    <w:basedOn w:val="13"/>
    <w:next w:val="a"/>
    <w:rsid w:val="00D7652F"/>
    <w:pPr>
      <w:keepLines/>
      <w:ind w:left="284" w:firstLine="0"/>
    </w:pPr>
  </w:style>
  <w:style w:type="paragraph" w:styleId="13">
    <w:name w:val="index 1"/>
    <w:basedOn w:val="a"/>
    <w:next w:val="a"/>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98CB-4F34-400B-822A-18455540A26C}">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8</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CATT</cp:lastModifiedBy>
  <cp:revision>2</cp:revision>
  <dcterms:created xsi:type="dcterms:W3CDTF">2024-02-27T17:06:00Z</dcterms:created>
  <dcterms:modified xsi:type="dcterms:W3CDTF">2024-02-27T17:06:00Z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y fmtid="{D5CDD505-2E9C-101B-9397-08002B2CF9AE}" pid="12" name="MSIP_Label_a7295cc1-d279-42ac-ab4d-3b0f4fece050_Enabled">
    <vt:lpwstr>true</vt:lpwstr>
  </property>
  <property fmtid="{D5CDD505-2E9C-101B-9397-08002B2CF9AE}" pid="13" name="MSIP_Label_a7295cc1-d279-42ac-ab4d-3b0f4fece050_SetDate">
    <vt:lpwstr>2024-02-27T16:28:00Z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13269f39-b4c0-4b04-9428-888d8fe02964</vt:lpwstr>
  </property>
  <property fmtid="{D5CDD505-2E9C-101B-9397-08002B2CF9AE}" pid="18" name="MSIP_Label_a7295cc1-d279-42ac-ab4d-3b0f4fece050_ContentBits">
    <vt:lpwstr>0</vt:lpwstr>
  </property>
</Properties>
</file>