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47C8D43A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6814F0">
        <w:rPr>
          <w:rFonts w:ascii="Arial" w:eastAsia="Times New Roman" w:hAnsi="Arial"/>
          <w:b/>
          <w:sz w:val="24"/>
          <w:szCs w:val="24"/>
        </w:rPr>
        <w:t>2</w:t>
      </w:r>
      <w:r w:rsidR="000B5546">
        <w:rPr>
          <w:rFonts w:ascii="Arial" w:eastAsia="Times New Roman" w:hAnsi="Arial"/>
          <w:b/>
          <w:sz w:val="24"/>
          <w:szCs w:val="24"/>
        </w:rPr>
        <w:t>3</w:t>
      </w:r>
      <w:r w:rsidR="00006F93">
        <w:rPr>
          <w:rFonts w:ascii="Arial" w:eastAsia="Times New Roman" w:hAnsi="Arial"/>
          <w:b/>
          <w:sz w:val="24"/>
          <w:szCs w:val="24"/>
        </w:rPr>
        <w:t>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08649C">
        <w:rPr>
          <w:rFonts w:ascii="Arial" w:hAnsi="Arial" w:cs="Arial"/>
          <w:b/>
          <w:bCs/>
          <w:color w:val="000000"/>
          <w:sz w:val="26"/>
          <w:szCs w:val="26"/>
        </w:rPr>
        <w:t>241532</w:t>
      </w:r>
    </w:p>
    <w:p w14:paraId="55C39378" w14:textId="2FAA6AC0" w:rsidR="00E85CB2" w:rsidRDefault="00006F93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Changsha</w:t>
      </w:r>
      <w:r w:rsidR="005D198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China</w:t>
      </w:r>
      <w:r w:rsidR="006814F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15</w:t>
      </w:r>
      <w:r w:rsidR="00B2063F" w:rsidRPr="00B2063F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9F1AEE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</w:t>
      </w:r>
      <w:r w:rsidR="00F77910">
        <w:rPr>
          <w:rFonts w:ascii="Arial" w:hAnsi="Arial"/>
          <w:b/>
          <w:sz w:val="24"/>
          <w:szCs w:val="24"/>
          <w:lang w:eastAsia="zh-CN"/>
        </w:rPr>
        <w:t>r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9F1AEE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9</w:t>
      </w:r>
      <w:r w:rsidR="00F77910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</w:t>
      </w:r>
      <w:r w:rsidR="00712857">
        <w:rPr>
          <w:rFonts w:ascii="Arial" w:hAnsi="Arial"/>
          <w:b/>
          <w:sz w:val="24"/>
          <w:szCs w:val="24"/>
          <w:lang w:eastAsia="zh-CN"/>
        </w:rPr>
        <w:t>4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010B7C94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D24EEE">
        <w:rPr>
          <w:rFonts w:ascii="Arial" w:eastAsia="MS Mincho" w:hAnsi="Arial" w:cs="Arial"/>
          <w:b/>
          <w:bCs/>
          <w:sz w:val="24"/>
        </w:rPr>
        <w:t>13.2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AC7E475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6A2168">
        <w:rPr>
          <w:rFonts w:ascii="Arial" w:eastAsia="Times New Roman" w:hAnsi="Arial" w:cs="Arial"/>
          <w:b/>
          <w:bCs/>
          <w:sz w:val="24"/>
        </w:rPr>
        <w:t>Design considerations to s</w:t>
      </w:r>
      <w:r w:rsidR="0070534F">
        <w:rPr>
          <w:rFonts w:ascii="Arial" w:eastAsia="Times New Roman" w:hAnsi="Arial" w:cs="Arial"/>
          <w:b/>
          <w:bCs/>
          <w:sz w:val="24"/>
        </w:rPr>
        <w:t>upport inter-</w:t>
      </w:r>
      <w:r w:rsidR="006A2168">
        <w:rPr>
          <w:rFonts w:ascii="Arial" w:eastAsia="Times New Roman" w:hAnsi="Arial" w:cs="Arial"/>
          <w:b/>
          <w:bCs/>
          <w:sz w:val="24"/>
        </w:rPr>
        <w:t>gNB</w:t>
      </w:r>
      <w:r w:rsidR="00EA6345">
        <w:rPr>
          <w:rFonts w:ascii="Arial" w:eastAsia="Times New Roman" w:hAnsi="Arial" w:cs="Arial"/>
          <w:b/>
          <w:bCs/>
          <w:sz w:val="24"/>
        </w:rPr>
        <w:t xml:space="preserve"> L</w:t>
      </w:r>
      <w:r w:rsidR="00766402">
        <w:rPr>
          <w:rFonts w:ascii="Arial" w:eastAsia="Times New Roman" w:hAnsi="Arial" w:cs="Arial"/>
          <w:b/>
          <w:bCs/>
          <w:sz w:val="24"/>
        </w:rPr>
        <w:t>TM</w:t>
      </w:r>
      <w:r w:rsidR="006A2168">
        <w:rPr>
          <w:rFonts w:ascii="Arial" w:eastAsia="Times New Roman" w:hAnsi="Arial" w:cs="Arial"/>
          <w:b/>
          <w:bCs/>
          <w:sz w:val="24"/>
        </w:rPr>
        <w:t xml:space="preserve"> HO</w:t>
      </w:r>
    </w:p>
    <w:p w14:paraId="44351AFC" w14:textId="4A5BB12F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</w:t>
      </w:r>
      <w:r w:rsidR="00B40024">
        <w:rPr>
          <w:rFonts w:ascii="Arial" w:eastAsia="Times New Roman" w:hAnsi="Arial" w:cs="Arial"/>
          <w:b/>
          <w:bCs/>
          <w:sz w:val="24"/>
        </w:rPr>
        <w:t>ob_Ph4</w:t>
      </w:r>
      <w:r w:rsidR="00CE440D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4B331C">
        <w:rPr>
          <w:rFonts w:ascii="Arial" w:eastAsia="Times New Roman" w:hAnsi="Arial" w:cs="Arial"/>
          <w:b/>
          <w:bCs/>
          <w:sz w:val="24"/>
        </w:rPr>
        <w:t>9</w:t>
      </w:r>
    </w:p>
    <w:p w14:paraId="44590F16" w14:textId="43EEC7B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AA03C33" w14:textId="77777777" w:rsidR="00207967" w:rsidRPr="00207967" w:rsidRDefault="00207967" w:rsidP="00207967">
      <w:pPr>
        <w:spacing w:after="0"/>
        <w:rPr>
          <w:rFonts w:eastAsiaTheme="minorEastAsia"/>
        </w:rPr>
      </w:pPr>
      <w:r w:rsidRPr="00207967">
        <w:rPr>
          <w:rFonts w:eastAsiaTheme="minorEastAsia"/>
        </w:rPr>
        <w:t>RAN#102 agreed the following WID objective [1]:</w:t>
      </w:r>
    </w:p>
    <w:p w14:paraId="60323802" w14:textId="77777777" w:rsidR="00207967" w:rsidRPr="00207967" w:rsidRDefault="00207967" w:rsidP="00207967">
      <w:pPr>
        <w:spacing w:after="0"/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9"/>
      </w:tblGrid>
      <w:tr w:rsidR="00207967" w:rsidRPr="00207967" w14:paraId="4B682AAD" w14:textId="77777777" w:rsidTr="00F62B58">
        <w:tc>
          <w:tcPr>
            <w:tcW w:w="9631" w:type="dxa"/>
          </w:tcPr>
          <w:p w14:paraId="019B8982" w14:textId="77777777" w:rsidR="00207967" w:rsidRPr="00207967" w:rsidRDefault="00207967" w:rsidP="00207967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bCs/>
              </w:rPr>
            </w:pPr>
            <w:r w:rsidRPr="00207967">
              <w:rPr>
                <w:rFonts w:eastAsiaTheme="minorEastAsia"/>
                <w:bCs/>
              </w:rPr>
              <w:t>Specify support for inter-CU Layer 2 Mobility (LTM) [RAN2, RAN3]</w:t>
            </w:r>
          </w:p>
          <w:p w14:paraId="46F6FF77" w14:textId="77777777" w:rsidR="00207967" w:rsidRPr="00207967" w:rsidRDefault="00207967" w:rsidP="00207967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bCs/>
              </w:rPr>
            </w:pPr>
            <w:r w:rsidRPr="00207967">
              <w:rPr>
                <w:rFonts w:eastAsiaTheme="minorEastAsia"/>
                <w:bCs/>
              </w:rPr>
              <w:t>Prioritize the case when CU is acting as MN when DC is not configured</w:t>
            </w:r>
          </w:p>
          <w:p w14:paraId="0CB35DC3" w14:textId="77777777" w:rsidR="00207967" w:rsidRPr="00207967" w:rsidRDefault="00207967" w:rsidP="00207967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bCs/>
              </w:rPr>
            </w:pPr>
            <w:r w:rsidRPr="00207967">
              <w:rPr>
                <w:rFonts w:eastAsiaTheme="minorEastAsia"/>
                <w:bCs/>
              </w:rPr>
              <w:t>As secondary priority, support the case when NR-DC is configured and CU is acting as SN and MCG is unchanged</w:t>
            </w:r>
          </w:p>
          <w:p w14:paraId="5820C580" w14:textId="77777777" w:rsidR="00207967" w:rsidRPr="00207967" w:rsidRDefault="00207967" w:rsidP="00207967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bCs/>
              </w:rPr>
            </w:pPr>
            <w:r w:rsidRPr="00207967">
              <w:rPr>
                <w:rFonts w:eastAsiaTheme="minorEastAsia"/>
                <w:bCs/>
              </w:rPr>
              <w:t>As secondary priority, support the case when NR-DC is configured, CU is acting as MN and SCG is unchanged or SCG is released</w:t>
            </w:r>
          </w:p>
          <w:p w14:paraId="7C459A29" w14:textId="77777777" w:rsidR="00207967" w:rsidRPr="00207967" w:rsidRDefault="00207967" w:rsidP="00207967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bCs/>
              </w:rPr>
            </w:pPr>
            <w:r w:rsidRPr="00207967">
              <w:rPr>
                <w:rFonts w:eastAsiaTheme="minorEastAsia"/>
                <w:bCs/>
              </w:rPr>
              <w:t xml:space="preserve">Note: The case that LTM is configured in both MCG and SCG is excluded </w:t>
            </w:r>
          </w:p>
          <w:p w14:paraId="15380EDC" w14:textId="77777777" w:rsidR="00207967" w:rsidRPr="00207967" w:rsidRDefault="00207967" w:rsidP="00207967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bCs/>
              </w:rPr>
            </w:pPr>
            <w:r w:rsidRPr="00207967">
              <w:rPr>
                <w:rFonts w:eastAsiaTheme="minorEastAsia"/>
                <w:bCs/>
              </w:rPr>
              <w:t>Specify support for subsequent LTM mobility procedures aiming to avoid RRC configuration between cell switches as per Rel-18 LTM</w:t>
            </w:r>
          </w:p>
          <w:p w14:paraId="229EBA0F" w14:textId="77777777" w:rsidR="00207967" w:rsidRPr="00207967" w:rsidRDefault="00207967" w:rsidP="00207967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bCs/>
              </w:rPr>
            </w:pPr>
            <w:r w:rsidRPr="00207967">
              <w:rPr>
                <w:rFonts w:eastAsiaTheme="minorEastAsia"/>
                <w:bCs/>
              </w:rPr>
              <w:t xml:space="preserve">Coordination with SA3 needed with respect to security key handling </w:t>
            </w:r>
          </w:p>
          <w:p w14:paraId="3E548467" w14:textId="77777777" w:rsidR="00207967" w:rsidRPr="00207967" w:rsidRDefault="00207967" w:rsidP="00207967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bCs/>
              </w:rPr>
            </w:pPr>
            <w:r w:rsidRPr="00207967">
              <w:rPr>
                <w:rFonts w:eastAsiaTheme="minorEastAsia"/>
                <w:bCs/>
              </w:rPr>
              <w:t>Note: Rel. 18 intra-CU LTM procedure is considered as baseline for adding inter-CU support</w:t>
            </w:r>
          </w:p>
        </w:tc>
      </w:tr>
    </w:tbl>
    <w:p w14:paraId="7639FEB8" w14:textId="77777777" w:rsidR="00207967" w:rsidRPr="00207967" w:rsidRDefault="00207967" w:rsidP="00207967">
      <w:pPr>
        <w:spacing w:after="0"/>
        <w:rPr>
          <w:rFonts w:eastAsiaTheme="minorEastAsia"/>
        </w:rPr>
      </w:pPr>
    </w:p>
    <w:p w14:paraId="07C3A688" w14:textId="34EDA3FA" w:rsidR="002B65FA" w:rsidRDefault="00207967" w:rsidP="008E1C50">
      <w:pPr>
        <w:spacing w:after="0"/>
        <w:rPr>
          <w:rFonts w:eastAsiaTheme="minorEastAsia"/>
        </w:rPr>
      </w:pPr>
      <w:r w:rsidRPr="00207967">
        <w:rPr>
          <w:rFonts w:eastAsiaTheme="minorEastAsia"/>
        </w:rPr>
        <w:t xml:space="preserve">This contribution </w:t>
      </w:r>
      <w:r w:rsidR="005E0945">
        <w:rPr>
          <w:rFonts w:eastAsiaTheme="minorEastAsia"/>
        </w:rPr>
        <w:t>discusses</w:t>
      </w:r>
      <w:r w:rsidR="00EB309B">
        <w:rPr>
          <w:rFonts w:eastAsiaTheme="minorEastAsia"/>
        </w:rPr>
        <w:t xml:space="preserve"> the following.</w:t>
      </w:r>
    </w:p>
    <w:p w14:paraId="354741BD" w14:textId="77777777" w:rsidR="006D6E56" w:rsidRDefault="006D6E56" w:rsidP="008E1C50">
      <w:pPr>
        <w:spacing w:after="0"/>
        <w:rPr>
          <w:rFonts w:eastAsiaTheme="minorEastAsia"/>
        </w:rPr>
      </w:pPr>
    </w:p>
    <w:p w14:paraId="4556B1A9" w14:textId="3530B4CB" w:rsidR="0046031C" w:rsidRDefault="000D3BA8" w:rsidP="002B65FA">
      <w:pPr>
        <w:pStyle w:val="ListParagraph"/>
        <w:numPr>
          <w:ilvl w:val="0"/>
          <w:numId w:val="35"/>
        </w:numPr>
        <w:spacing w:after="0"/>
        <w:rPr>
          <w:rFonts w:eastAsiaTheme="minorEastAsia"/>
        </w:rPr>
      </w:pPr>
      <w:r>
        <w:rPr>
          <w:rFonts w:eastAsiaTheme="minorEastAsia"/>
        </w:rPr>
        <w:t>Clarifications on the s</w:t>
      </w:r>
      <w:r w:rsidR="002B65FA">
        <w:rPr>
          <w:rFonts w:eastAsiaTheme="minorEastAsia"/>
        </w:rPr>
        <w:t>cope of work</w:t>
      </w:r>
      <w:r w:rsidR="00884C3B">
        <w:rPr>
          <w:rFonts w:eastAsiaTheme="minorEastAsia"/>
        </w:rPr>
        <w:t>.</w:t>
      </w:r>
    </w:p>
    <w:p w14:paraId="55528F0D" w14:textId="720CDDF0" w:rsidR="007177A3" w:rsidRPr="002B65FA" w:rsidRDefault="0046031C" w:rsidP="002B65FA">
      <w:pPr>
        <w:pStyle w:val="ListParagraph"/>
        <w:numPr>
          <w:ilvl w:val="0"/>
          <w:numId w:val="35"/>
        </w:numPr>
        <w:spacing w:after="0"/>
        <w:rPr>
          <w:rFonts w:eastAsiaTheme="minorEastAsia"/>
        </w:rPr>
      </w:pPr>
      <w:r>
        <w:rPr>
          <w:rFonts w:eastAsiaTheme="minorEastAsia"/>
        </w:rPr>
        <w:t xml:space="preserve">This contribution </w:t>
      </w:r>
      <w:r w:rsidR="00207967" w:rsidRPr="002B65FA">
        <w:rPr>
          <w:rFonts w:eastAsiaTheme="minorEastAsia"/>
        </w:rPr>
        <w:t>presents a framework for inter-gNB LTM where RRC for a UE remains anchored to the same gNB following an inter-gNB LTM cell switch. The contribution shows that many simplifications can be realized for both the UE and the NW by not relocating the gNB-CU-termination point of the UE’s RRC connection per inter-gNB cell switch.</w:t>
      </w:r>
    </w:p>
    <w:p w14:paraId="48BE1019" w14:textId="539B6072" w:rsidR="00D10778" w:rsidRDefault="000D3BA8" w:rsidP="000D3BA8">
      <w:pPr>
        <w:pStyle w:val="Heading1"/>
        <w:numPr>
          <w:ilvl w:val="0"/>
          <w:numId w:val="1"/>
        </w:numPr>
      </w:pPr>
      <w:r>
        <w:t>Scope of the work</w:t>
      </w:r>
    </w:p>
    <w:p w14:paraId="0BD5935F" w14:textId="49F1A89C" w:rsidR="000D3BA8" w:rsidRDefault="00B930FF" w:rsidP="000D3BA8">
      <w:r>
        <w:t>Regarding the scope of work</w:t>
      </w:r>
      <w:r w:rsidR="007155FA">
        <w:t xml:space="preserve">, we think that the NR-DC cases </w:t>
      </w:r>
      <w:r w:rsidR="0014349C">
        <w:t>should</w:t>
      </w:r>
      <w:r w:rsidR="007155FA">
        <w:t xml:space="preserve"> be handled </w:t>
      </w:r>
      <w:r w:rsidR="00380661">
        <w:t xml:space="preserve">after sufficient progress is made in the </w:t>
      </w:r>
      <w:r w:rsidR="00C304A0">
        <w:t>standalone case</w:t>
      </w:r>
      <w:r w:rsidR="0014349C">
        <w:t>. We also think that</w:t>
      </w:r>
      <w:r w:rsidR="00C304A0">
        <w:t xml:space="preserve"> </w:t>
      </w:r>
      <w:r w:rsidR="009A30A9">
        <w:t>the coexistence of intr</w:t>
      </w:r>
      <w:r w:rsidR="00C304A0">
        <w:t>a</w:t>
      </w:r>
      <w:r w:rsidR="009A30A9">
        <w:t>-CU L</w:t>
      </w:r>
      <w:r w:rsidR="00380661">
        <w:t>TM</w:t>
      </w:r>
      <w:r w:rsidR="00C304A0">
        <w:t xml:space="preserve"> and inter-CU LTM </w:t>
      </w:r>
      <w:r w:rsidR="001D4141">
        <w:t>should be</w:t>
      </w:r>
      <w:r w:rsidR="00C304A0">
        <w:t xml:space="preserve"> considered</w:t>
      </w:r>
      <w:r w:rsidR="001D4141">
        <w:t xml:space="preserve"> </w:t>
      </w:r>
      <w:r w:rsidR="00C304A0">
        <w:t>from the beginning</w:t>
      </w:r>
      <w:r w:rsidR="00946FA3">
        <w:t xml:space="preserve">, i.e., the UE is provided with an LTM configuration that enables </w:t>
      </w:r>
      <w:r w:rsidR="00EA06E1">
        <w:t>mobility</w:t>
      </w:r>
      <w:r w:rsidR="0014349C">
        <w:t xml:space="preserve"> between cells that belong to the</w:t>
      </w:r>
      <w:r w:rsidR="00EC07E9">
        <w:t xml:space="preserve"> same CU or </w:t>
      </w:r>
      <w:r w:rsidR="00B343BD">
        <w:t xml:space="preserve">to </w:t>
      </w:r>
      <w:r w:rsidR="00EC07E9">
        <w:t>different CU</w:t>
      </w:r>
      <w:r w:rsidR="00B343BD">
        <w:t>s</w:t>
      </w:r>
      <w:r w:rsidR="00EC07E9">
        <w:t>.</w:t>
      </w:r>
      <w:r w:rsidR="00B343BD">
        <w:t xml:space="preserve"> </w:t>
      </w:r>
      <w:r w:rsidR="00EC07E9">
        <w:t xml:space="preserve"> </w:t>
      </w:r>
      <w:r w:rsidR="0014349C">
        <w:t xml:space="preserve"> </w:t>
      </w:r>
      <w:r w:rsidR="00946FA3">
        <w:t xml:space="preserve"> </w:t>
      </w:r>
    </w:p>
    <w:p w14:paraId="791E9E60" w14:textId="77777777" w:rsidR="00CE1E84" w:rsidRPr="006B5A26" w:rsidRDefault="00BC6D31" w:rsidP="000D3BA8">
      <w:pPr>
        <w:rPr>
          <w:b/>
          <w:bCs/>
        </w:rPr>
      </w:pPr>
      <w:r w:rsidRPr="006B5A26">
        <w:rPr>
          <w:b/>
          <w:bCs/>
        </w:rPr>
        <w:t>Propos</w:t>
      </w:r>
      <w:r w:rsidR="00F812F4" w:rsidRPr="006B5A26">
        <w:rPr>
          <w:b/>
          <w:bCs/>
        </w:rPr>
        <w:t>al</w:t>
      </w:r>
      <w:r w:rsidR="00CE1E84" w:rsidRPr="006B5A26">
        <w:rPr>
          <w:b/>
          <w:bCs/>
        </w:rPr>
        <w:t xml:space="preserve"> 1</w:t>
      </w:r>
      <w:r w:rsidR="00F812F4" w:rsidRPr="006B5A26">
        <w:rPr>
          <w:b/>
          <w:bCs/>
        </w:rPr>
        <w:t>.</w:t>
      </w:r>
      <w:r w:rsidR="00CE1E84" w:rsidRPr="006B5A26">
        <w:rPr>
          <w:b/>
          <w:bCs/>
        </w:rPr>
        <w:t xml:space="preserve"> Regarding the scope of the work, we have the following proposals:</w:t>
      </w:r>
    </w:p>
    <w:p w14:paraId="4731CFCB" w14:textId="24128EE1" w:rsidR="00BC6D31" w:rsidRPr="006B5A26" w:rsidRDefault="007A063C" w:rsidP="00CE1E84">
      <w:pPr>
        <w:pStyle w:val="ListParagraph"/>
        <w:numPr>
          <w:ilvl w:val="0"/>
          <w:numId w:val="36"/>
        </w:numPr>
        <w:rPr>
          <w:b/>
          <w:bCs/>
        </w:rPr>
      </w:pPr>
      <w:r w:rsidRPr="006B5A26">
        <w:rPr>
          <w:b/>
          <w:bCs/>
        </w:rPr>
        <w:t>T</w:t>
      </w:r>
      <w:r w:rsidR="00603E49" w:rsidRPr="006B5A26">
        <w:rPr>
          <w:b/>
          <w:bCs/>
        </w:rPr>
        <w:t xml:space="preserve">he </w:t>
      </w:r>
      <w:r w:rsidRPr="006B5A26">
        <w:rPr>
          <w:b/>
          <w:bCs/>
        </w:rPr>
        <w:t>NR-</w:t>
      </w:r>
      <w:r w:rsidR="00603E49" w:rsidRPr="006B5A26">
        <w:rPr>
          <w:b/>
          <w:bCs/>
        </w:rPr>
        <w:t xml:space="preserve">DC cases </w:t>
      </w:r>
      <w:r w:rsidRPr="006B5A26">
        <w:rPr>
          <w:b/>
          <w:bCs/>
        </w:rPr>
        <w:t xml:space="preserve">should be considered </w:t>
      </w:r>
      <w:r w:rsidR="00603E49" w:rsidRPr="006B5A26">
        <w:rPr>
          <w:b/>
          <w:bCs/>
        </w:rPr>
        <w:t>only after s</w:t>
      </w:r>
      <w:r w:rsidR="00E25B54">
        <w:rPr>
          <w:b/>
          <w:bCs/>
        </w:rPr>
        <w:t>ufficient</w:t>
      </w:r>
      <w:r w:rsidR="00603E49" w:rsidRPr="006B5A26">
        <w:rPr>
          <w:b/>
          <w:bCs/>
        </w:rPr>
        <w:t xml:space="preserve"> progress is made on the design for the standalone case, since according to the WID, the DC cases are considered as “secondary priority”.</w:t>
      </w:r>
    </w:p>
    <w:p w14:paraId="6B85FDFA" w14:textId="7B98A252" w:rsidR="00603E49" w:rsidRDefault="007A063C" w:rsidP="00CE1E84">
      <w:pPr>
        <w:pStyle w:val="ListParagraph"/>
        <w:numPr>
          <w:ilvl w:val="0"/>
          <w:numId w:val="36"/>
        </w:numPr>
      </w:pPr>
      <w:r w:rsidRPr="006B5A26">
        <w:rPr>
          <w:b/>
          <w:bCs/>
        </w:rPr>
        <w:t>Coexistence of int</w:t>
      </w:r>
      <w:r w:rsidR="00744338" w:rsidRPr="006B5A26">
        <w:rPr>
          <w:b/>
          <w:bCs/>
        </w:rPr>
        <w:t>ra</w:t>
      </w:r>
      <w:r w:rsidRPr="006B5A26">
        <w:rPr>
          <w:b/>
          <w:bCs/>
        </w:rPr>
        <w:t xml:space="preserve">-CU </w:t>
      </w:r>
      <w:r w:rsidR="00744338" w:rsidRPr="006B5A26">
        <w:rPr>
          <w:b/>
          <w:bCs/>
        </w:rPr>
        <w:t xml:space="preserve">LTM </w:t>
      </w:r>
      <w:r w:rsidRPr="006B5A26">
        <w:rPr>
          <w:b/>
          <w:bCs/>
        </w:rPr>
        <w:t>and int</w:t>
      </w:r>
      <w:r w:rsidR="00744338" w:rsidRPr="006B5A26">
        <w:rPr>
          <w:b/>
          <w:bCs/>
        </w:rPr>
        <w:t>er</w:t>
      </w:r>
      <w:r w:rsidRPr="006B5A26">
        <w:rPr>
          <w:b/>
          <w:bCs/>
        </w:rPr>
        <w:t>-CU LTM</w:t>
      </w:r>
      <w:r w:rsidR="00744338" w:rsidRPr="006B5A26">
        <w:rPr>
          <w:b/>
          <w:bCs/>
        </w:rPr>
        <w:t xml:space="preserve"> should be considered from the beginning</w:t>
      </w:r>
      <w:r w:rsidRPr="006B5A26">
        <w:rPr>
          <w:b/>
          <w:bCs/>
        </w:rPr>
        <w:t>.</w:t>
      </w:r>
    </w:p>
    <w:p w14:paraId="10D55A79" w14:textId="1ECAB024" w:rsidR="00BE7DC9" w:rsidRDefault="00BE7DC9" w:rsidP="00BE7DC9">
      <w:r>
        <w:t xml:space="preserve">Similar as in Rel-18 intra-CU LTM, </w:t>
      </w:r>
      <w:r w:rsidR="00B971FD">
        <w:t xml:space="preserve">some key </w:t>
      </w:r>
      <w:r w:rsidR="00702D28">
        <w:t xml:space="preserve">distinguishing </w:t>
      </w:r>
      <w:r w:rsidR="00B971FD">
        <w:t xml:space="preserve">aspects of LTM </w:t>
      </w:r>
      <w:r w:rsidR="00702D28">
        <w:t>are expected to be retained</w:t>
      </w:r>
      <w:r w:rsidR="00421699">
        <w:t xml:space="preserve"> for the Rel-19 </w:t>
      </w:r>
      <w:r w:rsidR="0085127C">
        <w:t>solution</w:t>
      </w:r>
      <w:r w:rsidR="00153C34">
        <w:t xml:space="preserve">. These aspects enable LTM to </w:t>
      </w:r>
      <w:r w:rsidR="00AC799E">
        <w:t xml:space="preserve">provide improved performance compared to </w:t>
      </w:r>
      <w:r w:rsidR="007975EF">
        <w:t>legacy handover.</w:t>
      </w:r>
    </w:p>
    <w:p w14:paraId="6875683E" w14:textId="7527A7EC" w:rsidR="000E4E36" w:rsidRPr="00F006B3" w:rsidRDefault="0042163E" w:rsidP="000E4E36">
      <w:pPr>
        <w:rPr>
          <w:b/>
          <w:bCs/>
        </w:rPr>
      </w:pPr>
      <w:r w:rsidRPr="00F006B3">
        <w:rPr>
          <w:b/>
          <w:bCs/>
        </w:rPr>
        <w:t xml:space="preserve">Proposal 2. </w:t>
      </w:r>
      <w:r w:rsidR="000E4E36" w:rsidRPr="00F006B3">
        <w:rPr>
          <w:b/>
          <w:bCs/>
        </w:rPr>
        <w:t xml:space="preserve">RAN3 works with the assumption that the following UE configurations are needed for </w:t>
      </w:r>
      <w:r w:rsidR="00F006B3">
        <w:rPr>
          <w:b/>
          <w:bCs/>
        </w:rPr>
        <w:t xml:space="preserve">Rel-19 </w:t>
      </w:r>
      <w:r w:rsidR="000E4E36" w:rsidRPr="00F006B3">
        <w:rPr>
          <w:b/>
          <w:bCs/>
        </w:rPr>
        <w:t>LTM (similar as for Rel-18 intra-CU LTM) and develops signal</w:t>
      </w:r>
      <w:r w:rsidR="00F006B3" w:rsidRPr="00F006B3">
        <w:rPr>
          <w:b/>
          <w:bCs/>
        </w:rPr>
        <w:t>l</w:t>
      </w:r>
      <w:r w:rsidR="000E4E36" w:rsidRPr="00F006B3">
        <w:rPr>
          <w:b/>
          <w:bCs/>
        </w:rPr>
        <w:t xml:space="preserve">ing procedures for them </w:t>
      </w:r>
      <w:r w:rsidR="00976105">
        <w:rPr>
          <w:b/>
          <w:bCs/>
        </w:rPr>
        <w:t>during</w:t>
      </w:r>
      <w:r w:rsidR="000E4E36" w:rsidRPr="00F006B3">
        <w:rPr>
          <w:b/>
          <w:bCs/>
        </w:rPr>
        <w:t xml:space="preserve"> the preparation phase.</w:t>
      </w:r>
    </w:p>
    <w:p w14:paraId="1CC621B1" w14:textId="77777777" w:rsidR="006B5A26" w:rsidRPr="00F006B3" w:rsidRDefault="000E4E36" w:rsidP="000E4E36">
      <w:pPr>
        <w:pStyle w:val="ListParagraph"/>
        <w:numPr>
          <w:ilvl w:val="0"/>
          <w:numId w:val="37"/>
        </w:numPr>
        <w:rPr>
          <w:b/>
          <w:bCs/>
        </w:rPr>
      </w:pPr>
      <w:r w:rsidRPr="00F006B3">
        <w:rPr>
          <w:b/>
          <w:bCs/>
        </w:rPr>
        <w:t>LTM Reference configuration,</w:t>
      </w:r>
    </w:p>
    <w:p w14:paraId="1BE1DF75" w14:textId="77777777" w:rsidR="006B5A26" w:rsidRPr="00F006B3" w:rsidRDefault="000E4E36" w:rsidP="000E4E36">
      <w:pPr>
        <w:pStyle w:val="ListParagraph"/>
        <w:numPr>
          <w:ilvl w:val="0"/>
          <w:numId w:val="37"/>
        </w:numPr>
        <w:rPr>
          <w:b/>
          <w:bCs/>
        </w:rPr>
      </w:pPr>
      <w:r w:rsidRPr="00F006B3">
        <w:rPr>
          <w:b/>
          <w:bCs/>
        </w:rPr>
        <w:t>RRC configuration for each LTM candidate cell,</w:t>
      </w:r>
    </w:p>
    <w:p w14:paraId="44CD1AAC" w14:textId="5A53DB17" w:rsidR="006B5A26" w:rsidRPr="00F006B3" w:rsidRDefault="000E4E36" w:rsidP="000E4E36">
      <w:pPr>
        <w:pStyle w:val="ListParagraph"/>
        <w:numPr>
          <w:ilvl w:val="0"/>
          <w:numId w:val="37"/>
        </w:numPr>
        <w:rPr>
          <w:b/>
          <w:bCs/>
        </w:rPr>
      </w:pPr>
      <w:r w:rsidRPr="00F006B3">
        <w:rPr>
          <w:b/>
          <w:bCs/>
        </w:rPr>
        <w:lastRenderedPageBreak/>
        <w:t>RACH configuration for Early TA acquisition,</w:t>
      </w:r>
    </w:p>
    <w:p w14:paraId="7A406537" w14:textId="7417816D" w:rsidR="000E4E36" w:rsidRPr="00F006B3" w:rsidRDefault="000E4E36" w:rsidP="000E4E36">
      <w:pPr>
        <w:pStyle w:val="ListParagraph"/>
        <w:numPr>
          <w:ilvl w:val="0"/>
          <w:numId w:val="37"/>
        </w:numPr>
        <w:rPr>
          <w:b/>
          <w:bCs/>
        </w:rPr>
      </w:pPr>
      <w:r w:rsidRPr="00F006B3">
        <w:rPr>
          <w:b/>
          <w:bCs/>
        </w:rPr>
        <w:t>CSI configuration for L1 measurements and reporting.</w:t>
      </w:r>
    </w:p>
    <w:p w14:paraId="1F4BE685" w14:textId="5224EB67" w:rsidR="006B5A26" w:rsidRPr="00DA3D07" w:rsidRDefault="000E4E36" w:rsidP="006B5A26">
      <w:r w:rsidRPr="00B14375">
        <w:t>The aim is to support subsequent LTM as the UE moves between candidate cells</w:t>
      </w:r>
      <w:r w:rsidR="00DA3D07" w:rsidRPr="00B14375">
        <w:t xml:space="preserve"> of intra gNB and inter gNB</w:t>
      </w:r>
      <w:r w:rsidRPr="00B14375">
        <w:t>.</w:t>
      </w:r>
    </w:p>
    <w:p w14:paraId="5A3A7042" w14:textId="060C75A0" w:rsidR="00225657" w:rsidRPr="00225657" w:rsidRDefault="00811638" w:rsidP="00225657">
      <w:pPr>
        <w:pStyle w:val="Heading1"/>
        <w:rPr>
          <w:rFonts w:eastAsiaTheme="minorEastAsia"/>
        </w:rPr>
      </w:pPr>
      <w:r>
        <w:t>3</w:t>
      </w:r>
      <w:r w:rsidR="000A0F28">
        <w:t xml:space="preserve">  </w:t>
      </w:r>
      <w:r w:rsidR="00225657" w:rsidRPr="00225657">
        <w:rPr>
          <w:rFonts w:eastAsiaTheme="minorEastAsia"/>
        </w:rPr>
        <w:t>Discussion</w:t>
      </w:r>
    </w:p>
    <w:p w14:paraId="0EF1679A" w14:textId="24EEEB66" w:rsidR="00225657" w:rsidRPr="00225657" w:rsidRDefault="00811638" w:rsidP="00E166B5">
      <w:pPr>
        <w:keepNext/>
        <w:keepLines/>
        <w:spacing w:before="180"/>
        <w:outlineLvl w:val="1"/>
        <w:rPr>
          <w:rFonts w:ascii="Arial" w:eastAsiaTheme="minorEastAsia" w:hAnsi="Arial"/>
          <w:sz w:val="32"/>
        </w:rPr>
      </w:pPr>
      <w:r>
        <w:rPr>
          <w:rFonts w:ascii="Arial" w:eastAsiaTheme="minorEastAsia" w:hAnsi="Arial"/>
          <w:sz w:val="32"/>
        </w:rPr>
        <w:t>3</w:t>
      </w:r>
      <w:r w:rsidR="00225657" w:rsidRPr="00225657">
        <w:rPr>
          <w:rFonts w:ascii="Arial" w:eastAsiaTheme="minorEastAsia" w:hAnsi="Arial"/>
          <w:sz w:val="32"/>
        </w:rPr>
        <w:t>.1</w:t>
      </w:r>
      <w:r w:rsidR="00225657" w:rsidRPr="00225657">
        <w:rPr>
          <w:rFonts w:ascii="Arial" w:eastAsiaTheme="minorEastAsia" w:hAnsi="Arial"/>
          <w:sz w:val="32"/>
        </w:rPr>
        <w:tab/>
        <w:t>Int</w:t>
      </w:r>
      <w:r w:rsidR="00225657" w:rsidRPr="00225657">
        <w:rPr>
          <w:rFonts w:ascii="Arial" w:eastAsiaTheme="minorEastAsia" w:hAnsi="Arial"/>
          <w:color w:val="0070C0"/>
          <w:sz w:val="32"/>
        </w:rPr>
        <w:t>ra</w:t>
      </w:r>
      <w:r w:rsidR="00225657" w:rsidRPr="00225657">
        <w:rPr>
          <w:rFonts w:ascii="Arial" w:eastAsiaTheme="minorEastAsia" w:hAnsi="Arial"/>
          <w:sz w:val="32"/>
        </w:rPr>
        <w:t>-gNB LTM is simple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9"/>
      </w:tblGrid>
      <w:tr w:rsidR="00225657" w:rsidRPr="00225657" w14:paraId="1291BE0D" w14:textId="77777777" w:rsidTr="00F62B58">
        <w:trPr>
          <w:jc w:val="center"/>
        </w:trPr>
        <w:tc>
          <w:tcPr>
            <w:tcW w:w="9631" w:type="dxa"/>
          </w:tcPr>
          <w:p w14:paraId="5E202755" w14:textId="77777777" w:rsidR="00225657" w:rsidRPr="00225657" w:rsidRDefault="00225657" w:rsidP="00225657">
            <w:pPr>
              <w:jc w:val="center"/>
              <w:rPr>
                <w:rFonts w:eastAsiaTheme="minorEastAsia"/>
                <w:b/>
                <w:bCs/>
              </w:rPr>
            </w:pPr>
            <w:r w:rsidRPr="00225657">
              <w:rPr>
                <w:rFonts w:eastAsiaTheme="minorEastAsia"/>
                <w:b/>
                <w:bCs/>
                <w:noProof/>
              </w:rPr>
              <w:drawing>
                <wp:inline distT="0" distB="0" distL="0" distR="0" wp14:anchorId="43A9404A" wp14:editId="67F71BE2">
                  <wp:extent cx="3865943" cy="2002772"/>
                  <wp:effectExtent l="0" t="0" r="0" b="0"/>
                  <wp:docPr id="1048918842" name="Picture 1" descr="A black background with white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8918842" name="Picture 1" descr="A black background with white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1404" cy="20107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657" w:rsidRPr="00225657" w14:paraId="0B1839B4" w14:textId="77777777" w:rsidTr="00F62B58">
        <w:trPr>
          <w:jc w:val="center"/>
        </w:trPr>
        <w:tc>
          <w:tcPr>
            <w:tcW w:w="9631" w:type="dxa"/>
          </w:tcPr>
          <w:p w14:paraId="7C34A7D9" w14:textId="77777777" w:rsidR="00225657" w:rsidRPr="00225657" w:rsidRDefault="00225657" w:rsidP="00225657">
            <w:pPr>
              <w:jc w:val="center"/>
              <w:rPr>
                <w:rFonts w:eastAsiaTheme="minorEastAsia"/>
                <w:b/>
                <w:bCs/>
              </w:rPr>
            </w:pPr>
            <w:r w:rsidRPr="00225657">
              <w:rPr>
                <w:rFonts w:eastAsiaTheme="minorEastAsia"/>
                <w:b/>
                <w:bCs/>
              </w:rPr>
              <w:t>Figure 1 – Intra-gNB LTM: RRC and DRB remain connected to same CU after a cell switch</w:t>
            </w:r>
          </w:p>
        </w:tc>
      </w:tr>
    </w:tbl>
    <w:p w14:paraId="3B6A6A42" w14:textId="77777777" w:rsidR="00225657" w:rsidRPr="00225657" w:rsidRDefault="00225657" w:rsidP="00225657">
      <w:pPr>
        <w:rPr>
          <w:rFonts w:eastAsiaTheme="minorEastAsia"/>
        </w:rPr>
      </w:pPr>
      <w:r w:rsidRPr="00225657">
        <w:rPr>
          <w:rFonts w:eastAsiaTheme="minorEastAsia"/>
        </w:rPr>
        <w:t>Figure 1 shows the Rel-18 intra-gNB LTM scenario where the UE switches cells under the same gNB, in which case the UE’s RRC connection and UE’s DRBs remain connected to the same gNB-CU. This enables a lot of simplification, e.g.,:</w:t>
      </w:r>
    </w:p>
    <w:p w14:paraId="7C7B44D5" w14:textId="77777777" w:rsidR="00225657" w:rsidRPr="00225657" w:rsidRDefault="00225657" w:rsidP="00225657">
      <w:pPr>
        <w:numPr>
          <w:ilvl w:val="0"/>
          <w:numId w:val="40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 xml:space="preserve">Security update for the UE is not needed. </w:t>
      </w:r>
    </w:p>
    <w:p w14:paraId="200C9DEF" w14:textId="77777777" w:rsidR="00225657" w:rsidRPr="00225657" w:rsidRDefault="00225657" w:rsidP="00225657">
      <w:pPr>
        <w:numPr>
          <w:ilvl w:val="0"/>
          <w:numId w:val="40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>PDCP does not need to be re-established.</w:t>
      </w:r>
    </w:p>
    <w:p w14:paraId="1F13ABB9" w14:textId="77777777" w:rsidR="00225657" w:rsidRPr="00225657" w:rsidRDefault="00225657" w:rsidP="00225657">
      <w:pPr>
        <w:numPr>
          <w:ilvl w:val="0"/>
          <w:numId w:val="40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>Path switch towards the core network is not needed.</w:t>
      </w:r>
    </w:p>
    <w:p w14:paraId="50AFA023" w14:textId="77777777" w:rsidR="00225657" w:rsidRDefault="00225657" w:rsidP="00225657">
      <w:pPr>
        <w:numPr>
          <w:ilvl w:val="0"/>
          <w:numId w:val="40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>Handling of subsequent mobility is simple since the UE’s context is always retained at the same gNB-CU.</w:t>
      </w:r>
    </w:p>
    <w:p w14:paraId="6AE43C73" w14:textId="77777777" w:rsidR="009D3F86" w:rsidRPr="00225657" w:rsidRDefault="009D3F86" w:rsidP="009D3F86">
      <w:pPr>
        <w:ind w:left="720"/>
        <w:contextualSpacing/>
        <w:rPr>
          <w:rFonts w:eastAsiaTheme="minorEastAsia"/>
        </w:rPr>
      </w:pPr>
    </w:p>
    <w:p w14:paraId="7C9F46F0" w14:textId="77777777" w:rsidR="00225657" w:rsidRPr="00225657" w:rsidRDefault="00225657" w:rsidP="00225657">
      <w:pPr>
        <w:rPr>
          <w:rFonts w:eastAsiaTheme="minorEastAsia"/>
          <w:b/>
          <w:bCs/>
          <w:lang w:val="en-US"/>
        </w:rPr>
      </w:pPr>
      <w:r w:rsidRPr="00225657">
        <w:rPr>
          <w:rFonts w:eastAsiaTheme="minorEastAsia"/>
          <w:b/>
          <w:bCs/>
        </w:rPr>
        <w:t>Observation 1: In intra-gNB LTM, RRC/DRBs terminate at the same gNB-CU. Advantages:</w:t>
      </w:r>
    </w:p>
    <w:p w14:paraId="0571586E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No security key change needed</w:t>
      </w:r>
    </w:p>
    <w:p w14:paraId="685A3585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 xml:space="preserve">No PDCP reestablishment </w:t>
      </w:r>
    </w:p>
    <w:p w14:paraId="67C42D0B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No path switch</w:t>
      </w:r>
    </w:p>
    <w:p w14:paraId="6C00F741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Handling of subsequent mobility is simple</w:t>
      </w:r>
    </w:p>
    <w:p w14:paraId="7C1A66E8" w14:textId="2B78D8B2" w:rsidR="00225657" w:rsidRPr="00225657" w:rsidRDefault="00613CE1" w:rsidP="00E166B5">
      <w:pPr>
        <w:keepNext/>
        <w:keepLines/>
        <w:spacing w:before="180"/>
        <w:outlineLvl w:val="1"/>
        <w:rPr>
          <w:rFonts w:ascii="Arial" w:eastAsiaTheme="minorEastAsia" w:hAnsi="Arial"/>
          <w:sz w:val="32"/>
        </w:rPr>
      </w:pPr>
      <w:r>
        <w:rPr>
          <w:rFonts w:ascii="Arial" w:eastAsiaTheme="minorEastAsia" w:hAnsi="Arial"/>
          <w:sz w:val="32"/>
        </w:rPr>
        <w:t>3</w:t>
      </w:r>
      <w:r w:rsidR="00225657" w:rsidRPr="00225657">
        <w:rPr>
          <w:rFonts w:ascii="Arial" w:eastAsiaTheme="minorEastAsia" w:hAnsi="Arial"/>
          <w:sz w:val="32"/>
        </w:rPr>
        <w:t>.2</w:t>
      </w:r>
      <w:r w:rsidR="00225657" w:rsidRPr="00225657">
        <w:rPr>
          <w:rFonts w:ascii="Arial" w:eastAsiaTheme="minorEastAsia" w:hAnsi="Arial"/>
          <w:sz w:val="32"/>
        </w:rPr>
        <w:tab/>
        <w:t>Int</w:t>
      </w:r>
      <w:r w:rsidR="00225657" w:rsidRPr="00225657">
        <w:rPr>
          <w:rFonts w:ascii="Arial" w:eastAsiaTheme="minorEastAsia" w:hAnsi="Arial"/>
          <w:color w:val="0070C0"/>
          <w:sz w:val="32"/>
        </w:rPr>
        <w:t>er</w:t>
      </w:r>
      <w:r w:rsidR="00225657" w:rsidRPr="00225657">
        <w:rPr>
          <w:rFonts w:ascii="Arial" w:eastAsiaTheme="minorEastAsia" w:hAnsi="Arial"/>
          <w:sz w:val="32"/>
        </w:rPr>
        <w:t xml:space="preserve">-gNB LTM </w:t>
      </w:r>
      <w:r w:rsidR="00225657" w:rsidRPr="00225657">
        <w:rPr>
          <w:rFonts w:ascii="Arial" w:eastAsiaTheme="minorEastAsia" w:hAnsi="Arial"/>
          <w:sz w:val="32"/>
          <w:highlight w:val="yellow"/>
        </w:rPr>
        <w:t>with switching of RRC/DRB to target CU</w:t>
      </w:r>
      <w:r w:rsidR="00225657" w:rsidRPr="00225657">
        <w:rPr>
          <w:rFonts w:ascii="Arial" w:eastAsiaTheme="minorEastAsia" w:hAnsi="Arial"/>
          <w:sz w:val="32"/>
        </w:rPr>
        <w:t xml:space="preserve"> is </w:t>
      </w:r>
      <w:r w:rsidR="00225657" w:rsidRPr="00225657">
        <w:rPr>
          <w:rFonts w:ascii="Arial" w:eastAsiaTheme="minorEastAsia" w:hAnsi="Arial"/>
          <w:sz w:val="32"/>
          <w:highlight w:val="yellow"/>
        </w:rPr>
        <w:t>COMPLEX</w:t>
      </w:r>
    </w:p>
    <w:p w14:paraId="1BEABA82" w14:textId="77777777" w:rsidR="00225657" w:rsidRPr="00225657" w:rsidRDefault="00225657" w:rsidP="00225657">
      <w:pPr>
        <w:rPr>
          <w:rFonts w:eastAsiaTheme="minorEastAsia"/>
          <w:b/>
          <w:bCs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9"/>
      </w:tblGrid>
      <w:tr w:rsidR="00225657" w:rsidRPr="00225657" w14:paraId="3D1BDF18" w14:textId="77777777" w:rsidTr="00F62B58">
        <w:trPr>
          <w:jc w:val="center"/>
        </w:trPr>
        <w:tc>
          <w:tcPr>
            <w:tcW w:w="9631" w:type="dxa"/>
          </w:tcPr>
          <w:p w14:paraId="1701DA2E" w14:textId="77777777" w:rsidR="00225657" w:rsidRPr="00225657" w:rsidRDefault="00225657" w:rsidP="00225657">
            <w:pPr>
              <w:jc w:val="center"/>
              <w:rPr>
                <w:rFonts w:eastAsiaTheme="minorEastAsia"/>
                <w:b/>
                <w:bCs/>
              </w:rPr>
            </w:pPr>
            <w:r w:rsidRPr="00225657">
              <w:rPr>
                <w:rFonts w:eastAsiaTheme="minorEastAsia"/>
                <w:b/>
                <w:bCs/>
                <w:noProof/>
              </w:rPr>
              <w:drawing>
                <wp:inline distT="0" distB="0" distL="0" distR="0" wp14:anchorId="5486FBEA" wp14:editId="69A7DDDB">
                  <wp:extent cx="5439117" cy="1876636"/>
                  <wp:effectExtent l="0" t="0" r="0" b="9525"/>
                  <wp:docPr id="287930532" name="Picture 4" descr="A screenshot of a video g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930532" name="Picture 4" descr="A screenshot of a video gam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4461" cy="18922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657" w:rsidRPr="00225657" w14:paraId="4D79240E" w14:textId="77777777" w:rsidTr="00F62B58">
        <w:trPr>
          <w:jc w:val="center"/>
        </w:trPr>
        <w:tc>
          <w:tcPr>
            <w:tcW w:w="9631" w:type="dxa"/>
          </w:tcPr>
          <w:p w14:paraId="714A6106" w14:textId="77777777" w:rsidR="00225657" w:rsidRPr="00225657" w:rsidRDefault="00225657" w:rsidP="00225657">
            <w:pPr>
              <w:jc w:val="center"/>
              <w:rPr>
                <w:rFonts w:eastAsiaTheme="minorEastAsia"/>
                <w:b/>
                <w:bCs/>
              </w:rPr>
            </w:pPr>
            <w:r w:rsidRPr="00225657">
              <w:rPr>
                <w:rFonts w:eastAsiaTheme="minorEastAsia"/>
                <w:b/>
                <w:bCs/>
              </w:rPr>
              <w:lastRenderedPageBreak/>
              <w:t>Figure 2 – Inter-gNB LTM with switching of RRC and DRB to a new CU after a cell switch</w:t>
            </w:r>
          </w:p>
        </w:tc>
      </w:tr>
    </w:tbl>
    <w:p w14:paraId="3B69171C" w14:textId="77777777" w:rsidR="00225657" w:rsidRPr="00225657" w:rsidRDefault="00225657" w:rsidP="00225657">
      <w:pPr>
        <w:rPr>
          <w:rFonts w:eastAsiaTheme="minorEastAsia"/>
        </w:rPr>
      </w:pPr>
      <w:r w:rsidRPr="00225657">
        <w:rPr>
          <w:rFonts w:eastAsiaTheme="minorEastAsia"/>
        </w:rPr>
        <w:t>Figure 2 shows an inter-gNB LTM scenario where the UE switches cells under separate gNBs, where the UE’s RRC connection and UE’s DRBs are switched to the target gNB-CU. A consequence of changing the gNB-CU-termination point for RRC and DRBs is that the advantages listed in Observation 1 for LTM are all gone. In particular:</w:t>
      </w:r>
    </w:p>
    <w:p w14:paraId="49A867D6" w14:textId="77777777" w:rsidR="00225657" w:rsidRPr="00225657" w:rsidRDefault="00225657" w:rsidP="00225657">
      <w:pPr>
        <w:numPr>
          <w:ilvl w:val="0"/>
          <w:numId w:val="39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>The UE needs to perform a security update.</w:t>
      </w:r>
    </w:p>
    <w:p w14:paraId="5CA44E56" w14:textId="77777777" w:rsidR="00225657" w:rsidRPr="00225657" w:rsidRDefault="00225657" w:rsidP="00225657">
      <w:pPr>
        <w:numPr>
          <w:ilvl w:val="0"/>
          <w:numId w:val="39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 xml:space="preserve">PDCP needs to be re-established. </w:t>
      </w:r>
    </w:p>
    <w:p w14:paraId="265E3207" w14:textId="77777777" w:rsidR="00225657" w:rsidRPr="00225657" w:rsidRDefault="00225657" w:rsidP="00225657">
      <w:pPr>
        <w:numPr>
          <w:ilvl w:val="0"/>
          <w:numId w:val="39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>Data forwarding b/w the gNBs needs to be enabled. A path switch towards the core network needs to be performed by the target gNB.</w:t>
      </w:r>
    </w:p>
    <w:p w14:paraId="06B208E5" w14:textId="77777777" w:rsidR="00225657" w:rsidRPr="00225657" w:rsidRDefault="00225657" w:rsidP="00225657">
      <w:pPr>
        <w:numPr>
          <w:ilvl w:val="0"/>
          <w:numId w:val="39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 xml:space="preserve">Handling of subsequent mobility is no longer straightforward since the UE context would have to be managed/maintained across separate gNB-CUs without incurring an RRC reconfiguration for the UE following an inter-gNB LTM cell switch. </w:t>
      </w:r>
    </w:p>
    <w:p w14:paraId="770BDE34" w14:textId="77777777" w:rsidR="00225657" w:rsidRPr="00225657" w:rsidRDefault="00225657" w:rsidP="00225657">
      <w:pPr>
        <w:numPr>
          <w:ilvl w:val="0"/>
          <w:numId w:val="39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>UE need to know whether LTM HO is intra or inter-gNB</w:t>
      </w:r>
    </w:p>
    <w:p w14:paraId="3DCD6FD9" w14:textId="77777777" w:rsidR="004521A9" w:rsidRDefault="004521A9" w:rsidP="00225657">
      <w:pPr>
        <w:rPr>
          <w:rFonts w:eastAsiaTheme="minorEastAsia"/>
        </w:rPr>
      </w:pPr>
    </w:p>
    <w:p w14:paraId="1D5866C1" w14:textId="17E4C104" w:rsidR="00225657" w:rsidRPr="00225657" w:rsidRDefault="00225657" w:rsidP="00225657">
      <w:pPr>
        <w:rPr>
          <w:rFonts w:eastAsiaTheme="minorEastAsia"/>
        </w:rPr>
      </w:pPr>
      <w:r w:rsidRPr="00225657">
        <w:rPr>
          <w:rFonts w:eastAsiaTheme="minorEastAsia"/>
        </w:rPr>
        <w:t xml:space="preserve">Furthermore, tremendous spec effort is required at least in RAN2, RAN3 and SA3 to provide support for such a procedure. </w:t>
      </w:r>
    </w:p>
    <w:p w14:paraId="636AC950" w14:textId="77777777" w:rsidR="00225657" w:rsidRPr="00225657" w:rsidRDefault="00225657" w:rsidP="00225657">
      <w:pPr>
        <w:rPr>
          <w:rFonts w:eastAsiaTheme="minorEastAsia"/>
          <w:b/>
          <w:bCs/>
          <w:lang w:val="en-US"/>
        </w:rPr>
      </w:pPr>
      <w:r w:rsidRPr="00225657">
        <w:rPr>
          <w:rFonts w:eastAsiaTheme="minorEastAsia"/>
          <w:b/>
          <w:bCs/>
        </w:rPr>
        <w:t>Observation 2: In inter-gNB LTM, switching of RRC/DRBs to the target gNB-CU per inter-gNB LTM cell switch has many downsides/complexities:</w:t>
      </w:r>
    </w:p>
    <w:p w14:paraId="12B9DBAE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Security key change required</w:t>
      </w:r>
    </w:p>
    <w:p w14:paraId="7F2D5EF9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Full L2 reset required including PDCP re-establishment</w:t>
      </w:r>
    </w:p>
    <w:p w14:paraId="0AA18294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Path switch/data forwarding required</w:t>
      </w:r>
    </w:p>
    <w:p w14:paraId="711B0EA7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 xml:space="preserve">Handling of subsequent mobility is not straightforward </w:t>
      </w:r>
    </w:p>
    <w:p w14:paraId="360E00EC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UE need to know whether LTM HO is intra or inter-gNB case</w:t>
      </w:r>
    </w:p>
    <w:p w14:paraId="52463912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Large spec effort in RAN2, RAN3 and SA3</w:t>
      </w:r>
    </w:p>
    <w:p w14:paraId="6B08517C" w14:textId="597A6677" w:rsidR="00225657" w:rsidRPr="00225657" w:rsidRDefault="00001008" w:rsidP="00421E0E">
      <w:pPr>
        <w:keepNext/>
        <w:keepLines/>
        <w:spacing w:before="180"/>
        <w:outlineLvl w:val="1"/>
        <w:rPr>
          <w:rFonts w:ascii="Arial" w:eastAsiaTheme="minorEastAsia" w:hAnsi="Arial"/>
          <w:sz w:val="32"/>
        </w:rPr>
      </w:pPr>
      <w:r>
        <w:rPr>
          <w:rFonts w:ascii="Arial" w:eastAsiaTheme="minorEastAsia" w:hAnsi="Arial"/>
          <w:sz w:val="32"/>
        </w:rPr>
        <w:t>3</w:t>
      </w:r>
      <w:r w:rsidR="00225657" w:rsidRPr="00225657">
        <w:rPr>
          <w:rFonts w:ascii="Arial" w:eastAsiaTheme="minorEastAsia" w:hAnsi="Arial"/>
          <w:sz w:val="32"/>
        </w:rPr>
        <w:t>.3</w:t>
      </w:r>
      <w:r w:rsidR="00225657" w:rsidRPr="00225657">
        <w:rPr>
          <w:rFonts w:ascii="Arial" w:eastAsiaTheme="minorEastAsia" w:hAnsi="Arial"/>
          <w:sz w:val="32"/>
        </w:rPr>
        <w:tab/>
        <w:t>Int</w:t>
      </w:r>
      <w:r w:rsidR="00225657" w:rsidRPr="00225657">
        <w:rPr>
          <w:rFonts w:ascii="Arial" w:eastAsiaTheme="minorEastAsia" w:hAnsi="Arial"/>
          <w:color w:val="0070C0"/>
          <w:sz w:val="32"/>
        </w:rPr>
        <w:t>er</w:t>
      </w:r>
      <w:r w:rsidR="00225657" w:rsidRPr="00225657">
        <w:rPr>
          <w:rFonts w:ascii="Arial" w:eastAsiaTheme="minorEastAsia" w:hAnsi="Arial"/>
          <w:sz w:val="32"/>
        </w:rPr>
        <w:t xml:space="preserve">-gNB LTM </w:t>
      </w:r>
      <w:r w:rsidR="00225657" w:rsidRPr="00225657">
        <w:rPr>
          <w:rFonts w:ascii="Arial" w:eastAsiaTheme="minorEastAsia" w:hAnsi="Arial"/>
          <w:sz w:val="32"/>
          <w:highlight w:val="green"/>
        </w:rPr>
        <w:t>with anchoring of RRC/DRB to same CU</w:t>
      </w:r>
      <w:r w:rsidR="00225657" w:rsidRPr="00225657">
        <w:rPr>
          <w:rFonts w:ascii="Arial" w:eastAsiaTheme="minorEastAsia" w:hAnsi="Arial"/>
          <w:sz w:val="32"/>
        </w:rPr>
        <w:t xml:space="preserve"> is </w:t>
      </w:r>
      <w:r w:rsidR="00225657" w:rsidRPr="00225657">
        <w:rPr>
          <w:rFonts w:ascii="Arial" w:eastAsiaTheme="minorEastAsia" w:hAnsi="Arial"/>
          <w:sz w:val="32"/>
          <w:highlight w:val="green"/>
        </w:rPr>
        <w:t>SIMPLE</w:t>
      </w:r>
    </w:p>
    <w:p w14:paraId="392AFC1B" w14:textId="77777777" w:rsidR="00225657" w:rsidRPr="00225657" w:rsidRDefault="00225657" w:rsidP="00225657">
      <w:pPr>
        <w:rPr>
          <w:rFonts w:eastAsiaTheme="minorEastAsia"/>
          <w:b/>
          <w:bCs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9"/>
      </w:tblGrid>
      <w:tr w:rsidR="00225657" w:rsidRPr="00225657" w14:paraId="147785F7" w14:textId="77777777" w:rsidTr="00F62B58">
        <w:trPr>
          <w:jc w:val="center"/>
        </w:trPr>
        <w:tc>
          <w:tcPr>
            <w:tcW w:w="9631" w:type="dxa"/>
          </w:tcPr>
          <w:p w14:paraId="41166D9A" w14:textId="77777777" w:rsidR="00225657" w:rsidRPr="00225657" w:rsidRDefault="00225657" w:rsidP="00225657">
            <w:pPr>
              <w:jc w:val="center"/>
              <w:rPr>
                <w:rFonts w:eastAsiaTheme="minorEastAsia"/>
                <w:b/>
                <w:bCs/>
              </w:rPr>
            </w:pPr>
            <w:r w:rsidRPr="00225657">
              <w:rPr>
                <w:rFonts w:eastAsiaTheme="minorEastAsia"/>
                <w:b/>
                <w:bCs/>
                <w:noProof/>
              </w:rPr>
              <w:drawing>
                <wp:inline distT="0" distB="0" distL="0" distR="0" wp14:anchorId="61BB3597" wp14:editId="3C88DD8A">
                  <wp:extent cx="5210955" cy="2120676"/>
                  <wp:effectExtent l="0" t="0" r="0" b="0"/>
                  <wp:docPr id="1849097620" name="Picture 3" descr="A diagram of a ce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9097620" name="Picture 3" descr="A diagram of a cell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1885" cy="21291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657" w:rsidRPr="00225657" w14:paraId="662038E4" w14:textId="77777777" w:rsidTr="00F62B58">
        <w:trPr>
          <w:jc w:val="center"/>
        </w:trPr>
        <w:tc>
          <w:tcPr>
            <w:tcW w:w="9631" w:type="dxa"/>
          </w:tcPr>
          <w:p w14:paraId="485B001D" w14:textId="77777777" w:rsidR="00225657" w:rsidRPr="00225657" w:rsidRDefault="00225657" w:rsidP="00225657">
            <w:pPr>
              <w:jc w:val="center"/>
              <w:rPr>
                <w:rFonts w:eastAsiaTheme="minorEastAsia"/>
                <w:b/>
                <w:bCs/>
              </w:rPr>
            </w:pPr>
            <w:r w:rsidRPr="00225657">
              <w:rPr>
                <w:rFonts w:eastAsiaTheme="minorEastAsia"/>
                <w:b/>
                <w:bCs/>
              </w:rPr>
              <w:t>Figure 3 – Inter-gNB LTM with retaining RRC/DRB connection to anchor CU after a cell switch</w:t>
            </w:r>
          </w:p>
        </w:tc>
      </w:tr>
    </w:tbl>
    <w:p w14:paraId="7D33734B" w14:textId="77777777" w:rsidR="00225657" w:rsidRPr="00225657" w:rsidRDefault="00225657" w:rsidP="00225657">
      <w:pPr>
        <w:rPr>
          <w:rFonts w:eastAsiaTheme="minorEastAsia"/>
        </w:rPr>
      </w:pPr>
      <w:r w:rsidRPr="00225657">
        <w:rPr>
          <w:rFonts w:eastAsiaTheme="minorEastAsia"/>
        </w:rPr>
        <w:t>Figure 3 shows an inter-gNB LTM scenario where the UE switches cells under separate gNBs, but the UE’s RRC connection and UE’s DRBs remain connected to the same gNB-CU, referred to as the anchor gNB-CU. A consequence of anchoring the gNB-CU-termination point for RRC and DRBs is that the advantages listed in Observation 1 for LTM are retained:</w:t>
      </w:r>
    </w:p>
    <w:p w14:paraId="39DAF6BD" w14:textId="77777777" w:rsidR="00225657" w:rsidRPr="00225657" w:rsidRDefault="00225657" w:rsidP="00225657">
      <w:pPr>
        <w:numPr>
          <w:ilvl w:val="0"/>
          <w:numId w:val="40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 xml:space="preserve">Security update for the UE is not needed (since UE is always RRC-connected to the anchor gNB-CU). </w:t>
      </w:r>
    </w:p>
    <w:p w14:paraId="2038791E" w14:textId="77777777" w:rsidR="00225657" w:rsidRPr="00225657" w:rsidRDefault="00225657" w:rsidP="00225657">
      <w:pPr>
        <w:numPr>
          <w:ilvl w:val="0"/>
          <w:numId w:val="40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>PDCP does not need to be re-established (since PDCP always terminates at the anchor gNB-CU).</w:t>
      </w:r>
    </w:p>
    <w:p w14:paraId="318B402D" w14:textId="77777777" w:rsidR="00225657" w:rsidRPr="00225657" w:rsidRDefault="00225657" w:rsidP="00225657">
      <w:pPr>
        <w:numPr>
          <w:ilvl w:val="0"/>
          <w:numId w:val="40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>Path switch towards the core network is not needed (since anchor gNB-CU always terminates N2/N3 towards the core network).</w:t>
      </w:r>
    </w:p>
    <w:p w14:paraId="4629D4BD" w14:textId="77777777" w:rsidR="00225657" w:rsidRPr="00225657" w:rsidRDefault="00225657" w:rsidP="00225657">
      <w:pPr>
        <w:numPr>
          <w:ilvl w:val="0"/>
          <w:numId w:val="40"/>
        </w:numPr>
        <w:contextualSpacing/>
        <w:rPr>
          <w:rFonts w:eastAsiaTheme="minorEastAsia"/>
        </w:rPr>
      </w:pPr>
      <w:r w:rsidRPr="00225657">
        <w:rPr>
          <w:rFonts w:eastAsiaTheme="minorEastAsia"/>
        </w:rPr>
        <w:t>Handling of subsequent mobility is simple since the UE’s context is always retained at the anchor gNB-CU.</w:t>
      </w:r>
    </w:p>
    <w:p w14:paraId="4DD3410F" w14:textId="77777777" w:rsidR="00225657" w:rsidRPr="00225657" w:rsidRDefault="00225657" w:rsidP="00225657">
      <w:pPr>
        <w:rPr>
          <w:rFonts w:eastAsiaTheme="minorEastAsia"/>
        </w:rPr>
      </w:pPr>
      <w:r w:rsidRPr="00225657">
        <w:rPr>
          <w:rFonts w:eastAsiaTheme="minorEastAsia"/>
        </w:rPr>
        <w:lastRenderedPageBreak/>
        <w:t>Furthermore, a similar situation arises in Rel-17 SDT without UE context relocation, where the “last serving gNB” releases a UE to RRC_INACTIVE, and then only performs partial context transfer once the UE resumes at the “receiving gNB”, in which case the UE’s RRC/DRBs always terminate at the [anchor] gNB-CU of the “last-serving gNB” throughout the SDT session. Thus, procedures from Rel-17 SDT can be leveraged to support inter-gNB LTM with no gNB-CU-relocation of RRC/DRBs, which tremendously reduces the spec effort for both RAN2/RAN3 (and corresponding implementation effort) and likely eliminates the need for SA3 involvement.</w:t>
      </w:r>
    </w:p>
    <w:p w14:paraId="3C73B397" w14:textId="77777777" w:rsidR="00225657" w:rsidRPr="00225657" w:rsidRDefault="00225657" w:rsidP="00225657">
      <w:pPr>
        <w:rPr>
          <w:rFonts w:eastAsiaTheme="minorEastAsia"/>
          <w:b/>
          <w:bCs/>
        </w:rPr>
      </w:pPr>
      <w:r w:rsidRPr="00225657">
        <w:rPr>
          <w:rFonts w:eastAsiaTheme="minorEastAsia"/>
          <w:b/>
          <w:bCs/>
        </w:rPr>
        <w:t>Observation 3: All advantages of intra-gNB LTM can be retained for inter-gNB LTM if UE’s RRC/DRBs always terminate at the same gNB-CU following an inter-gNB LTM cell switch:</w:t>
      </w:r>
    </w:p>
    <w:p w14:paraId="3DBD8B36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No security key change needed</w:t>
      </w:r>
    </w:p>
    <w:p w14:paraId="2B926AEA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 xml:space="preserve">No PDCP reestablishment </w:t>
      </w:r>
    </w:p>
    <w:p w14:paraId="2B1C53BF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No path switch</w:t>
      </w:r>
    </w:p>
    <w:p w14:paraId="78C59DD3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Handling of subsequent mobility is simple</w:t>
      </w:r>
    </w:p>
    <w:p w14:paraId="5044A6E1" w14:textId="77777777" w:rsidR="00225657" w:rsidRPr="00225657" w:rsidRDefault="00225657" w:rsidP="00225657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225657">
        <w:rPr>
          <w:rFonts w:eastAsia="Times New Roman"/>
          <w:b/>
          <w:bCs/>
        </w:rPr>
        <w:t>UE need not to know LTM HO is for Inter gNB case</w:t>
      </w:r>
    </w:p>
    <w:p w14:paraId="74C2F00F" w14:textId="77777777" w:rsidR="00225657" w:rsidRPr="00225657" w:rsidRDefault="00225657" w:rsidP="00225657">
      <w:pPr>
        <w:spacing w:after="0"/>
        <w:ind w:left="720"/>
        <w:rPr>
          <w:rFonts w:eastAsia="Times New Roman"/>
          <w:b/>
          <w:bCs/>
        </w:rPr>
      </w:pPr>
    </w:p>
    <w:p w14:paraId="758065FC" w14:textId="77777777" w:rsidR="00225657" w:rsidRPr="00225657" w:rsidRDefault="00225657" w:rsidP="00225657">
      <w:pPr>
        <w:rPr>
          <w:rFonts w:eastAsiaTheme="minorEastAsia"/>
          <w:b/>
          <w:bCs/>
        </w:rPr>
      </w:pPr>
      <w:r w:rsidRPr="00225657">
        <w:rPr>
          <w:rFonts w:eastAsiaTheme="minorEastAsia"/>
          <w:b/>
          <w:bCs/>
        </w:rPr>
        <w:t>Observation 4: Tremendous spec effort for RAN2/RAN3 (along with corresponding implementation effort) can be saved by leveraging procedures from “Rel-17 SDT without UE context relocation” to support inter-gNB LTM cell switches with anchoring of UE’s RRC/DRBs to same gNB-CU. SA3 involvement may no longer be necessary.</w:t>
      </w:r>
    </w:p>
    <w:p w14:paraId="59D55C2C" w14:textId="2A54D336" w:rsidR="00225657" w:rsidRPr="00225657" w:rsidRDefault="001B05A6" w:rsidP="00421E0E">
      <w:pPr>
        <w:keepNext/>
        <w:keepLines/>
        <w:spacing w:before="180"/>
        <w:outlineLvl w:val="1"/>
        <w:rPr>
          <w:rFonts w:ascii="Arial" w:eastAsiaTheme="minorEastAsia" w:hAnsi="Arial"/>
          <w:sz w:val="32"/>
        </w:rPr>
      </w:pPr>
      <w:r>
        <w:rPr>
          <w:rFonts w:ascii="Arial" w:eastAsiaTheme="minorEastAsia" w:hAnsi="Arial"/>
          <w:sz w:val="32"/>
        </w:rPr>
        <w:t>3</w:t>
      </w:r>
      <w:r w:rsidR="00225657" w:rsidRPr="00225657">
        <w:rPr>
          <w:rFonts w:ascii="Arial" w:eastAsiaTheme="minorEastAsia" w:hAnsi="Arial"/>
          <w:sz w:val="32"/>
        </w:rPr>
        <w:t>.4</w:t>
      </w:r>
      <w:r w:rsidR="00225657" w:rsidRPr="00225657">
        <w:rPr>
          <w:rFonts w:ascii="Arial" w:eastAsiaTheme="minorEastAsia" w:hAnsi="Arial"/>
          <w:sz w:val="32"/>
        </w:rPr>
        <w:tab/>
        <w:t>Way forward</w:t>
      </w:r>
    </w:p>
    <w:p w14:paraId="693DE5EA" w14:textId="77777777" w:rsidR="00225657" w:rsidRPr="00225657" w:rsidRDefault="00225657" w:rsidP="00225657">
      <w:pPr>
        <w:rPr>
          <w:rFonts w:eastAsiaTheme="minorEastAsia"/>
        </w:rPr>
      </w:pPr>
      <w:r w:rsidRPr="00225657">
        <w:rPr>
          <w:rFonts w:eastAsiaTheme="minorEastAsia"/>
        </w:rPr>
        <w:t>Based on the above, we propose to support inter-gNB LTM cell switches with no change of gNB-CU-termination point for UE’s RRC/DRBs.</w:t>
      </w:r>
    </w:p>
    <w:p w14:paraId="06AA2B5C" w14:textId="5E80E5A2" w:rsidR="00225657" w:rsidRPr="00225657" w:rsidRDefault="00225657" w:rsidP="00225657">
      <w:pPr>
        <w:rPr>
          <w:rFonts w:eastAsiaTheme="minorEastAsia"/>
          <w:b/>
          <w:bCs/>
          <w:lang w:val="en-US"/>
        </w:rPr>
      </w:pPr>
      <w:r w:rsidRPr="00225657">
        <w:rPr>
          <w:rFonts w:eastAsiaTheme="minorEastAsia"/>
          <w:b/>
          <w:bCs/>
        </w:rPr>
        <w:t xml:space="preserve">Proposal </w:t>
      </w:r>
      <w:r w:rsidR="00C44997">
        <w:rPr>
          <w:rFonts w:eastAsiaTheme="minorEastAsia"/>
          <w:b/>
          <w:bCs/>
        </w:rPr>
        <w:t>3</w:t>
      </w:r>
      <w:r w:rsidRPr="00225657">
        <w:rPr>
          <w:rFonts w:eastAsiaTheme="minorEastAsia"/>
          <w:b/>
          <w:bCs/>
        </w:rPr>
        <w:t>: RAN3 to support inter-gNB LTM cell switch without changing gNB-CU-termination point for UE’s RRC/DRBs.</w:t>
      </w:r>
    </w:p>
    <w:p w14:paraId="494E2ABC" w14:textId="77777777" w:rsidR="00225657" w:rsidRPr="00225657" w:rsidRDefault="00225657" w:rsidP="00225657">
      <w:pPr>
        <w:rPr>
          <w:rFonts w:eastAsiaTheme="minorEastAsia"/>
        </w:rPr>
      </w:pPr>
      <w:r w:rsidRPr="00225657">
        <w:rPr>
          <w:rFonts w:eastAsiaTheme="minorEastAsia"/>
        </w:rPr>
        <w:t>To support the inter-gNB LTM scenario with anchoring, backhaul transport of RRC messages/DRB PDUs is required to relay traffic between the anchor gNB-CU (of red gNB in Figure 3) and UE via the target gNB-DU (of blue gNB in Figure 3). This should be discussed by RAN3.</w:t>
      </w:r>
    </w:p>
    <w:p w14:paraId="27D128D0" w14:textId="30F45BBF" w:rsidR="00225657" w:rsidRPr="00225657" w:rsidRDefault="00225657" w:rsidP="00225657">
      <w:pPr>
        <w:rPr>
          <w:rFonts w:eastAsiaTheme="minorEastAsia"/>
          <w:b/>
          <w:bCs/>
          <w:lang w:val="en-US"/>
        </w:rPr>
      </w:pPr>
      <w:r w:rsidRPr="00225657">
        <w:rPr>
          <w:rFonts w:eastAsiaTheme="minorEastAsia"/>
          <w:b/>
          <w:bCs/>
        </w:rPr>
        <w:t xml:space="preserve">Proposal </w:t>
      </w:r>
      <w:r w:rsidR="00C44997">
        <w:rPr>
          <w:rFonts w:eastAsiaTheme="minorEastAsia"/>
          <w:b/>
          <w:bCs/>
        </w:rPr>
        <w:t>4</w:t>
      </w:r>
      <w:r w:rsidRPr="00225657">
        <w:rPr>
          <w:rFonts w:eastAsiaTheme="minorEastAsia"/>
          <w:b/>
          <w:bCs/>
        </w:rPr>
        <w:t>: RAN3 to discuss how to provide the backhaul transport for exchange of RRC signaling and data traffic between the UE and the anchor gNB-CU via the target gNB-DU.</w:t>
      </w:r>
      <w:r w:rsidRPr="00225657">
        <w:rPr>
          <w:rFonts w:eastAsiaTheme="minorEastAsia"/>
        </w:rPr>
        <w:t xml:space="preserve"> </w:t>
      </w:r>
    </w:p>
    <w:p w14:paraId="1E177F3E" w14:textId="77777777" w:rsidR="00225657" w:rsidRPr="00225657" w:rsidRDefault="00225657" w:rsidP="00225657">
      <w:pPr>
        <w:rPr>
          <w:rFonts w:eastAsiaTheme="minorEastAsia"/>
        </w:rPr>
      </w:pPr>
      <w:r w:rsidRPr="00225657">
        <w:rPr>
          <w:rFonts w:eastAsiaTheme="minorEastAsia"/>
        </w:rPr>
        <w:t>Additionally, the inter-gNB LTM scenario with anchoring requires handling of the RRC configuration aspects for a UE to support a lower-layer connection to a cell of one gNB and exchange upper-layer CP/UP traffic with a gNB-CU of another gNB over that lower-layer connection. This can be left to RAN2.</w:t>
      </w:r>
    </w:p>
    <w:p w14:paraId="355B4B80" w14:textId="205AAC3A" w:rsidR="00D21E62" w:rsidRPr="00D80CAB" w:rsidRDefault="00225657" w:rsidP="000A0F28">
      <w:r w:rsidRPr="00225657">
        <w:rPr>
          <w:rFonts w:eastAsiaTheme="minorEastAsia"/>
          <w:b/>
          <w:bCs/>
        </w:rPr>
        <w:t xml:space="preserve">Proposal </w:t>
      </w:r>
      <w:r w:rsidR="00C44997">
        <w:rPr>
          <w:rFonts w:eastAsiaTheme="minorEastAsia"/>
          <w:b/>
          <w:bCs/>
        </w:rPr>
        <w:t>5</w:t>
      </w:r>
      <w:r w:rsidRPr="00225657">
        <w:rPr>
          <w:rFonts w:eastAsiaTheme="minorEastAsia"/>
          <w:b/>
          <w:bCs/>
        </w:rPr>
        <w:t>: RAN3 to wait for RAN2 to identify the necessary configurations to enable a UE to connect to a cell of one gNB and use that connection to communicate upper layer traffic (CP/UP) with a gNB-CU of another gNB.</w:t>
      </w:r>
    </w:p>
    <w:p w14:paraId="092F9465" w14:textId="6E23EEAB" w:rsidR="00016B96" w:rsidRDefault="00E07591" w:rsidP="00016B96">
      <w:pPr>
        <w:pStyle w:val="Heading1"/>
      </w:pPr>
      <w:r>
        <w:t>4</w:t>
      </w:r>
      <w:r w:rsidR="00016B96">
        <w:t xml:space="preserve"> Conclusion </w:t>
      </w:r>
    </w:p>
    <w:p w14:paraId="35A7C733" w14:textId="419113AE" w:rsidR="00A34D8D" w:rsidRPr="00A34D8D" w:rsidRDefault="00A34D8D" w:rsidP="00A34D8D">
      <w:pPr>
        <w:spacing w:after="120"/>
      </w:pPr>
      <w:r>
        <w:t>This contribution presented a framework for inter-gNB LTM where RRC for a UE remains anchored to the same gNB following an inter-gNB LTM cell switch. The contribution showed that many simplifications can be realized for both the UE and the NW by not relocating the gNB-CU-termination point of the UE’s RRC connection per inter-gNB cell switch. The following observations and proposals have been made:</w:t>
      </w:r>
    </w:p>
    <w:p w14:paraId="2B15ACDC" w14:textId="55519401" w:rsidR="0078610F" w:rsidRPr="006B5A26" w:rsidRDefault="0078610F" w:rsidP="0078610F">
      <w:pPr>
        <w:rPr>
          <w:b/>
          <w:bCs/>
        </w:rPr>
      </w:pPr>
      <w:r w:rsidRPr="006B5A26">
        <w:rPr>
          <w:b/>
          <w:bCs/>
        </w:rPr>
        <w:t>Proposal 1. Regarding the scope of the work, we have the following proposals:</w:t>
      </w:r>
    </w:p>
    <w:p w14:paraId="79952BD1" w14:textId="77777777" w:rsidR="0078610F" w:rsidRPr="006B5A26" w:rsidRDefault="0078610F" w:rsidP="0078610F">
      <w:pPr>
        <w:pStyle w:val="ListParagraph"/>
        <w:numPr>
          <w:ilvl w:val="0"/>
          <w:numId w:val="36"/>
        </w:numPr>
        <w:rPr>
          <w:b/>
          <w:bCs/>
        </w:rPr>
      </w:pPr>
      <w:r w:rsidRPr="006B5A26">
        <w:rPr>
          <w:b/>
          <w:bCs/>
        </w:rPr>
        <w:t>The NR-DC cases should be considered only after s</w:t>
      </w:r>
      <w:r>
        <w:rPr>
          <w:b/>
          <w:bCs/>
        </w:rPr>
        <w:t>ufficient</w:t>
      </w:r>
      <w:r w:rsidRPr="006B5A26">
        <w:rPr>
          <w:b/>
          <w:bCs/>
        </w:rPr>
        <w:t xml:space="preserve"> progress is made on the design for the standalone case, since according to the WID, the DC cases are considered as “secondary priority”.</w:t>
      </w:r>
    </w:p>
    <w:p w14:paraId="6ABEDE18" w14:textId="77777777" w:rsidR="0078610F" w:rsidRDefault="0078610F" w:rsidP="0078610F">
      <w:pPr>
        <w:pStyle w:val="ListParagraph"/>
        <w:numPr>
          <w:ilvl w:val="0"/>
          <w:numId w:val="36"/>
        </w:numPr>
      </w:pPr>
      <w:r w:rsidRPr="006B5A26">
        <w:rPr>
          <w:b/>
          <w:bCs/>
        </w:rPr>
        <w:t>Coexistence of intra-CU LTM and inter-CU LTM should be considered from the beginning.</w:t>
      </w:r>
    </w:p>
    <w:p w14:paraId="408A0C6D" w14:textId="77777777" w:rsidR="0078610F" w:rsidRPr="00F006B3" w:rsidRDefault="0078610F" w:rsidP="0078610F">
      <w:pPr>
        <w:rPr>
          <w:b/>
          <w:bCs/>
        </w:rPr>
      </w:pPr>
      <w:r w:rsidRPr="00F006B3">
        <w:rPr>
          <w:b/>
          <w:bCs/>
        </w:rPr>
        <w:t xml:space="preserve">Proposal 2. RAN3 works with the assumption that the following UE configurations are needed for </w:t>
      </w:r>
      <w:r>
        <w:rPr>
          <w:b/>
          <w:bCs/>
        </w:rPr>
        <w:t xml:space="preserve">Rel-19 </w:t>
      </w:r>
      <w:r w:rsidRPr="00F006B3">
        <w:rPr>
          <w:b/>
          <w:bCs/>
        </w:rPr>
        <w:t xml:space="preserve">LTM (similar as for Rel-18 intra-CU LTM) and develops signalling procedures for them </w:t>
      </w:r>
      <w:r>
        <w:rPr>
          <w:b/>
          <w:bCs/>
        </w:rPr>
        <w:t>during</w:t>
      </w:r>
      <w:r w:rsidRPr="00F006B3">
        <w:rPr>
          <w:b/>
          <w:bCs/>
        </w:rPr>
        <w:t xml:space="preserve"> the preparation phase.</w:t>
      </w:r>
    </w:p>
    <w:p w14:paraId="0B0B8FA3" w14:textId="77777777" w:rsidR="0078610F" w:rsidRPr="00F006B3" w:rsidRDefault="0078610F" w:rsidP="0078610F">
      <w:pPr>
        <w:pStyle w:val="ListParagraph"/>
        <w:numPr>
          <w:ilvl w:val="0"/>
          <w:numId w:val="37"/>
        </w:numPr>
        <w:rPr>
          <w:b/>
          <w:bCs/>
        </w:rPr>
      </w:pPr>
      <w:r w:rsidRPr="00F006B3">
        <w:rPr>
          <w:b/>
          <w:bCs/>
        </w:rPr>
        <w:t>LTM Reference configuration,</w:t>
      </w:r>
    </w:p>
    <w:p w14:paraId="5592121E" w14:textId="77777777" w:rsidR="0078610F" w:rsidRPr="00F006B3" w:rsidRDefault="0078610F" w:rsidP="0078610F">
      <w:pPr>
        <w:pStyle w:val="ListParagraph"/>
        <w:numPr>
          <w:ilvl w:val="0"/>
          <w:numId w:val="37"/>
        </w:numPr>
        <w:rPr>
          <w:b/>
          <w:bCs/>
        </w:rPr>
      </w:pPr>
      <w:r w:rsidRPr="00F006B3">
        <w:rPr>
          <w:b/>
          <w:bCs/>
        </w:rPr>
        <w:t>RRC configuration for each LTM candidate cell,</w:t>
      </w:r>
    </w:p>
    <w:p w14:paraId="5FCDE1B0" w14:textId="77777777" w:rsidR="0078610F" w:rsidRPr="00F006B3" w:rsidRDefault="0078610F" w:rsidP="0078610F">
      <w:pPr>
        <w:pStyle w:val="ListParagraph"/>
        <w:numPr>
          <w:ilvl w:val="0"/>
          <w:numId w:val="37"/>
        </w:numPr>
        <w:rPr>
          <w:b/>
          <w:bCs/>
        </w:rPr>
      </w:pPr>
      <w:r w:rsidRPr="00F006B3">
        <w:rPr>
          <w:b/>
          <w:bCs/>
        </w:rPr>
        <w:lastRenderedPageBreak/>
        <w:t>RACH configuration for Early TA acquisition,</w:t>
      </w:r>
    </w:p>
    <w:p w14:paraId="630A51CC" w14:textId="0431B27C" w:rsidR="0078610F" w:rsidRPr="00AA6DB6" w:rsidRDefault="0078610F" w:rsidP="0078610F">
      <w:pPr>
        <w:pStyle w:val="ListParagraph"/>
        <w:numPr>
          <w:ilvl w:val="0"/>
          <w:numId w:val="37"/>
        </w:numPr>
        <w:rPr>
          <w:b/>
          <w:bCs/>
        </w:rPr>
      </w:pPr>
      <w:r w:rsidRPr="00F006B3">
        <w:rPr>
          <w:b/>
          <w:bCs/>
        </w:rPr>
        <w:t>CSI configuration for L1 measurements and reporting.</w:t>
      </w:r>
    </w:p>
    <w:p w14:paraId="6895FE2A" w14:textId="77777777" w:rsidR="00D43C6D" w:rsidRPr="00D43C6D" w:rsidRDefault="00D43C6D" w:rsidP="00D43C6D">
      <w:pPr>
        <w:rPr>
          <w:rFonts w:eastAsiaTheme="minorEastAsia"/>
          <w:b/>
          <w:bCs/>
          <w:lang w:val="en-US"/>
        </w:rPr>
      </w:pPr>
      <w:r w:rsidRPr="00D43C6D">
        <w:rPr>
          <w:rFonts w:eastAsiaTheme="minorEastAsia"/>
          <w:b/>
          <w:bCs/>
        </w:rPr>
        <w:t>Observation 1: In intra-gNB LTM, RRC/DRBs terminate at the same gNB-CU. Advantages:</w:t>
      </w:r>
    </w:p>
    <w:p w14:paraId="5D447C1B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No security key change needed</w:t>
      </w:r>
    </w:p>
    <w:p w14:paraId="2759F266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 xml:space="preserve">No PDCP reestablishment </w:t>
      </w:r>
    </w:p>
    <w:p w14:paraId="40B4FDAF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No path switch</w:t>
      </w:r>
    </w:p>
    <w:p w14:paraId="7A74F91D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Handling of subsequent mobility is simple</w:t>
      </w:r>
    </w:p>
    <w:p w14:paraId="7485C5DE" w14:textId="77777777" w:rsidR="00D43C6D" w:rsidRPr="00D43C6D" w:rsidRDefault="00D43C6D" w:rsidP="00D43C6D">
      <w:pPr>
        <w:spacing w:after="0"/>
        <w:ind w:left="720"/>
        <w:rPr>
          <w:rFonts w:eastAsia="Times New Roman"/>
          <w:b/>
          <w:bCs/>
        </w:rPr>
      </w:pPr>
    </w:p>
    <w:p w14:paraId="4B04CB10" w14:textId="77777777" w:rsidR="00D43C6D" w:rsidRPr="00D43C6D" w:rsidRDefault="00D43C6D" w:rsidP="00D43C6D">
      <w:pPr>
        <w:rPr>
          <w:rFonts w:eastAsiaTheme="minorEastAsia"/>
          <w:b/>
          <w:bCs/>
          <w:lang w:val="en-US"/>
        </w:rPr>
      </w:pPr>
      <w:r w:rsidRPr="00D43C6D">
        <w:rPr>
          <w:rFonts w:eastAsiaTheme="minorEastAsia"/>
          <w:b/>
          <w:bCs/>
        </w:rPr>
        <w:t>Observation 2: In inter-gNB LTM, switching of RRC/DRBs to the target gNB-CU per inter-gNB LTM cell switch has many downsides/complexities:</w:t>
      </w:r>
    </w:p>
    <w:p w14:paraId="11EEF091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Security key change required</w:t>
      </w:r>
    </w:p>
    <w:p w14:paraId="168FB6A8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Full L2 reset required including PDCP re-establishment</w:t>
      </w:r>
    </w:p>
    <w:p w14:paraId="225F058D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Path switch/data forwarding required</w:t>
      </w:r>
    </w:p>
    <w:p w14:paraId="3264C6BE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 xml:space="preserve">Handling of subsequent mobility is not straightforward </w:t>
      </w:r>
    </w:p>
    <w:p w14:paraId="5F293CAA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UE need to know whether LTM HO is intra or inter-gNB case</w:t>
      </w:r>
    </w:p>
    <w:p w14:paraId="4C093733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Large spec effort in RAN2, RAN3 and SA3</w:t>
      </w:r>
    </w:p>
    <w:p w14:paraId="18977985" w14:textId="77777777" w:rsidR="00D43C6D" w:rsidRPr="00D43C6D" w:rsidRDefault="00D43C6D" w:rsidP="00D43C6D">
      <w:pPr>
        <w:spacing w:after="0"/>
        <w:ind w:left="720"/>
        <w:rPr>
          <w:rFonts w:eastAsia="Times New Roman"/>
          <w:b/>
          <w:bCs/>
        </w:rPr>
      </w:pPr>
    </w:p>
    <w:p w14:paraId="061D9C91" w14:textId="77777777" w:rsidR="00D43C6D" w:rsidRPr="00D43C6D" w:rsidRDefault="00D43C6D" w:rsidP="00D43C6D">
      <w:pPr>
        <w:rPr>
          <w:rFonts w:eastAsiaTheme="minorEastAsia"/>
          <w:b/>
          <w:bCs/>
        </w:rPr>
      </w:pPr>
      <w:r w:rsidRPr="00D43C6D">
        <w:rPr>
          <w:rFonts w:eastAsiaTheme="minorEastAsia"/>
          <w:b/>
          <w:bCs/>
        </w:rPr>
        <w:t>Observation 3: All advantages of intra-gNB LTM can be retained for inter-gNB LTM if UE’s RRC/DRBs always terminate at the same gNB-CU following an inter-gNB LTM cell switch:</w:t>
      </w:r>
    </w:p>
    <w:p w14:paraId="390C1176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No security key change needed</w:t>
      </w:r>
    </w:p>
    <w:p w14:paraId="1F06AAD8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 xml:space="preserve">No PDCP reestablishment </w:t>
      </w:r>
    </w:p>
    <w:p w14:paraId="5DD4E52D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No path switch</w:t>
      </w:r>
    </w:p>
    <w:p w14:paraId="4B68DED7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Handling of subsequent mobility is simple</w:t>
      </w:r>
    </w:p>
    <w:p w14:paraId="1139C2BD" w14:textId="77777777" w:rsidR="00D43C6D" w:rsidRPr="00D43C6D" w:rsidRDefault="00D43C6D" w:rsidP="00D43C6D">
      <w:pPr>
        <w:numPr>
          <w:ilvl w:val="0"/>
          <w:numId w:val="39"/>
        </w:numPr>
        <w:spacing w:after="0"/>
        <w:rPr>
          <w:rFonts w:eastAsia="Times New Roman"/>
          <w:b/>
          <w:bCs/>
        </w:rPr>
      </w:pPr>
      <w:r w:rsidRPr="00D43C6D">
        <w:rPr>
          <w:rFonts w:eastAsia="Times New Roman"/>
          <w:b/>
          <w:bCs/>
        </w:rPr>
        <w:t>UE need not to know LTM HO is for Inter gNB case</w:t>
      </w:r>
    </w:p>
    <w:p w14:paraId="6FF07DF6" w14:textId="77777777" w:rsidR="00D43C6D" w:rsidRPr="00D43C6D" w:rsidRDefault="00D43C6D" w:rsidP="00D43C6D">
      <w:pPr>
        <w:spacing w:after="0"/>
        <w:ind w:left="720"/>
        <w:rPr>
          <w:rFonts w:eastAsia="Times New Roman"/>
          <w:b/>
          <w:bCs/>
        </w:rPr>
      </w:pPr>
    </w:p>
    <w:p w14:paraId="781D3422" w14:textId="77777777" w:rsidR="00D43C6D" w:rsidRPr="00D43C6D" w:rsidRDefault="00D43C6D" w:rsidP="00D43C6D">
      <w:pPr>
        <w:spacing w:after="0"/>
        <w:ind w:left="720"/>
        <w:rPr>
          <w:rFonts w:eastAsia="Times New Roman"/>
          <w:b/>
          <w:bCs/>
        </w:rPr>
      </w:pPr>
    </w:p>
    <w:p w14:paraId="1366009A" w14:textId="77777777" w:rsidR="00D43C6D" w:rsidRPr="00D43C6D" w:rsidRDefault="00D43C6D" w:rsidP="00D43C6D">
      <w:pPr>
        <w:spacing w:after="120"/>
        <w:rPr>
          <w:rFonts w:eastAsiaTheme="minorEastAsia"/>
          <w:b/>
          <w:bCs/>
        </w:rPr>
      </w:pPr>
      <w:r w:rsidRPr="00D43C6D">
        <w:rPr>
          <w:rFonts w:eastAsiaTheme="minorEastAsia"/>
          <w:b/>
          <w:bCs/>
        </w:rPr>
        <w:t>Observation 4: Tremendous spec effort for RAN2/RAN3 (along with corresponding implementation effort) can be saved by leveraging procedures from “Rel-17 SDT without UE context relocation” to support inter-gNB LTM cell switches with anchoring of UE’s RRC/DRBs to same gNB-CU. SA3 involvement may no longer be necessary.</w:t>
      </w:r>
    </w:p>
    <w:p w14:paraId="4B31DE59" w14:textId="77777777" w:rsidR="00D43C6D" w:rsidRPr="00D43C6D" w:rsidRDefault="00D43C6D" w:rsidP="00D43C6D">
      <w:pPr>
        <w:spacing w:after="120"/>
        <w:rPr>
          <w:rFonts w:eastAsiaTheme="minorEastAsia"/>
        </w:rPr>
      </w:pPr>
    </w:p>
    <w:p w14:paraId="532BE455" w14:textId="4F27B426" w:rsidR="00D43C6D" w:rsidRPr="00D43C6D" w:rsidRDefault="00D43C6D" w:rsidP="00D43C6D">
      <w:pPr>
        <w:rPr>
          <w:rFonts w:eastAsiaTheme="minorEastAsia"/>
          <w:b/>
          <w:bCs/>
          <w:lang w:val="en-US"/>
        </w:rPr>
      </w:pPr>
      <w:r w:rsidRPr="00D43C6D">
        <w:rPr>
          <w:rFonts w:eastAsiaTheme="minorEastAsia"/>
          <w:b/>
          <w:bCs/>
        </w:rPr>
        <w:t xml:space="preserve">Proposal </w:t>
      </w:r>
      <w:r w:rsidR="00470EC7">
        <w:rPr>
          <w:rFonts w:eastAsiaTheme="minorEastAsia"/>
          <w:b/>
          <w:bCs/>
        </w:rPr>
        <w:t>3</w:t>
      </w:r>
      <w:r w:rsidRPr="00D43C6D">
        <w:rPr>
          <w:rFonts w:eastAsiaTheme="minorEastAsia"/>
          <w:b/>
          <w:bCs/>
        </w:rPr>
        <w:t>: RAN3 to support inter-gNB LTM cell switch without changing gNB-CU-termination point for UE’s RRC/DRBs.</w:t>
      </w:r>
    </w:p>
    <w:p w14:paraId="55E36F36" w14:textId="7582C85E" w:rsidR="00D43C6D" w:rsidRPr="00D43C6D" w:rsidRDefault="00D43C6D" w:rsidP="00D43C6D">
      <w:pPr>
        <w:rPr>
          <w:rFonts w:eastAsiaTheme="minorEastAsia"/>
          <w:b/>
          <w:bCs/>
          <w:lang w:val="en-US"/>
        </w:rPr>
      </w:pPr>
      <w:r w:rsidRPr="00D43C6D">
        <w:rPr>
          <w:rFonts w:eastAsiaTheme="minorEastAsia"/>
          <w:b/>
          <w:bCs/>
        </w:rPr>
        <w:t xml:space="preserve">Proposal </w:t>
      </w:r>
      <w:r w:rsidR="00470EC7">
        <w:rPr>
          <w:rFonts w:eastAsiaTheme="minorEastAsia"/>
          <w:b/>
          <w:bCs/>
        </w:rPr>
        <w:t>4</w:t>
      </w:r>
      <w:r w:rsidRPr="00D43C6D">
        <w:rPr>
          <w:rFonts w:eastAsiaTheme="minorEastAsia"/>
          <w:b/>
          <w:bCs/>
        </w:rPr>
        <w:t>: RAN3 to discuss how to provide the backhaul transport for exchange of RRC signaling and data traffic between the UE and the anchor gNB-CU via the target gNB-DU.</w:t>
      </w:r>
      <w:r w:rsidRPr="00D43C6D">
        <w:rPr>
          <w:rFonts w:eastAsiaTheme="minorEastAsia"/>
        </w:rPr>
        <w:t xml:space="preserve"> </w:t>
      </w:r>
    </w:p>
    <w:p w14:paraId="1D830FF2" w14:textId="7FBDB4C5" w:rsidR="00D076A8" w:rsidRPr="00D43C6D" w:rsidRDefault="00D43C6D" w:rsidP="003F2320">
      <w:pPr>
        <w:rPr>
          <w:rFonts w:eastAsiaTheme="minorEastAsia"/>
          <w:b/>
          <w:bCs/>
        </w:rPr>
      </w:pPr>
      <w:r w:rsidRPr="00D43C6D">
        <w:rPr>
          <w:rFonts w:eastAsiaTheme="minorEastAsia"/>
          <w:b/>
          <w:bCs/>
        </w:rPr>
        <w:t xml:space="preserve">Proposal </w:t>
      </w:r>
      <w:r w:rsidR="00470EC7">
        <w:rPr>
          <w:rFonts w:eastAsiaTheme="minorEastAsia"/>
          <w:b/>
          <w:bCs/>
        </w:rPr>
        <w:t>5</w:t>
      </w:r>
      <w:r w:rsidRPr="00D43C6D">
        <w:rPr>
          <w:rFonts w:eastAsiaTheme="minorEastAsia"/>
          <w:b/>
          <w:bCs/>
        </w:rPr>
        <w:t>: RAN3 to wait for RAN2 to identify the necessary configurations to enable a UE to connect to a cell of one gNB and use that connection to communicate upper layer traffic (CP/UP) with a gNB-CU of another gNB.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14754FDD" w14:textId="5649EE62" w:rsidR="009626B2" w:rsidRDefault="009626B2" w:rsidP="009626B2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986987">
        <w:rPr>
          <w:lang w:val="en-US" w:eastAsia="zh-CN"/>
        </w:rPr>
        <w:t>RP-234006</w:t>
      </w:r>
      <w:r>
        <w:rPr>
          <w:lang w:val="en-US" w:eastAsia="zh-CN"/>
        </w:rPr>
        <w:t xml:space="preserve">, </w:t>
      </w:r>
      <w:r w:rsidRPr="005B4B92">
        <w:rPr>
          <w:lang w:val="en-US" w:eastAsia="zh-CN"/>
        </w:rPr>
        <w:t>New WID: NR mobility enhancements Phase 4</w:t>
      </w:r>
      <w:r>
        <w:rPr>
          <w:lang w:val="en-US" w:eastAsia="zh-CN"/>
        </w:rPr>
        <w:t xml:space="preserve">, </w:t>
      </w:r>
      <w:r w:rsidRPr="00B272C3">
        <w:rPr>
          <w:lang w:val="en-US" w:eastAsia="zh-CN"/>
        </w:rPr>
        <w:t>3GPP TSG RAN Meeting #102</w:t>
      </w:r>
      <w:r>
        <w:rPr>
          <w:lang w:val="en-US" w:eastAsia="zh-CN"/>
        </w:rPr>
        <w:t xml:space="preserve">, </w:t>
      </w:r>
      <w:r w:rsidRPr="00036166">
        <w:rPr>
          <w:lang w:val="en-US" w:eastAsia="zh-CN"/>
        </w:rPr>
        <w:t>Edinburgh, Scotland, December 11-15, 2023</w:t>
      </w:r>
      <w:r>
        <w:rPr>
          <w:lang w:val="en-US" w:eastAsia="zh-CN"/>
        </w:rPr>
        <w:t>.</w:t>
      </w:r>
    </w:p>
    <w:p w14:paraId="086DA8B2" w14:textId="73858728" w:rsidR="008E0475" w:rsidRDefault="008E0475" w:rsidP="008E0475">
      <w:pPr>
        <w:ind w:left="1350" w:hanging="1350"/>
        <w:rPr>
          <w:bCs/>
        </w:rPr>
      </w:pPr>
    </w:p>
    <w:p w14:paraId="5707390E" w14:textId="127AC3BA" w:rsidR="00020710" w:rsidRPr="00624B3E" w:rsidRDefault="00020710" w:rsidP="00624B3E">
      <w:pPr>
        <w:ind w:left="1350" w:hanging="1350"/>
        <w:rPr>
          <w:bCs/>
        </w:rPr>
      </w:pPr>
    </w:p>
    <w:sectPr w:rsidR="00020710" w:rsidRPr="00624B3E" w:rsidSect="00F47118">
      <w:footerReference w:type="default" r:id="rId11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FE60C" w14:textId="77777777" w:rsidR="00F47118" w:rsidRDefault="00F47118">
      <w:pPr>
        <w:spacing w:after="0"/>
      </w:pPr>
      <w:r>
        <w:separator/>
      </w:r>
    </w:p>
  </w:endnote>
  <w:endnote w:type="continuationSeparator" w:id="0">
    <w:p w14:paraId="25239941" w14:textId="77777777" w:rsidR="00F47118" w:rsidRDefault="00F47118">
      <w:pPr>
        <w:spacing w:after="0"/>
      </w:pPr>
      <w:r>
        <w:continuationSeparator/>
      </w:r>
    </w:p>
  </w:endnote>
  <w:endnote w:type="continuationNotice" w:id="1">
    <w:p w14:paraId="6451D390" w14:textId="77777777" w:rsidR="00F47118" w:rsidRDefault="00F471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F1190" w14:textId="77777777" w:rsidR="00F47118" w:rsidRDefault="00F47118">
      <w:pPr>
        <w:spacing w:after="0"/>
      </w:pPr>
      <w:r>
        <w:separator/>
      </w:r>
    </w:p>
  </w:footnote>
  <w:footnote w:type="continuationSeparator" w:id="0">
    <w:p w14:paraId="53616FEF" w14:textId="77777777" w:rsidR="00F47118" w:rsidRDefault="00F47118">
      <w:pPr>
        <w:spacing w:after="0"/>
      </w:pPr>
      <w:r>
        <w:continuationSeparator/>
      </w:r>
    </w:p>
  </w:footnote>
  <w:footnote w:type="continuationNotice" w:id="1">
    <w:p w14:paraId="6B1344FB" w14:textId="77777777" w:rsidR="00F47118" w:rsidRDefault="00F471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2559"/>
    <w:multiLevelType w:val="hybridMultilevel"/>
    <w:tmpl w:val="8256B0A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FE9"/>
    <w:multiLevelType w:val="hybridMultilevel"/>
    <w:tmpl w:val="D32A6F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0F2EFC"/>
    <w:multiLevelType w:val="hybridMultilevel"/>
    <w:tmpl w:val="865275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D850B5"/>
    <w:multiLevelType w:val="hybridMultilevel"/>
    <w:tmpl w:val="20608DA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B426F0"/>
    <w:multiLevelType w:val="hybridMultilevel"/>
    <w:tmpl w:val="0908BCA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CE0B3A"/>
    <w:multiLevelType w:val="hybridMultilevel"/>
    <w:tmpl w:val="D708C75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 w15:restartNumberingAfterBreak="0">
    <w:nsid w:val="1F4B36C3"/>
    <w:multiLevelType w:val="hybridMultilevel"/>
    <w:tmpl w:val="3BFA61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9133FE"/>
    <w:multiLevelType w:val="hybridMultilevel"/>
    <w:tmpl w:val="9CF617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DA66C1"/>
    <w:multiLevelType w:val="hybridMultilevel"/>
    <w:tmpl w:val="B2E446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B56499"/>
    <w:multiLevelType w:val="hybridMultilevel"/>
    <w:tmpl w:val="C0A4DE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FE220B"/>
    <w:multiLevelType w:val="hybridMultilevel"/>
    <w:tmpl w:val="CF3E2CA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9261CF2"/>
    <w:multiLevelType w:val="hybridMultilevel"/>
    <w:tmpl w:val="680CF19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7F77B1"/>
    <w:multiLevelType w:val="hybridMultilevel"/>
    <w:tmpl w:val="242CEE6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BA3D9A"/>
    <w:multiLevelType w:val="hybridMultilevel"/>
    <w:tmpl w:val="E8CC8B6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9" w15:restartNumberingAfterBreak="0">
    <w:nsid w:val="441C1FC2"/>
    <w:multiLevelType w:val="multilevel"/>
    <w:tmpl w:val="441C1FC2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6F7471"/>
    <w:multiLevelType w:val="hybridMultilevel"/>
    <w:tmpl w:val="CBB22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0D19C6"/>
    <w:multiLevelType w:val="hybridMultilevel"/>
    <w:tmpl w:val="EA86B2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B52A7C"/>
    <w:multiLevelType w:val="hybridMultilevel"/>
    <w:tmpl w:val="0212B3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960697"/>
    <w:multiLevelType w:val="hybridMultilevel"/>
    <w:tmpl w:val="118808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AC792A"/>
    <w:multiLevelType w:val="hybridMultilevel"/>
    <w:tmpl w:val="6BD8B8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FE1D91"/>
    <w:multiLevelType w:val="hybridMultilevel"/>
    <w:tmpl w:val="0DA0051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9B6B6B"/>
    <w:multiLevelType w:val="hybridMultilevel"/>
    <w:tmpl w:val="63564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D2409"/>
    <w:multiLevelType w:val="hybridMultilevel"/>
    <w:tmpl w:val="5E7414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440DA9"/>
    <w:multiLevelType w:val="hybridMultilevel"/>
    <w:tmpl w:val="661234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F01D36"/>
    <w:multiLevelType w:val="hybridMultilevel"/>
    <w:tmpl w:val="E8CC8B6A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57096C"/>
    <w:multiLevelType w:val="hybridMultilevel"/>
    <w:tmpl w:val="3586E532"/>
    <w:lvl w:ilvl="0" w:tplc="8050E70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08058E"/>
    <w:multiLevelType w:val="hybridMultilevel"/>
    <w:tmpl w:val="B73AC45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7D23CB1"/>
    <w:multiLevelType w:val="hybridMultilevel"/>
    <w:tmpl w:val="0BFE5B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7" w15:restartNumberingAfterBreak="0">
    <w:nsid w:val="6E296EBF"/>
    <w:multiLevelType w:val="hybridMultilevel"/>
    <w:tmpl w:val="DFF207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93539"/>
    <w:multiLevelType w:val="hybridMultilevel"/>
    <w:tmpl w:val="20608DA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594FDA"/>
    <w:multiLevelType w:val="hybridMultilevel"/>
    <w:tmpl w:val="37A4D8D0"/>
    <w:lvl w:ilvl="0" w:tplc="50F67C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397457">
    <w:abstractNumId w:val="18"/>
  </w:num>
  <w:num w:numId="2" w16cid:durableId="726344999">
    <w:abstractNumId w:val="7"/>
  </w:num>
  <w:num w:numId="3" w16cid:durableId="821239918">
    <w:abstractNumId w:val="36"/>
  </w:num>
  <w:num w:numId="4" w16cid:durableId="1736704039">
    <w:abstractNumId w:val="1"/>
  </w:num>
  <w:num w:numId="5" w16cid:durableId="1413502683">
    <w:abstractNumId w:val="28"/>
  </w:num>
  <w:num w:numId="6" w16cid:durableId="424960989">
    <w:abstractNumId w:val="29"/>
  </w:num>
  <w:num w:numId="7" w16cid:durableId="1016342938">
    <w:abstractNumId w:val="20"/>
  </w:num>
  <w:num w:numId="8" w16cid:durableId="1814714151">
    <w:abstractNumId w:val="4"/>
  </w:num>
  <w:num w:numId="9" w16cid:durableId="2104838499">
    <w:abstractNumId w:val="38"/>
  </w:num>
  <w:num w:numId="10" w16cid:durableId="566304544">
    <w:abstractNumId w:val="24"/>
  </w:num>
  <w:num w:numId="11" w16cid:durableId="737359138">
    <w:abstractNumId w:val="10"/>
  </w:num>
  <w:num w:numId="12" w16cid:durableId="1259369492">
    <w:abstractNumId w:val="39"/>
  </w:num>
  <w:num w:numId="13" w16cid:durableId="546265274">
    <w:abstractNumId w:val="12"/>
  </w:num>
  <w:num w:numId="14" w16cid:durableId="604004014">
    <w:abstractNumId w:val="17"/>
  </w:num>
  <w:num w:numId="15" w16cid:durableId="1558589541">
    <w:abstractNumId w:val="30"/>
  </w:num>
  <w:num w:numId="16" w16cid:durableId="1131485239">
    <w:abstractNumId w:val="16"/>
  </w:num>
  <w:num w:numId="17" w16cid:durableId="1911234006">
    <w:abstractNumId w:val="23"/>
  </w:num>
  <w:num w:numId="18" w16cid:durableId="1449931071">
    <w:abstractNumId w:val="2"/>
  </w:num>
  <w:num w:numId="19" w16cid:durableId="2042780087">
    <w:abstractNumId w:val="6"/>
  </w:num>
  <w:num w:numId="20" w16cid:durableId="1603144102">
    <w:abstractNumId w:val="22"/>
  </w:num>
  <w:num w:numId="21" w16cid:durableId="741290629">
    <w:abstractNumId w:val="35"/>
  </w:num>
  <w:num w:numId="22" w16cid:durableId="1424835471">
    <w:abstractNumId w:val="0"/>
  </w:num>
  <w:num w:numId="23" w16cid:durableId="1401707470">
    <w:abstractNumId w:val="11"/>
  </w:num>
  <w:num w:numId="24" w16cid:durableId="1645625970">
    <w:abstractNumId w:val="21"/>
  </w:num>
  <w:num w:numId="25" w16cid:durableId="1392582648">
    <w:abstractNumId w:val="9"/>
  </w:num>
  <w:num w:numId="26" w16cid:durableId="244190092">
    <w:abstractNumId w:val="32"/>
  </w:num>
  <w:num w:numId="27" w16cid:durableId="1191915409">
    <w:abstractNumId w:val="19"/>
  </w:num>
  <w:num w:numId="28" w16cid:durableId="756556103">
    <w:abstractNumId w:val="34"/>
  </w:num>
  <w:num w:numId="29" w16cid:durableId="1409420538">
    <w:abstractNumId w:val="5"/>
  </w:num>
  <w:num w:numId="30" w16cid:durableId="1170489141">
    <w:abstractNumId w:val="8"/>
  </w:num>
  <w:num w:numId="31" w16cid:durableId="718749829">
    <w:abstractNumId w:val="33"/>
  </w:num>
  <w:num w:numId="32" w16cid:durableId="1316378431">
    <w:abstractNumId w:val="26"/>
  </w:num>
  <w:num w:numId="33" w16cid:durableId="1567648578">
    <w:abstractNumId w:val="3"/>
  </w:num>
  <w:num w:numId="34" w16cid:durableId="1825201637">
    <w:abstractNumId w:val="13"/>
  </w:num>
  <w:num w:numId="35" w16cid:durableId="1226526088">
    <w:abstractNumId w:val="14"/>
  </w:num>
  <w:num w:numId="36" w16cid:durableId="157384270">
    <w:abstractNumId w:val="25"/>
  </w:num>
  <w:num w:numId="37" w16cid:durableId="795679184">
    <w:abstractNumId w:val="37"/>
  </w:num>
  <w:num w:numId="38" w16cid:durableId="297147906">
    <w:abstractNumId w:val="27"/>
  </w:num>
  <w:num w:numId="39" w16cid:durableId="765881323">
    <w:abstractNumId w:val="15"/>
  </w:num>
  <w:num w:numId="40" w16cid:durableId="579565847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008"/>
    <w:rsid w:val="00001379"/>
    <w:rsid w:val="000016B8"/>
    <w:rsid w:val="0000191B"/>
    <w:rsid w:val="00003072"/>
    <w:rsid w:val="00003C6D"/>
    <w:rsid w:val="00003E87"/>
    <w:rsid w:val="00004005"/>
    <w:rsid w:val="00004156"/>
    <w:rsid w:val="000041B2"/>
    <w:rsid w:val="00004504"/>
    <w:rsid w:val="000048B5"/>
    <w:rsid w:val="000049F8"/>
    <w:rsid w:val="0000546D"/>
    <w:rsid w:val="00006DE8"/>
    <w:rsid w:val="00006F93"/>
    <w:rsid w:val="00007DBD"/>
    <w:rsid w:val="00010176"/>
    <w:rsid w:val="000106F9"/>
    <w:rsid w:val="00010B73"/>
    <w:rsid w:val="00010C22"/>
    <w:rsid w:val="00010DC1"/>
    <w:rsid w:val="00012CB3"/>
    <w:rsid w:val="000147F1"/>
    <w:rsid w:val="00014C7D"/>
    <w:rsid w:val="00014F55"/>
    <w:rsid w:val="000155F3"/>
    <w:rsid w:val="00015923"/>
    <w:rsid w:val="00015CEA"/>
    <w:rsid w:val="00015CF9"/>
    <w:rsid w:val="00015EB7"/>
    <w:rsid w:val="00016B96"/>
    <w:rsid w:val="00016C7C"/>
    <w:rsid w:val="00016CF7"/>
    <w:rsid w:val="00020710"/>
    <w:rsid w:val="000209DB"/>
    <w:rsid w:val="00020A19"/>
    <w:rsid w:val="0002134D"/>
    <w:rsid w:val="00021B86"/>
    <w:rsid w:val="00021CF3"/>
    <w:rsid w:val="000222F7"/>
    <w:rsid w:val="00022764"/>
    <w:rsid w:val="00022AAD"/>
    <w:rsid w:val="00022C5A"/>
    <w:rsid w:val="0002372D"/>
    <w:rsid w:val="00023BB2"/>
    <w:rsid w:val="00023C80"/>
    <w:rsid w:val="00024406"/>
    <w:rsid w:val="00024CB9"/>
    <w:rsid w:val="00026268"/>
    <w:rsid w:val="00026AEA"/>
    <w:rsid w:val="00030567"/>
    <w:rsid w:val="00031056"/>
    <w:rsid w:val="00031B77"/>
    <w:rsid w:val="000329DB"/>
    <w:rsid w:val="00033C98"/>
    <w:rsid w:val="000340C0"/>
    <w:rsid w:val="00034242"/>
    <w:rsid w:val="00034548"/>
    <w:rsid w:val="00035159"/>
    <w:rsid w:val="00035C69"/>
    <w:rsid w:val="000361AD"/>
    <w:rsid w:val="00036628"/>
    <w:rsid w:val="00037056"/>
    <w:rsid w:val="00037230"/>
    <w:rsid w:val="000375BD"/>
    <w:rsid w:val="000405AB"/>
    <w:rsid w:val="000409ED"/>
    <w:rsid w:val="00041319"/>
    <w:rsid w:val="00042CF4"/>
    <w:rsid w:val="0004327E"/>
    <w:rsid w:val="0004342A"/>
    <w:rsid w:val="00044D7A"/>
    <w:rsid w:val="00045616"/>
    <w:rsid w:val="00045CF7"/>
    <w:rsid w:val="00046198"/>
    <w:rsid w:val="0004680A"/>
    <w:rsid w:val="000506CE"/>
    <w:rsid w:val="0005179F"/>
    <w:rsid w:val="00051CA7"/>
    <w:rsid w:val="0005249C"/>
    <w:rsid w:val="00052656"/>
    <w:rsid w:val="00052ADF"/>
    <w:rsid w:val="00053ED0"/>
    <w:rsid w:val="000540F9"/>
    <w:rsid w:val="00054C74"/>
    <w:rsid w:val="00056A34"/>
    <w:rsid w:val="0005701B"/>
    <w:rsid w:val="00057611"/>
    <w:rsid w:val="000577CB"/>
    <w:rsid w:val="00057904"/>
    <w:rsid w:val="00060712"/>
    <w:rsid w:val="000616F7"/>
    <w:rsid w:val="00061C6B"/>
    <w:rsid w:val="00062057"/>
    <w:rsid w:val="00062FAF"/>
    <w:rsid w:val="0006347F"/>
    <w:rsid w:val="000636E6"/>
    <w:rsid w:val="000642F6"/>
    <w:rsid w:val="00064D33"/>
    <w:rsid w:val="00064FC2"/>
    <w:rsid w:val="00065A18"/>
    <w:rsid w:val="00065B58"/>
    <w:rsid w:val="00065E74"/>
    <w:rsid w:val="00065F4A"/>
    <w:rsid w:val="000663C9"/>
    <w:rsid w:val="00066414"/>
    <w:rsid w:val="00066CB1"/>
    <w:rsid w:val="000673A7"/>
    <w:rsid w:val="00067505"/>
    <w:rsid w:val="00067D65"/>
    <w:rsid w:val="00067EB0"/>
    <w:rsid w:val="0007084B"/>
    <w:rsid w:val="00070942"/>
    <w:rsid w:val="000717FC"/>
    <w:rsid w:val="00071DEB"/>
    <w:rsid w:val="000728B5"/>
    <w:rsid w:val="00072D29"/>
    <w:rsid w:val="00074154"/>
    <w:rsid w:val="00074816"/>
    <w:rsid w:val="00075799"/>
    <w:rsid w:val="00075C79"/>
    <w:rsid w:val="0007622F"/>
    <w:rsid w:val="000771C9"/>
    <w:rsid w:val="00077D7A"/>
    <w:rsid w:val="00080600"/>
    <w:rsid w:val="0008098F"/>
    <w:rsid w:val="00080DC8"/>
    <w:rsid w:val="000811EB"/>
    <w:rsid w:val="0008149D"/>
    <w:rsid w:val="000814D7"/>
    <w:rsid w:val="0008192E"/>
    <w:rsid w:val="00081CC0"/>
    <w:rsid w:val="000826FE"/>
    <w:rsid w:val="000833A4"/>
    <w:rsid w:val="00084E27"/>
    <w:rsid w:val="000854B1"/>
    <w:rsid w:val="000855AD"/>
    <w:rsid w:val="00085970"/>
    <w:rsid w:val="00085D6C"/>
    <w:rsid w:val="0008649C"/>
    <w:rsid w:val="00086A82"/>
    <w:rsid w:val="00086F98"/>
    <w:rsid w:val="0009006F"/>
    <w:rsid w:val="000901DE"/>
    <w:rsid w:val="00090472"/>
    <w:rsid w:val="000907B0"/>
    <w:rsid w:val="000908C0"/>
    <w:rsid w:val="000909FF"/>
    <w:rsid w:val="00090A63"/>
    <w:rsid w:val="0009160C"/>
    <w:rsid w:val="00092C4A"/>
    <w:rsid w:val="00093204"/>
    <w:rsid w:val="00093832"/>
    <w:rsid w:val="00093854"/>
    <w:rsid w:val="000939D1"/>
    <w:rsid w:val="0009414F"/>
    <w:rsid w:val="00094426"/>
    <w:rsid w:val="00095281"/>
    <w:rsid w:val="00096750"/>
    <w:rsid w:val="00096912"/>
    <w:rsid w:val="00096ED4"/>
    <w:rsid w:val="000974D2"/>
    <w:rsid w:val="000A0F28"/>
    <w:rsid w:val="000A1B0B"/>
    <w:rsid w:val="000A1FFC"/>
    <w:rsid w:val="000A2199"/>
    <w:rsid w:val="000A25F5"/>
    <w:rsid w:val="000A2960"/>
    <w:rsid w:val="000A2EB3"/>
    <w:rsid w:val="000A30F4"/>
    <w:rsid w:val="000A311A"/>
    <w:rsid w:val="000A36BC"/>
    <w:rsid w:val="000A37D8"/>
    <w:rsid w:val="000A44D5"/>
    <w:rsid w:val="000A47C6"/>
    <w:rsid w:val="000A5F2F"/>
    <w:rsid w:val="000A652C"/>
    <w:rsid w:val="000A76A1"/>
    <w:rsid w:val="000B0333"/>
    <w:rsid w:val="000B138D"/>
    <w:rsid w:val="000B1497"/>
    <w:rsid w:val="000B1E56"/>
    <w:rsid w:val="000B2E2E"/>
    <w:rsid w:val="000B3408"/>
    <w:rsid w:val="000B405A"/>
    <w:rsid w:val="000B4573"/>
    <w:rsid w:val="000B4A2A"/>
    <w:rsid w:val="000B4BEF"/>
    <w:rsid w:val="000B5546"/>
    <w:rsid w:val="000B568A"/>
    <w:rsid w:val="000B58CC"/>
    <w:rsid w:val="000B5C9A"/>
    <w:rsid w:val="000B5E32"/>
    <w:rsid w:val="000B64F2"/>
    <w:rsid w:val="000B66B3"/>
    <w:rsid w:val="000B6A4C"/>
    <w:rsid w:val="000C0021"/>
    <w:rsid w:val="000C08F0"/>
    <w:rsid w:val="000C0A8F"/>
    <w:rsid w:val="000C0FDC"/>
    <w:rsid w:val="000C10D7"/>
    <w:rsid w:val="000C35C5"/>
    <w:rsid w:val="000C3EF9"/>
    <w:rsid w:val="000C44D4"/>
    <w:rsid w:val="000C52B3"/>
    <w:rsid w:val="000C7669"/>
    <w:rsid w:val="000D0DB3"/>
    <w:rsid w:val="000D105E"/>
    <w:rsid w:val="000D2627"/>
    <w:rsid w:val="000D2BD2"/>
    <w:rsid w:val="000D2D6F"/>
    <w:rsid w:val="000D3251"/>
    <w:rsid w:val="000D3BA8"/>
    <w:rsid w:val="000D4C13"/>
    <w:rsid w:val="000D4C8F"/>
    <w:rsid w:val="000D56C1"/>
    <w:rsid w:val="000D5A79"/>
    <w:rsid w:val="000D5C50"/>
    <w:rsid w:val="000D7A35"/>
    <w:rsid w:val="000E06D4"/>
    <w:rsid w:val="000E3C31"/>
    <w:rsid w:val="000E4C38"/>
    <w:rsid w:val="000E4E36"/>
    <w:rsid w:val="000E63F0"/>
    <w:rsid w:val="000E6634"/>
    <w:rsid w:val="000E6BCC"/>
    <w:rsid w:val="000E6E28"/>
    <w:rsid w:val="000E6F82"/>
    <w:rsid w:val="000E71D6"/>
    <w:rsid w:val="000E7561"/>
    <w:rsid w:val="000F0423"/>
    <w:rsid w:val="000F0D1C"/>
    <w:rsid w:val="000F127B"/>
    <w:rsid w:val="000F1C56"/>
    <w:rsid w:val="000F218C"/>
    <w:rsid w:val="000F3121"/>
    <w:rsid w:val="000F32DC"/>
    <w:rsid w:val="000F3AB1"/>
    <w:rsid w:val="000F3F86"/>
    <w:rsid w:val="000F7610"/>
    <w:rsid w:val="0010016C"/>
    <w:rsid w:val="001017C3"/>
    <w:rsid w:val="00104355"/>
    <w:rsid w:val="00104FBE"/>
    <w:rsid w:val="0010667C"/>
    <w:rsid w:val="001072A0"/>
    <w:rsid w:val="001107C7"/>
    <w:rsid w:val="0011191A"/>
    <w:rsid w:val="0011208D"/>
    <w:rsid w:val="00114CB2"/>
    <w:rsid w:val="0011547C"/>
    <w:rsid w:val="00115658"/>
    <w:rsid w:val="0011706F"/>
    <w:rsid w:val="00120383"/>
    <w:rsid w:val="00120BDA"/>
    <w:rsid w:val="00120CD6"/>
    <w:rsid w:val="00121EC5"/>
    <w:rsid w:val="00121F2F"/>
    <w:rsid w:val="001237C1"/>
    <w:rsid w:val="0012474A"/>
    <w:rsid w:val="001259D8"/>
    <w:rsid w:val="001260A5"/>
    <w:rsid w:val="00127094"/>
    <w:rsid w:val="00127658"/>
    <w:rsid w:val="00127F67"/>
    <w:rsid w:val="00131439"/>
    <w:rsid w:val="0013155A"/>
    <w:rsid w:val="001325A5"/>
    <w:rsid w:val="0013280E"/>
    <w:rsid w:val="00133010"/>
    <w:rsid w:val="001336AC"/>
    <w:rsid w:val="0013440F"/>
    <w:rsid w:val="0013459F"/>
    <w:rsid w:val="0013658B"/>
    <w:rsid w:val="00136E79"/>
    <w:rsid w:val="00137731"/>
    <w:rsid w:val="00140011"/>
    <w:rsid w:val="00140983"/>
    <w:rsid w:val="00140B01"/>
    <w:rsid w:val="001413EB"/>
    <w:rsid w:val="001420F1"/>
    <w:rsid w:val="00142162"/>
    <w:rsid w:val="0014221C"/>
    <w:rsid w:val="00142785"/>
    <w:rsid w:val="0014282B"/>
    <w:rsid w:val="00143391"/>
    <w:rsid w:val="0014349C"/>
    <w:rsid w:val="0014460D"/>
    <w:rsid w:val="00144D08"/>
    <w:rsid w:val="00144EFE"/>
    <w:rsid w:val="001456B7"/>
    <w:rsid w:val="00146935"/>
    <w:rsid w:val="00146A9F"/>
    <w:rsid w:val="0014731A"/>
    <w:rsid w:val="0014794C"/>
    <w:rsid w:val="00150500"/>
    <w:rsid w:val="00150619"/>
    <w:rsid w:val="001516B5"/>
    <w:rsid w:val="00152339"/>
    <w:rsid w:val="00152663"/>
    <w:rsid w:val="00153301"/>
    <w:rsid w:val="0015370E"/>
    <w:rsid w:val="00153C34"/>
    <w:rsid w:val="00153F0D"/>
    <w:rsid w:val="00154164"/>
    <w:rsid w:val="001543C6"/>
    <w:rsid w:val="00156348"/>
    <w:rsid w:val="0015698A"/>
    <w:rsid w:val="001601F5"/>
    <w:rsid w:val="001603CC"/>
    <w:rsid w:val="00161CAF"/>
    <w:rsid w:val="0016284D"/>
    <w:rsid w:val="001630C3"/>
    <w:rsid w:val="00163323"/>
    <w:rsid w:val="0016349E"/>
    <w:rsid w:val="00164F62"/>
    <w:rsid w:val="001653E3"/>
    <w:rsid w:val="001661B2"/>
    <w:rsid w:val="00166258"/>
    <w:rsid w:val="001667E7"/>
    <w:rsid w:val="00166A4B"/>
    <w:rsid w:val="00166F89"/>
    <w:rsid w:val="00167317"/>
    <w:rsid w:val="00167E6B"/>
    <w:rsid w:val="00167F44"/>
    <w:rsid w:val="0017074B"/>
    <w:rsid w:val="00172370"/>
    <w:rsid w:val="00172632"/>
    <w:rsid w:val="00172EC6"/>
    <w:rsid w:val="001739E4"/>
    <w:rsid w:val="00177AD4"/>
    <w:rsid w:val="00180204"/>
    <w:rsid w:val="0018268A"/>
    <w:rsid w:val="00182866"/>
    <w:rsid w:val="00182CAF"/>
    <w:rsid w:val="00182D36"/>
    <w:rsid w:val="0018317A"/>
    <w:rsid w:val="00183F19"/>
    <w:rsid w:val="0018594C"/>
    <w:rsid w:val="00187363"/>
    <w:rsid w:val="00187610"/>
    <w:rsid w:val="00187749"/>
    <w:rsid w:val="001911F9"/>
    <w:rsid w:val="001914EF"/>
    <w:rsid w:val="0019191C"/>
    <w:rsid w:val="0019236A"/>
    <w:rsid w:val="001934B5"/>
    <w:rsid w:val="00194437"/>
    <w:rsid w:val="001949A8"/>
    <w:rsid w:val="00194FCF"/>
    <w:rsid w:val="00195485"/>
    <w:rsid w:val="00195D87"/>
    <w:rsid w:val="00196B98"/>
    <w:rsid w:val="00197A50"/>
    <w:rsid w:val="001A13AB"/>
    <w:rsid w:val="001A1A3F"/>
    <w:rsid w:val="001A1C40"/>
    <w:rsid w:val="001A2948"/>
    <w:rsid w:val="001A30E2"/>
    <w:rsid w:val="001A32C1"/>
    <w:rsid w:val="001A38D3"/>
    <w:rsid w:val="001A4003"/>
    <w:rsid w:val="001A41CB"/>
    <w:rsid w:val="001A47E4"/>
    <w:rsid w:val="001A7233"/>
    <w:rsid w:val="001A7449"/>
    <w:rsid w:val="001A74F8"/>
    <w:rsid w:val="001A7C93"/>
    <w:rsid w:val="001A7FAC"/>
    <w:rsid w:val="001B0154"/>
    <w:rsid w:val="001B05A6"/>
    <w:rsid w:val="001B0D7D"/>
    <w:rsid w:val="001B100B"/>
    <w:rsid w:val="001B103F"/>
    <w:rsid w:val="001B123A"/>
    <w:rsid w:val="001B1946"/>
    <w:rsid w:val="001B3371"/>
    <w:rsid w:val="001B3694"/>
    <w:rsid w:val="001B3760"/>
    <w:rsid w:val="001B3B14"/>
    <w:rsid w:val="001B415C"/>
    <w:rsid w:val="001B487A"/>
    <w:rsid w:val="001B4E48"/>
    <w:rsid w:val="001B5088"/>
    <w:rsid w:val="001B5E7D"/>
    <w:rsid w:val="001B6305"/>
    <w:rsid w:val="001B757A"/>
    <w:rsid w:val="001C1305"/>
    <w:rsid w:val="001C17D5"/>
    <w:rsid w:val="001C1809"/>
    <w:rsid w:val="001C3443"/>
    <w:rsid w:val="001C3E8C"/>
    <w:rsid w:val="001C3F2E"/>
    <w:rsid w:val="001C44D8"/>
    <w:rsid w:val="001C4E3F"/>
    <w:rsid w:val="001C4E8D"/>
    <w:rsid w:val="001C5515"/>
    <w:rsid w:val="001C564B"/>
    <w:rsid w:val="001C66C6"/>
    <w:rsid w:val="001C7EEC"/>
    <w:rsid w:val="001D0189"/>
    <w:rsid w:val="001D1822"/>
    <w:rsid w:val="001D1E77"/>
    <w:rsid w:val="001D1F34"/>
    <w:rsid w:val="001D202C"/>
    <w:rsid w:val="001D2175"/>
    <w:rsid w:val="001D26B1"/>
    <w:rsid w:val="001D2B41"/>
    <w:rsid w:val="001D2F00"/>
    <w:rsid w:val="001D4141"/>
    <w:rsid w:val="001D458E"/>
    <w:rsid w:val="001D476E"/>
    <w:rsid w:val="001D4957"/>
    <w:rsid w:val="001D5C24"/>
    <w:rsid w:val="001D6008"/>
    <w:rsid w:val="001D7445"/>
    <w:rsid w:val="001D755F"/>
    <w:rsid w:val="001E02C9"/>
    <w:rsid w:val="001E0A28"/>
    <w:rsid w:val="001E1074"/>
    <w:rsid w:val="001E1114"/>
    <w:rsid w:val="001E11B5"/>
    <w:rsid w:val="001E11B9"/>
    <w:rsid w:val="001E1504"/>
    <w:rsid w:val="001E1729"/>
    <w:rsid w:val="001E33F7"/>
    <w:rsid w:val="001E606D"/>
    <w:rsid w:val="001E66ED"/>
    <w:rsid w:val="001E698E"/>
    <w:rsid w:val="001E71F2"/>
    <w:rsid w:val="001E741A"/>
    <w:rsid w:val="001E7CCA"/>
    <w:rsid w:val="001F156D"/>
    <w:rsid w:val="001F17B3"/>
    <w:rsid w:val="001F1B99"/>
    <w:rsid w:val="001F1BFF"/>
    <w:rsid w:val="001F323F"/>
    <w:rsid w:val="001F349C"/>
    <w:rsid w:val="001F3682"/>
    <w:rsid w:val="001F43C8"/>
    <w:rsid w:val="001F4688"/>
    <w:rsid w:val="001F4B77"/>
    <w:rsid w:val="001F4CF0"/>
    <w:rsid w:val="001F52A9"/>
    <w:rsid w:val="001F54E1"/>
    <w:rsid w:val="001F5C08"/>
    <w:rsid w:val="001F603E"/>
    <w:rsid w:val="001F679C"/>
    <w:rsid w:val="001F68B4"/>
    <w:rsid w:val="001F77C0"/>
    <w:rsid w:val="00200D93"/>
    <w:rsid w:val="00201C67"/>
    <w:rsid w:val="00201E0F"/>
    <w:rsid w:val="00203C05"/>
    <w:rsid w:val="002045DA"/>
    <w:rsid w:val="00204949"/>
    <w:rsid w:val="00204BD4"/>
    <w:rsid w:val="00205F4F"/>
    <w:rsid w:val="00205F70"/>
    <w:rsid w:val="00206CD5"/>
    <w:rsid w:val="002077EB"/>
    <w:rsid w:val="00207967"/>
    <w:rsid w:val="00207FEF"/>
    <w:rsid w:val="0021098B"/>
    <w:rsid w:val="00211AD1"/>
    <w:rsid w:val="00211FC9"/>
    <w:rsid w:val="0021257A"/>
    <w:rsid w:val="00212714"/>
    <w:rsid w:val="002165CA"/>
    <w:rsid w:val="002170F4"/>
    <w:rsid w:val="0021720E"/>
    <w:rsid w:val="0021743C"/>
    <w:rsid w:val="00220936"/>
    <w:rsid w:val="002221AD"/>
    <w:rsid w:val="00222847"/>
    <w:rsid w:val="002229FE"/>
    <w:rsid w:val="00222B18"/>
    <w:rsid w:val="00222D37"/>
    <w:rsid w:val="00222F94"/>
    <w:rsid w:val="00223C92"/>
    <w:rsid w:val="00223ECE"/>
    <w:rsid w:val="002242C3"/>
    <w:rsid w:val="00225657"/>
    <w:rsid w:val="002259AA"/>
    <w:rsid w:val="0022650B"/>
    <w:rsid w:val="00226AF6"/>
    <w:rsid w:val="00227643"/>
    <w:rsid w:val="0022767F"/>
    <w:rsid w:val="00230A9A"/>
    <w:rsid w:val="002319FD"/>
    <w:rsid w:val="002334D3"/>
    <w:rsid w:val="00233838"/>
    <w:rsid w:val="00234106"/>
    <w:rsid w:val="00234478"/>
    <w:rsid w:val="0023454A"/>
    <w:rsid w:val="002345F8"/>
    <w:rsid w:val="00234CA0"/>
    <w:rsid w:val="002361B8"/>
    <w:rsid w:val="0023657D"/>
    <w:rsid w:val="00236C48"/>
    <w:rsid w:val="00237130"/>
    <w:rsid w:val="002375B2"/>
    <w:rsid w:val="002403C7"/>
    <w:rsid w:val="002416A8"/>
    <w:rsid w:val="00241CCF"/>
    <w:rsid w:val="0024217C"/>
    <w:rsid w:val="002421B3"/>
    <w:rsid w:val="0024275D"/>
    <w:rsid w:val="00242808"/>
    <w:rsid w:val="00242C9C"/>
    <w:rsid w:val="002431FE"/>
    <w:rsid w:val="00243295"/>
    <w:rsid w:val="00243BD4"/>
    <w:rsid w:val="002448A5"/>
    <w:rsid w:val="00244A2E"/>
    <w:rsid w:val="00244B18"/>
    <w:rsid w:val="002455E2"/>
    <w:rsid w:val="00246CA4"/>
    <w:rsid w:val="00250919"/>
    <w:rsid w:val="00250C38"/>
    <w:rsid w:val="00250D7C"/>
    <w:rsid w:val="00250D9E"/>
    <w:rsid w:val="00250E78"/>
    <w:rsid w:val="002519BA"/>
    <w:rsid w:val="002519CE"/>
    <w:rsid w:val="00254201"/>
    <w:rsid w:val="00254273"/>
    <w:rsid w:val="00254867"/>
    <w:rsid w:val="00254FC0"/>
    <w:rsid w:val="002551CD"/>
    <w:rsid w:val="0025696B"/>
    <w:rsid w:val="00256C20"/>
    <w:rsid w:val="0025715E"/>
    <w:rsid w:val="002578D3"/>
    <w:rsid w:val="00257ABE"/>
    <w:rsid w:val="00257AEF"/>
    <w:rsid w:val="00257B70"/>
    <w:rsid w:val="00260012"/>
    <w:rsid w:val="002627FE"/>
    <w:rsid w:val="00262E75"/>
    <w:rsid w:val="00263688"/>
    <w:rsid w:val="002636C7"/>
    <w:rsid w:val="002644C1"/>
    <w:rsid w:val="00264D37"/>
    <w:rsid w:val="00265CC6"/>
    <w:rsid w:val="00265E97"/>
    <w:rsid w:val="00265F90"/>
    <w:rsid w:val="00267097"/>
    <w:rsid w:val="00267259"/>
    <w:rsid w:val="00270AD3"/>
    <w:rsid w:val="00272ADB"/>
    <w:rsid w:val="00272D93"/>
    <w:rsid w:val="0027312A"/>
    <w:rsid w:val="00273A22"/>
    <w:rsid w:val="0027525C"/>
    <w:rsid w:val="00275630"/>
    <w:rsid w:val="00275AC0"/>
    <w:rsid w:val="00275D3E"/>
    <w:rsid w:val="0027664D"/>
    <w:rsid w:val="002817C5"/>
    <w:rsid w:val="00282292"/>
    <w:rsid w:val="00282636"/>
    <w:rsid w:val="002832AC"/>
    <w:rsid w:val="00283358"/>
    <w:rsid w:val="0028373D"/>
    <w:rsid w:val="00283F19"/>
    <w:rsid w:val="00283FDD"/>
    <w:rsid w:val="00284A55"/>
    <w:rsid w:val="00284A7B"/>
    <w:rsid w:val="002859A7"/>
    <w:rsid w:val="00285A7F"/>
    <w:rsid w:val="00285E5B"/>
    <w:rsid w:val="0028600F"/>
    <w:rsid w:val="00286797"/>
    <w:rsid w:val="00286809"/>
    <w:rsid w:val="002877AB"/>
    <w:rsid w:val="00287944"/>
    <w:rsid w:val="00290158"/>
    <w:rsid w:val="002909A3"/>
    <w:rsid w:val="00291696"/>
    <w:rsid w:val="002917B7"/>
    <w:rsid w:val="00291951"/>
    <w:rsid w:val="002928B1"/>
    <w:rsid w:val="00292D29"/>
    <w:rsid w:val="00293B03"/>
    <w:rsid w:val="002946FB"/>
    <w:rsid w:val="00294D0F"/>
    <w:rsid w:val="002975D1"/>
    <w:rsid w:val="0029763A"/>
    <w:rsid w:val="00297B40"/>
    <w:rsid w:val="002A0063"/>
    <w:rsid w:val="002A2578"/>
    <w:rsid w:val="002A2B56"/>
    <w:rsid w:val="002A3A4B"/>
    <w:rsid w:val="002A40FA"/>
    <w:rsid w:val="002A53FE"/>
    <w:rsid w:val="002A553A"/>
    <w:rsid w:val="002A6508"/>
    <w:rsid w:val="002A6B88"/>
    <w:rsid w:val="002A7AD4"/>
    <w:rsid w:val="002A7DEA"/>
    <w:rsid w:val="002B0005"/>
    <w:rsid w:val="002B00A2"/>
    <w:rsid w:val="002B0D51"/>
    <w:rsid w:val="002B15DA"/>
    <w:rsid w:val="002B1A01"/>
    <w:rsid w:val="002B2CBB"/>
    <w:rsid w:val="002B2E1D"/>
    <w:rsid w:val="002B3ADF"/>
    <w:rsid w:val="002B5A5F"/>
    <w:rsid w:val="002B5EFF"/>
    <w:rsid w:val="002B65FA"/>
    <w:rsid w:val="002B6A6C"/>
    <w:rsid w:val="002B6B6D"/>
    <w:rsid w:val="002B7463"/>
    <w:rsid w:val="002B7BDB"/>
    <w:rsid w:val="002C0DA7"/>
    <w:rsid w:val="002C1B78"/>
    <w:rsid w:val="002C2061"/>
    <w:rsid w:val="002C2225"/>
    <w:rsid w:val="002C29B0"/>
    <w:rsid w:val="002C3021"/>
    <w:rsid w:val="002C30DA"/>
    <w:rsid w:val="002C311B"/>
    <w:rsid w:val="002C3178"/>
    <w:rsid w:val="002C357C"/>
    <w:rsid w:val="002C51BF"/>
    <w:rsid w:val="002C5B1D"/>
    <w:rsid w:val="002C5B65"/>
    <w:rsid w:val="002C5BB3"/>
    <w:rsid w:val="002C6B7E"/>
    <w:rsid w:val="002C790C"/>
    <w:rsid w:val="002C7DC8"/>
    <w:rsid w:val="002D01BF"/>
    <w:rsid w:val="002D0DA3"/>
    <w:rsid w:val="002D11DB"/>
    <w:rsid w:val="002D1471"/>
    <w:rsid w:val="002D1759"/>
    <w:rsid w:val="002D1A65"/>
    <w:rsid w:val="002D2208"/>
    <w:rsid w:val="002D2E56"/>
    <w:rsid w:val="002D2F2F"/>
    <w:rsid w:val="002D3A4D"/>
    <w:rsid w:val="002D5C7B"/>
    <w:rsid w:val="002D5F61"/>
    <w:rsid w:val="002D6264"/>
    <w:rsid w:val="002D62C9"/>
    <w:rsid w:val="002D645B"/>
    <w:rsid w:val="002D681E"/>
    <w:rsid w:val="002D6DE8"/>
    <w:rsid w:val="002D750D"/>
    <w:rsid w:val="002E00B8"/>
    <w:rsid w:val="002E04E7"/>
    <w:rsid w:val="002E0958"/>
    <w:rsid w:val="002E0F3E"/>
    <w:rsid w:val="002E1D68"/>
    <w:rsid w:val="002E1DD0"/>
    <w:rsid w:val="002E2487"/>
    <w:rsid w:val="002E24D4"/>
    <w:rsid w:val="002E24DE"/>
    <w:rsid w:val="002E32D1"/>
    <w:rsid w:val="002E3CC6"/>
    <w:rsid w:val="002E3DB8"/>
    <w:rsid w:val="002E4772"/>
    <w:rsid w:val="002E48CC"/>
    <w:rsid w:val="002E5AE8"/>
    <w:rsid w:val="002E6A4A"/>
    <w:rsid w:val="002E6E49"/>
    <w:rsid w:val="002E7D84"/>
    <w:rsid w:val="002F06C4"/>
    <w:rsid w:val="002F0E22"/>
    <w:rsid w:val="002F339A"/>
    <w:rsid w:val="002F3AF1"/>
    <w:rsid w:val="002F42D8"/>
    <w:rsid w:val="002F42E7"/>
    <w:rsid w:val="002F4A28"/>
    <w:rsid w:val="002F4A30"/>
    <w:rsid w:val="002F4B97"/>
    <w:rsid w:val="002F5465"/>
    <w:rsid w:val="002F5887"/>
    <w:rsid w:val="002F6AD5"/>
    <w:rsid w:val="002F6BAB"/>
    <w:rsid w:val="002F7081"/>
    <w:rsid w:val="002F7C25"/>
    <w:rsid w:val="0030003D"/>
    <w:rsid w:val="00300157"/>
    <w:rsid w:val="0030038B"/>
    <w:rsid w:val="0030144F"/>
    <w:rsid w:val="0030188D"/>
    <w:rsid w:val="00302862"/>
    <w:rsid w:val="003042BF"/>
    <w:rsid w:val="0030526E"/>
    <w:rsid w:val="003058BC"/>
    <w:rsid w:val="00305CAD"/>
    <w:rsid w:val="003063A9"/>
    <w:rsid w:val="00306632"/>
    <w:rsid w:val="003067A6"/>
    <w:rsid w:val="00306C65"/>
    <w:rsid w:val="00307D37"/>
    <w:rsid w:val="003103D1"/>
    <w:rsid w:val="003104CB"/>
    <w:rsid w:val="00311316"/>
    <w:rsid w:val="0031152E"/>
    <w:rsid w:val="00311F69"/>
    <w:rsid w:val="00312632"/>
    <w:rsid w:val="00312E1A"/>
    <w:rsid w:val="00313194"/>
    <w:rsid w:val="00313682"/>
    <w:rsid w:val="0031388F"/>
    <w:rsid w:val="00313EA6"/>
    <w:rsid w:val="00314AE6"/>
    <w:rsid w:val="003157BB"/>
    <w:rsid w:val="003158E3"/>
    <w:rsid w:val="00315A14"/>
    <w:rsid w:val="00316E3B"/>
    <w:rsid w:val="003205FB"/>
    <w:rsid w:val="00321E4C"/>
    <w:rsid w:val="003227A0"/>
    <w:rsid w:val="003232FA"/>
    <w:rsid w:val="0032415D"/>
    <w:rsid w:val="00324170"/>
    <w:rsid w:val="0033021D"/>
    <w:rsid w:val="003310B7"/>
    <w:rsid w:val="0033136B"/>
    <w:rsid w:val="00331458"/>
    <w:rsid w:val="003320C2"/>
    <w:rsid w:val="003321D9"/>
    <w:rsid w:val="00332F34"/>
    <w:rsid w:val="00333932"/>
    <w:rsid w:val="00335045"/>
    <w:rsid w:val="0033520C"/>
    <w:rsid w:val="00335356"/>
    <w:rsid w:val="00335ADC"/>
    <w:rsid w:val="00335D38"/>
    <w:rsid w:val="00337230"/>
    <w:rsid w:val="00337600"/>
    <w:rsid w:val="00340169"/>
    <w:rsid w:val="003406FF"/>
    <w:rsid w:val="0034084F"/>
    <w:rsid w:val="0034104F"/>
    <w:rsid w:val="003423E4"/>
    <w:rsid w:val="00343105"/>
    <w:rsid w:val="00343DB7"/>
    <w:rsid w:val="00345333"/>
    <w:rsid w:val="003457E6"/>
    <w:rsid w:val="00345FFE"/>
    <w:rsid w:val="0034721D"/>
    <w:rsid w:val="00350657"/>
    <w:rsid w:val="00350A03"/>
    <w:rsid w:val="00350DB6"/>
    <w:rsid w:val="00351C6D"/>
    <w:rsid w:val="0035293D"/>
    <w:rsid w:val="00352A79"/>
    <w:rsid w:val="00352F63"/>
    <w:rsid w:val="003537A5"/>
    <w:rsid w:val="003539BD"/>
    <w:rsid w:val="00354F3E"/>
    <w:rsid w:val="00355311"/>
    <w:rsid w:val="00356553"/>
    <w:rsid w:val="00356829"/>
    <w:rsid w:val="00356B7E"/>
    <w:rsid w:val="0035709E"/>
    <w:rsid w:val="003571E9"/>
    <w:rsid w:val="00357261"/>
    <w:rsid w:val="003576C0"/>
    <w:rsid w:val="0035772F"/>
    <w:rsid w:val="003609B4"/>
    <w:rsid w:val="00360C84"/>
    <w:rsid w:val="003612A6"/>
    <w:rsid w:val="003618B5"/>
    <w:rsid w:val="00362B56"/>
    <w:rsid w:val="003633E1"/>
    <w:rsid w:val="00364CFF"/>
    <w:rsid w:val="00365FB1"/>
    <w:rsid w:val="0036627B"/>
    <w:rsid w:val="00366BA3"/>
    <w:rsid w:val="00366E70"/>
    <w:rsid w:val="003702B6"/>
    <w:rsid w:val="00371807"/>
    <w:rsid w:val="00371C42"/>
    <w:rsid w:val="00371DC9"/>
    <w:rsid w:val="003726AF"/>
    <w:rsid w:val="003726D8"/>
    <w:rsid w:val="00372741"/>
    <w:rsid w:val="00373A0A"/>
    <w:rsid w:val="00373F59"/>
    <w:rsid w:val="003746AF"/>
    <w:rsid w:val="0037503A"/>
    <w:rsid w:val="00375203"/>
    <w:rsid w:val="00375C4F"/>
    <w:rsid w:val="003762D7"/>
    <w:rsid w:val="00376423"/>
    <w:rsid w:val="0037669B"/>
    <w:rsid w:val="00376868"/>
    <w:rsid w:val="00376B24"/>
    <w:rsid w:val="00377997"/>
    <w:rsid w:val="00380661"/>
    <w:rsid w:val="0038072D"/>
    <w:rsid w:val="003818ED"/>
    <w:rsid w:val="00381CDB"/>
    <w:rsid w:val="003824AF"/>
    <w:rsid w:val="0038280A"/>
    <w:rsid w:val="0038341C"/>
    <w:rsid w:val="003836C2"/>
    <w:rsid w:val="00383F41"/>
    <w:rsid w:val="00384249"/>
    <w:rsid w:val="003847A3"/>
    <w:rsid w:val="003852BF"/>
    <w:rsid w:val="00386285"/>
    <w:rsid w:val="00386E5F"/>
    <w:rsid w:val="00387D59"/>
    <w:rsid w:val="00387F18"/>
    <w:rsid w:val="0039054C"/>
    <w:rsid w:val="003906D0"/>
    <w:rsid w:val="00390B4A"/>
    <w:rsid w:val="00390BC0"/>
    <w:rsid w:val="00390F21"/>
    <w:rsid w:val="00391551"/>
    <w:rsid w:val="0039170E"/>
    <w:rsid w:val="003921EA"/>
    <w:rsid w:val="0039275F"/>
    <w:rsid w:val="00392851"/>
    <w:rsid w:val="00392D8E"/>
    <w:rsid w:val="00394171"/>
    <w:rsid w:val="00395296"/>
    <w:rsid w:val="00395B96"/>
    <w:rsid w:val="00395FAE"/>
    <w:rsid w:val="00396300"/>
    <w:rsid w:val="00396771"/>
    <w:rsid w:val="0039705B"/>
    <w:rsid w:val="00397456"/>
    <w:rsid w:val="00397CFD"/>
    <w:rsid w:val="003A012B"/>
    <w:rsid w:val="003A047C"/>
    <w:rsid w:val="003A0681"/>
    <w:rsid w:val="003A100E"/>
    <w:rsid w:val="003A1493"/>
    <w:rsid w:val="003A27DE"/>
    <w:rsid w:val="003A37FC"/>
    <w:rsid w:val="003A51A5"/>
    <w:rsid w:val="003A6865"/>
    <w:rsid w:val="003A6B70"/>
    <w:rsid w:val="003B092B"/>
    <w:rsid w:val="003B10D1"/>
    <w:rsid w:val="003B14DF"/>
    <w:rsid w:val="003B1800"/>
    <w:rsid w:val="003B3982"/>
    <w:rsid w:val="003B4F7B"/>
    <w:rsid w:val="003B500A"/>
    <w:rsid w:val="003B5FA3"/>
    <w:rsid w:val="003B61F6"/>
    <w:rsid w:val="003B74D9"/>
    <w:rsid w:val="003B7AB9"/>
    <w:rsid w:val="003B7C3F"/>
    <w:rsid w:val="003C0C12"/>
    <w:rsid w:val="003C0D7A"/>
    <w:rsid w:val="003C1466"/>
    <w:rsid w:val="003C1B5B"/>
    <w:rsid w:val="003C2745"/>
    <w:rsid w:val="003C2C2A"/>
    <w:rsid w:val="003C2FD7"/>
    <w:rsid w:val="003C329D"/>
    <w:rsid w:val="003C3713"/>
    <w:rsid w:val="003C37DB"/>
    <w:rsid w:val="003C3917"/>
    <w:rsid w:val="003C484C"/>
    <w:rsid w:val="003C4A6F"/>
    <w:rsid w:val="003C4ADC"/>
    <w:rsid w:val="003C5496"/>
    <w:rsid w:val="003C608C"/>
    <w:rsid w:val="003C6AB5"/>
    <w:rsid w:val="003C6B02"/>
    <w:rsid w:val="003C6F5C"/>
    <w:rsid w:val="003C7146"/>
    <w:rsid w:val="003C7174"/>
    <w:rsid w:val="003C7547"/>
    <w:rsid w:val="003C7B12"/>
    <w:rsid w:val="003C7B67"/>
    <w:rsid w:val="003D0207"/>
    <w:rsid w:val="003D03C3"/>
    <w:rsid w:val="003D06FB"/>
    <w:rsid w:val="003D0A2A"/>
    <w:rsid w:val="003D0A92"/>
    <w:rsid w:val="003D0EF0"/>
    <w:rsid w:val="003D14B9"/>
    <w:rsid w:val="003D1617"/>
    <w:rsid w:val="003D3B21"/>
    <w:rsid w:val="003D4293"/>
    <w:rsid w:val="003D43A2"/>
    <w:rsid w:val="003D46E1"/>
    <w:rsid w:val="003D4CCE"/>
    <w:rsid w:val="003D57D8"/>
    <w:rsid w:val="003D59E4"/>
    <w:rsid w:val="003D7090"/>
    <w:rsid w:val="003D7892"/>
    <w:rsid w:val="003E0364"/>
    <w:rsid w:val="003E1848"/>
    <w:rsid w:val="003E1B39"/>
    <w:rsid w:val="003E28B3"/>
    <w:rsid w:val="003E492B"/>
    <w:rsid w:val="003E4C86"/>
    <w:rsid w:val="003E61A0"/>
    <w:rsid w:val="003E629E"/>
    <w:rsid w:val="003E7831"/>
    <w:rsid w:val="003F02DE"/>
    <w:rsid w:val="003F0337"/>
    <w:rsid w:val="003F0B76"/>
    <w:rsid w:val="003F144C"/>
    <w:rsid w:val="003F182C"/>
    <w:rsid w:val="003F1C7C"/>
    <w:rsid w:val="003F1E6F"/>
    <w:rsid w:val="003F2320"/>
    <w:rsid w:val="003F31D6"/>
    <w:rsid w:val="003F3F95"/>
    <w:rsid w:val="003F52E6"/>
    <w:rsid w:val="003F541F"/>
    <w:rsid w:val="003F55E9"/>
    <w:rsid w:val="003F57C1"/>
    <w:rsid w:val="003F775C"/>
    <w:rsid w:val="00401270"/>
    <w:rsid w:val="00401522"/>
    <w:rsid w:val="0040178B"/>
    <w:rsid w:val="00401E2E"/>
    <w:rsid w:val="004022EC"/>
    <w:rsid w:val="00402BAA"/>
    <w:rsid w:val="00402D1F"/>
    <w:rsid w:val="004031DD"/>
    <w:rsid w:val="00403811"/>
    <w:rsid w:val="00403AB8"/>
    <w:rsid w:val="0040432A"/>
    <w:rsid w:val="004049E5"/>
    <w:rsid w:val="00405293"/>
    <w:rsid w:val="00405EA9"/>
    <w:rsid w:val="00405EAF"/>
    <w:rsid w:val="004064CF"/>
    <w:rsid w:val="00406EB8"/>
    <w:rsid w:val="004110F2"/>
    <w:rsid w:val="0041146D"/>
    <w:rsid w:val="00411705"/>
    <w:rsid w:val="004119C5"/>
    <w:rsid w:val="00412459"/>
    <w:rsid w:val="00412D01"/>
    <w:rsid w:val="00414187"/>
    <w:rsid w:val="00414C21"/>
    <w:rsid w:val="004164A7"/>
    <w:rsid w:val="00416D3B"/>
    <w:rsid w:val="004178BE"/>
    <w:rsid w:val="00417C7B"/>
    <w:rsid w:val="0042024D"/>
    <w:rsid w:val="00420597"/>
    <w:rsid w:val="0042091A"/>
    <w:rsid w:val="00420A1B"/>
    <w:rsid w:val="0042163E"/>
    <w:rsid w:val="00421699"/>
    <w:rsid w:val="00421B10"/>
    <w:rsid w:val="00421E0E"/>
    <w:rsid w:val="00422615"/>
    <w:rsid w:val="00422DEA"/>
    <w:rsid w:val="004236DF"/>
    <w:rsid w:val="00424297"/>
    <w:rsid w:val="00424889"/>
    <w:rsid w:val="00424C7E"/>
    <w:rsid w:val="004250FB"/>
    <w:rsid w:val="00425272"/>
    <w:rsid w:val="00425C9C"/>
    <w:rsid w:val="00426633"/>
    <w:rsid w:val="00427D5E"/>
    <w:rsid w:val="0043035B"/>
    <w:rsid w:val="00430F05"/>
    <w:rsid w:val="004314FD"/>
    <w:rsid w:val="00431AED"/>
    <w:rsid w:val="00431CDD"/>
    <w:rsid w:val="00433AA8"/>
    <w:rsid w:val="00433D56"/>
    <w:rsid w:val="00434203"/>
    <w:rsid w:val="0043421A"/>
    <w:rsid w:val="004358AF"/>
    <w:rsid w:val="00435F5A"/>
    <w:rsid w:val="00436137"/>
    <w:rsid w:val="00436939"/>
    <w:rsid w:val="00437645"/>
    <w:rsid w:val="004376AD"/>
    <w:rsid w:val="00442247"/>
    <w:rsid w:val="00442427"/>
    <w:rsid w:val="0044295A"/>
    <w:rsid w:val="00442A6A"/>
    <w:rsid w:val="00442B46"/>
    <w:rsid w:val="00442B4C"/>
    <w:rsid w:val="004446B8"/>
    <w:rsid w:val="00444AE4"/>
    <w:rsid w:val="00446844"/>
    <w:rsid w:val="004503FA"/>
    <w:rsid w:val="00450CD5"/>
    <w:rsid w:val="00450FF7"/>
    <w:rsid w:val="00451D23"/>
    <w:rsid w:val="004521A9"/>
    <w:rsid w:val="00452FD0"/>
    <w:rsid w:val="00453966"/>
    <w:rsid w:val="00454448"/>
    <w:rsid w:val="004545DC"/>
    <w:rsid w:val="00455B5D"/>
    <w:rsid w:val="00456141"/>
    <w:rsid w:val="00457C78"/>
    <w:rsid w:val="0046031C"/>
    <w:rsid w:val="00460455"/>
    <w:rsid w:val="00461341"/>
    <w:rsid w:val="00461367"/>
    <w:rsid w:val="00462766"/>
    <w:rsid w:val="0046290C"/>
    <w:rsid w:val="00462D65"/>
    <w:rsid w:val="00463752"/>
    <w:rsid w:val="004642EE"/>
    <w:rsid w:val="00465C24"/>
    <w:rsid w:val="00465F03"/>
    <w:rsid w:val="004660DE"/>
    <w:rsid w:val="004676F7"/>
    <w:rsid w:val="00467FE4"/>
    <w:rsid w:val="0047012A"/>
    <w:rsid w:val="00470414"/>
    <w:rsid w:val="004704F8"/>
    <w:rsid w:val="00470EC7"/>
    <w:rsid w:val="004713A4"/>
    <w:rsid w:val="004716A3"/>
    <w:rsid w:val="00471D71"/>
    <w:rsid w:val="00472158"/>
    <w:rsid w:val="00472316"/>
    <w:rsid w:val="0047323C"/>
    <w:rsid w:val="00474806"/>
    <w:rsid w:val="004749E1"/>
    <w:rsid w:val="00475852"/>
    <w:rsid w:val="00475C17"/>
    <w:rsid w:val="0048068D"/>
    <w:rsid w:val="004810AD"/>
    <w:rsid w:val="00482FD4"/>
    <w:rsid w:val="0048333D"/>
    <w:rsid w:val="00484663"/>
    <w:rsid w:val="0048485F"/>
    <w:rsid w:val="00484B7A"/>
    <w:rsid w:val="00485743"/>
    <w:rsid w:val="004865D4"/>
    <w:rsid w:val="0048681B"/>
    <w:rsid w:val="004873DC"/>
    <w:rsid w:val="004879DA"/>
    <w:rsid w:val="0049047A"/>
    <w:rsid w:val="004908E9"/>
    <w:rsid w:val="004909BB"/>
    <w:rsid w:val="00490ABD"/>
    <w:rsid w:val="0049181D"/>
    <w:rsid w:val="004918D5"/>
    <w:rsid w:val="00491971"/>
    <w:rsid w:val="00491A0F"/>
    <w:rsid w:val="00491B7A"/>
    <w:rsid w:val="004920D9"/>
    <w:rsid w:val="00492DCA"/>
    <w:rsid w:val="00492F6D"/>
    <w:rsid w:val="004935C6"/>
    <w:rsid w:val="00493873"/>
    <w:rsid w:val="004940C2"/>
    <w:rsid w:val="0049452F"/>
    <w:rsid w:val="0049480D"/>
    <w:rsid w:val="00494AD8"/>
    <w:rsid w:val="0049518A"/>
    <w:rsid w:val="004958CB"/>
    <w:rsid w:val="004961BC"/>
    <w:rsid w:val="00496645"/>
    <w:rsid w:val="00496A4F"/>
    <w:rsid w:val="00496C48"/>
    <w:rsid w:val="00497BC9"/>
    <w:rsid w:val="004A03E1"/>
    <w:rsid w:val="004A0E2A"/>
    <w:rsid w:val="004A1634"/>
    <w:rsid w:val="004A1F18"/>
    <w:rsid w:val="004A3639"/>
    <w:rsid w:val="004A4736"/>
    <w:rsid w:val="004A4E94"/>
    <w:rsid w:val="004A5850"/>
    <w:rsid w:val="004A5909"/>
    <w:rsid w:val="004A66FA"/>
    <w:rsid w:val="004A67E2"/>
    <w:rsid w:val="004A7031"/>
    <w:rsid w:val="004A7458"/>
    <w:rsid w:val="004A77E0"/>
    <w:rsid w:val="004A7CAC"/>
    <w:rsid w:val="004B1262"/>
    <w:rsid w:val="004B1BDF"/>
    <w:rsid w:val="004B233F"/>
    <w:rsid w:val="004B26B1"/>
    <w:rsid w:val="004B276D"/>
    <w:rsid w:val="004B2A45"/>
    <w:rsid w:val="004B2F34"/>
    <w:rsid w:val="004B331C"/>
    <w:rsid w:val="004B3C23"/>
    <w:rsid w:val="004B3FFC"/>
    <w:rsid w:val="004B4399"/>
    <w:rsid w:val="004B5168"/>
    <w:rsid w:val="004B544D"/>
    <w:rsid w:val="004B57DF"/>
    <w:rsid w:val="004B6144"/>
    <w:rsid w:val="004B6B46"/>
    <w:rsid w:val="004B6BE3"/>
    <w:rsid w:val="004B6EB1"/>
    <w:rsid w:val="004B732A"/>
    <w:rsid w:val="004B7487"/>
    <w:rsid w:val="004C01A0"/>
    <w:rsid w:val="004C0533"/>
    <w:rsid w:val="004C126B"/>
    <w:rsid w:val="004C1847"/>
    <w:rsid w:val="004C1D34"/>
    <w:rsid w:val="004C2295"/>
    <w:rsid w:val="004C3620"/>
    <w:rsid w:val="004C3F6A"/>
    <w:rsid w:val="004C4ABA"/>
    <w:rsid w:val="004C4B75"/>
    <w:rsid w:val="004C58CD"/>
    <w:rsid w:val="004C5A56"/>
    <w:rsid w:val="004C5DA3"/>
    <w:rsid w:val="004C697C"/>
    <w:rsid w:val="004C7B87"/>
    <w:rsid w:val="004D2734"/>
    <w:rsid w:val="004D42EB"/>
    <w:rsid w:val="004D430C"/>
    <w:rsid w:val="004D512E"/>
    <w:rsid w:val="004D5B9B"/>
    <w:rsid w:val="004D5D66"/>
    <w:rsid w:val="004D6361"/>
    <w:rsid w:val="004D69A5"/>
    <w:rsid w:val="004D6AC4"/>
    <w:rsid w:val="004D6D9C"/>
    <w:rsid w:val="004D7435"/>
    <w:rsid w:val="004D7EFF"/>
    <w:rsid w:val="004D7F97"/>
    <w:rsid w:val="004E004B"/>
    <w:rsid w:val="004E02D4"/>
    <w:rsid w:val="004E19BC"/>
    <w:rsid w:val="004E1FAC"/>
    <w:rsid w:val="004E40A3"/>
    <w:rsid w:val="004E4721"/>
    <w:rsid w:val="004E4882"/>
    <w:rsid w:val="004E5680"/>
    <w:rsid w:val="004E56B6"/>
    <w:rsid w:val="004E5A4F"/>
    <w:rsid w:val="004E6A5E"/>
    <w:rsid w:val="004E6FCA"/>
    <w:rsid w:val="004E7F96"/>
    <w:rsid w:val="004F0B93"/>
    <w:rsid w:val="004F0CB6"/>
    <w:rsid w:val="004F150C"/>
    <w:rsid w:val="004F1A7B"/>
    <w:rsid w:val="004F1DBA"/>
    <w:rsid w:val="004F205A"/>
    <w:rsid w:val="004F25A1"/>
    <w:rsid w:val="004F2616"/>
    <w:rsid w:val="004F28C2"/>
    <w:rsid w:val="004F37DD"/>
    <w:rsid w:val="004F3967"/>
    <w:rsid w:val="004F3BD8"/>
    <w:rsid w:val="004F3FC3"/>
    <w:rsid w:val="004F3FD3"/>
    <w:rsid w:val="004F3FE4"/>
    <w:rsid w:val="004F4BF9"/>
    <w:rsid w:val="004F4C0C"/>
    <w:rsid w:val="004F4DA9"/>
    <w:rsid w:val="004F4E01"/>
    <w:rsid w:val="004F595D"/>
    <w:rsid w:val="004F6428"/>
    <w:rsid w:val="004F649F"/>
    <w:rsid w:val="004F666C"/>
    <w:rsid w:val="004F7595"/>
    <w:rsid w:val="004F7E41"/>
    <w:rsid w:val="00501BC8"/>
    <w:rsid w:val="005028A8"/>
    <w:rsid w:val="005031D7"/>
    <w:rsid w:val="005032A8"/>
    <w:rsid w:val="005032F1"/>
    <w:rsid w:val="00503643"/>
    <w:rsid w:val="005037CF"/>
    <w:rsid w:val="005038FE"/>
    <w:rsid w:val="00503C17"/>
    <w:rsid w:val="0050470B"/>
    <w:rsid w:val="00505B01"/>
    <w:rsid w:val="00505B7A"/>
    <w:rsid w:val="00506245"/>
    <w:rsid w:val="00506D98"/>
    <w:rsid w:val="00506F9E"/>
    <w:rsid w:val="00507105"/>
    <w:rsid w:val="00507405"/>
    <w:rsid w:val="00507598"/>
    <w:rsid w:val="0050761A"/>
    <w:rsid w:val="005107DB"/>
    <w:rsid w:val="00510BA8"/>
    <w:rsid w:val="00511001"/>
    <w:rsid w:val="0051145F"/>
    <w:rsid w:val="00511EBF"/>
    <w:rsid w:val="00512073"/>
    <w:rsid w:val="005123FB"/>
    <w:rsid w:val="005127C8"/>
    <w:rsid w:val="00512905"/>
    <w:rsid w:val="00512C24"/>
    <w:rsid w:val="00512C36"/>
    <w:rsid w:val="00512F07"/>
    <w:rsid w:val="00513050"/>
    <w:rsid w:val="00513AA3"/>
    <w:rsid w:val="0051492A"/>
    <w:rsid w:val="00514FD5"/>
    <w:rsid w:val="005157E4"/>
    <w:rsid w:val="00515AA9"/>
    <w:rsid w:val="0051627E"/>
    <w:rsid w:val="00516A32"/>
    <w:rsid w:val="00516A8E"/>
    <w:rsid w:val="00516BB4"/>
    <w:rsid w:val="0052093B"/>
    <w:rsid w:val="00520B35"/>
    <w:rsid w:val="00520D53"/>
    <w:rsid w:val="0052170F"/>
    <w:rsid w:val="00521BAF"/>
    <w:rsid w:val="00521F14"/>
    <w:rsid w:val="0052223E"/>
    <w:rsid w:val="0052263F"/>
    <w:rsid w:val="00522BB4"/>
    <w:rsid w:val="00523CFC"/>
    <w:rsid w:val="00524B84"/>
    <w:rsid w:val="005254CD"/>
    <w:rsid w:val="0052609E"/>
    <w:rsid w:val="00526F12"/>
    <w:rsid w:val="005300A2"/>
    <w:rsid w:val="00530528"/>
    <w:rsid w:val="005316B5"/>
    <w:rsid w:val="00532976"/>
    <w:rsid w:val="00532D26"/>
    <w:rsid w:val="005334E3"/>
    <w:rsid w:val="005336BB"/>
    <w:rsid w:val="00533B30"/>
    <w:rsid w:val="00533C5E"/>
    <w:rsid w:val="00533E06"/>
    <w:rsid w:val="00533FD0"/>
    <w:rsid w:val="00534D80"/>
    <w:rsid w:val="0053588A"/>
    <w:rsid w:val="00536C4A"/>
    <w:rsid w:val="0053766E"/>
    <w:rsid w:val="005378F9"/>
    <w:rsid w:val="00537919"/>
    <w:rsid w:val="0054197C"/>
    <w:rsid w:val="00541BEC"/>
    <w:rsid w:val="0054246F"/>
    <w:rsid w:val="00542B71"/>
    <w:rsid w:val="00542B77"/>
    <w:rsid w:val="00542BE3"/>
    <w:rsid w:val="0054329A"/>
    <w:rsid w:val="005443FB"/>
    <w:rsid w:val="00544A5E"/>
    <w:rsid w:val="00544FF4"/>
    <w:rsid w:val="00545634"/>
    <w:rsid w:val="005458F5"/>
    <w:rsid w:val="00546BB2"/>
    <w:rsid w:val="0054775E"/>
    <w:rsid w:val="00547ACE"/>
    <w:rsid w:val="00551437"/>
    <w:rsid w:val="00551667"/>
    <w:rsid w:val="005518C8"/>
    <w:rsid w:val="00552506"/>
    <w:rsid w:val="0055278B"/>
    <w:rsid w:val="00553150"/>
    <w:rsid w:val="0055350C"/>
    <w:rsid w:val="00553558"/>
    <w:rsid w:val="00553607"/>
    <w:rsid w:val="00554181"/>
    <w:rsid w:val="00555124"/>
    <w:rsid w:val="00555206"/>
    <w:rsid w:val="005552EE"/>
    <w:rsid w:val="0055566D"/>
    <w:rsid w:val="005578F5"/>
    <w:rsid w:val="00557F78"/>
    <w:rsid w:val="005609F1"/>
    <w:rsid w:val="00560A2C"/>
    <w:rsid w:val="005610DD"/>
    <w:rsid w:val="005611F0"/>
    <w:rsid w:val="00561E2E"/>
    <w:rsid w:val="00561F38"/>
    <w:rsid w:val="00562E37"/>
    <w:rsid w:val="005632EB"/>
    <w:rsid w:val="005637D4"/>
    <w:rsid w:val="005640CA"/>
    <w:rsid w:val="00564F72"/>
    <w:rsid w:val="00566ACC"/>
    <w:rsid w:val="005679C8"/>
    <w:rsid w:val="00567C63"/>
    <w:rsid w:val="00567D70"/>
    <w:rsid w:val="005702F1"/>
    <w:rsid w:val="00570874"/>
    <w:rsid w:val="00570A77"/>
    <w:rsid w:val="00570DCC"/>
    <w:rsid w:val="005711C6"/>
    <w:rsid w:val="00571914"/>
    <w:rsid w:val="0057242D"/>
    <w:rsid w:val="005726EA"/>
    <w:rsid w:val="00573A5B"/>
    <w:rsid w:val="005743CE"/>
    <w:rsid w:val="00574ADE"/>
    <w:rsid w:val="00575024"/>
    <w:rsid w:val="00575350"/>
    <w:rsid w:val="005754BB"/>
    <w:rsid w:val="005755EF"/>
    <w:rsid w:val="00575DBD"/>
    <w:rsid w:val="00576195"/>
    <w:rsid w:val="00576F8F"/>
    <w:rsid w:val="005774B4"/>
    <w:rsid w:val="0058087C"/>
    <w:rsid w:val="00580DD3"/>
    <w:rsid w:val="0058122D"/>
    <w:rsid w:val="005815C1"/>
    <w:rsid w:val="00581CD7"/>
    <w:rsid w:val="00582E65"/>
    <w:rsid w:val="005832D5"/>
    <w:rsid w:val="005836D0"/>
    <w:rsid w:val="00584BC0"/>
    <w:rsid w:val="00584E90"/>
    <w:rsid w:val="00585C2C"/>
    <w:rsid w:val="00587DA5"/>
    <w:rsid w:val="00590022"/>
    <w:rsid w:val="00590CE6"/>
    <w:rsid w:val="00590F42"/>
    <w:rsid w:val="005917F3"/>
    <w:rsid w:val="00592A6B"/>
    <w:rsid w:val="00592AA3"/>
    <w:rsid w:val="00593CBE"/>
    <w:rsid w:val="00594254"/>
    <w:rsid w:val="005943BE"/>
    <w:rsid w:val="00594CE7"/>
    <w:rsid w:val="00595A2F"/>
    <w:rsid w:val="00595C65"/>
    <w:rsid w:val="00596D7D"/>
    <w:rsid w:val="00597132"/>
    <w:rsid w:val="005975D0"/>
    <w:rsid w:val="00597BD9"/>
    <w:rsid w:val="005A06B8"/>
    <w:rsid w:val="005A13F6"/>
    <w:rsid w:val="005A14F5"/>
    <w:rsid w:val="005A266C"/>
    <w:rsid w:val="005A27E8"/>
    <w:rsid w:val="005A2EA6"/>
    <w:rsid w:val="005A39A1"/>
    <w:rsid w:val="005A3C77"/>
    <w:rsid w:val="005A3EC5"/>
    <w:rsid w:val="005A57A3"/>
    <w:rsid w:val="005A5996"/>
    <w:rsid w:val="005A6C1C"/>
    <w:rsid w:val="005A6D04"/>
    <w:rsid w:val="005A707A"/>
    <w:rsid w:val="005A7332"/>
    <w:rsid w:val="005A7411"/>
    <w:rsid w:val="005A7689"/>
    <w:rsid w:val="005A7C14"/>
    <w:rsid w:val="005B0E80"/>
    <w:rsid w:val="005B10D2"/>
    <w:rsid w:val="005B1EA5"/>
    <w:rsid w:val="005B2199"/>
    <w:rsid w:val="005B265C"/>
    <w:rsid w:val="005B276A"/>
    <w:rsid w:val="005B28FD"/>
    <w:rsid w:val="005B3B02"/>
    <w:rsid w:val="005B3E16"/>
    <w:rsid w:val="005B44D6"/>
    <w:rsid w:val="005B4E8C"/>
    <w:rsid w:val="005B4EA1"/>
    <w:rsid w:val="005B5470"/>
    <w:rsid w:val="005B549E"/>
    <w:rsid w:val="005B5F18"/>
    <w:rsid w:val="005B6388"/>
    <w:rsid w:val="005B6B66"/>
    <w:rsid w:val="005B7649"/>
    <w:rsid w:val="005B7CC3"/>
    <w:rsid w:val="005C15EB"/>
    <w:rsid w:val="005C1670"/>
    <w:rsid w:val="005C1773"/>
    <w:rsid w:val="005C20AF"/>
    <w:rsid w:val="005C2879"/>
    <w:rsid w:val="005C2FFD"/>
    <w:rsid w:val="005C3518"/>
    <w:rsid w:val="005C3AAC"/>
    <w:rsid w:val="005C3EF6"/>
    <w:rsid w:val="005C3FF6"/>
    <w:rsid w:val="005C5923"/>
    <w:rsid w:val="005C5F3E"/>
    <w:rsid w:val="005C5FA1"/>
    <w:rsid w:val="005C715E"/>
    <w:rsid w:val="005C7FA3"/>
    <w:rsid w:val="005D16F7"/>
    <w:rsid w:val="005D1985"/>
    <w:rsid w:val="005D1EF9"/>
    <w:rsid w:val="005D2D03"/>
    <w:rsid w:val="005D3857"/>
    <w:rsid w:val="005D40BF"/>
    <w:rsid w:val="005D4EF7"/>
    <w:rsid w:val="005D5ADF"/>
    <w:rsid w:val="005D5B85"/>
    <w:rsid w:val="005D62D5"/>
    <w:rsid w:val="005D637F"/>
    <w:rsid w:val="005D7CD0"/>
    <w:rsid w:val="005D7D3A"/>
    <w:rsid w:val="005E0945"/>
    <w:rsid w:val="005E0B3E"/>
    <w:rsid w:val="005E122B"/>
    <w:rsid w:val="005E123B"/>
    <w:rsid w:val="005E1D2F"/>
    <w:rsid w:val="005E235A"/>
    <w:rsid w:val="005E240F"/>
    <w:rsid w:val="005E2442"/>
    <w:rsid w:val="005E2D2B"/>
    <w:rsid w:val="005E330D"/>
    <w:rsid w:val="005E35B0"/>
    <w:rsid w:val="005E4011"/>
    <w:rsid w:val="005E5287"/>
    <w:rsid w:val="005E5AFA"/>
    <w:rsid w:val="005E69BC"/>
    <w:rsid w:val="005F0396"/>
    <w:rsid w:val="005F07A5"/>
    <w:rsid w:val="005F0E0A"/>
    <w:rsid w:val="005F101F"/>
    <w:rsid w:val="005F12E8"/>
    <w:rsid w:val="005F16CC"/>
    <w:rsid w:val="005F29A9"/>
    <w:rsid w:val="005F2D74"/>
    <w:rsid w:val="005F3065"/>
    <w:rsid w:val="005F42B5"/>
    <w:rsid w:val="005F4879"/>
    <w:rsid w:val="005F5987"/>
    <w:rsid w:val="005F5E90"/>
    <w:rsid w:val="005F6541"/>
    <w:rsid w:val="0060018E"/>
    <w:rsid w:val="006012B5"/>
    <w:rsid w:val="00601EB5"/>
    <w:rsid w:val="00602B76"/>
    <w:rsid w:val="00603B10"/>
    <w:rsid w:val="00603E49"/>
    <w:rsid w:val="00603FA9"/>
    <w:rsid w:val="00605BB2"/>
    <w:rsid w:val="00606502"/>
    <w:rsid w:val="0060700E"/>
    <w:rsid w:val="0060711B"/>
    <w:rsid w:val="006073AC"/>
    <w:rsid w:val="00607BFE"/>
    <w:rsid w:val="00607DFC"/>
    <w:rsid w:val="00610E0A"/>
    <w:rsid w:val="0061147C"/>
    <w:rsid w:val="006125AE"/>
    <w:rsid w:val="00613CE1"/>
    <w:rsid w:val="00614492"/>
    <w:rsid w:val="00614684"/>
    <w:rsid w:val="006163B1"/>
    <w:rsid w:val="00616B1A"/>
    <w:rsid w:val="006203D7"/>
    <w:rsid w:val="00621195"/>
    <w:rsid w:val="006229EE"/>
    <w:rsid w:val="00623003"/>
    <w:rsid w:val="00623AC3"/>
    <w:rsid w:val="00623F38"/>
    <w:rsid w:val="00624573"/>
    <w:rsid w:val="00624B3E"/>
    <w:rsid w:val="006254E6"/>
    <w:rsid w:val="00625C8F"/>
    <w:rsid w:val="00625FB6"/>
    <w:rsid w:val="00626293"/>
    <w:rsid w:val="00626791"/>
    <w:rsid w:val="00626DA2"/>
    <w:rsid w:val="006273DD"/>
    <w:rsid w:val="006301E7"/>
    <w:rsid w:val="00630257"/>
    <w:rsid w:val="006305B1"/>
    <w:rsid w:val="00630A06"/>
    <w:rsid w:val="00630CD1"/>
    <w:rsid w:val="006314DA"/>
    <w:rsid w:val="006314F8"/>
    <w:rsid w:val="00632587"/>
    <w:rsid w:val="00632C2E"/>
    <w:rsid w:val="00633C83"/>
    <w:rsid w:val="00636C08"/>
    <w:rsid w:val="006371AC"/>
    <w:rsid w:val="0063742F"/>
    <w:rsid w:val="0063748F"/>
    <w:rsid w:val="0063794A"/>
    <w:rsid w:val="00637E6E"/>
    <w:rsid w:val="00637F54"/>
    <w:rsid w:val="00640002"/>
    <w:rsid w:val="00640577"/>
    <w:rsid w:val="006411DB"/>
    <w:rsid w:val="00641637"/>
    <w:rsid w:val="0064168A"/>
    <w:rsid w:val="00641E5B"/>
    <w:rsid w:val="006427AF"/>
    <w:rsid w:val="00642DCA"/>
    <w:rsid w:val="00642DFC"/>
    <w:rsid w:val="00642E34"/>
    <w:rsid w:val="00644B01"/>
    <w:rsid w:val="00644D08"/>
    <w:rsid w:val="00645ED3"/>
    <w:rsid w:val="006465F6"/>
    <w:rsid w:val="00646F3F"/>
    <w:rsid w:val="00647F1F"/>
    <w:rsid w:val="00650CB6"/>
    <w:rsid w:val="00650CD5"/>
    <w:rsid w:val="00650D50"/>
    <w:rsid w:val="00650FC7"/>
    <w:rsid w:val="0065104E"/>
    <w:rsid w:val="00651917"/>
    <w:rsid w:val="00651AD2"/>
    <w:rsid w:val="00652E03"/>
    <w:rsid w:val="00653710"/>
    <w:rsid w:val="00653FE5"/>
    <w:rsid w:val="00654F4A"/>
    <w:rsid w:val="00655D6C"/>
    <w:rsid w:val="00655E76"/>
    <w:rsid w:val="00656E7B"/>
    <w:rsid w:val="00656F89"/>
    <w:rsid w:val="00657698"/>
    <w:rsid w:val="00660140"/>
    <w:rsid w:val="006608C1"/>
    <w:rsid w:val="00661486"/>
    <w:rsid w:val="00661630"/>
    <w:rsid w:val="00661C97"/>
    <w:rsid w:val="0066214A"/>
    <w:rsid w:val="006622CB"/>
    <w:rsid w:val="00663772"/>
    <w:rsid w:val="0066395A"/>
    <w:rsid w:val="0066395C"/>
    <w:rsid w:val="00664126"/>
    <w:rsid w:val="0066484F"/>
    <w:rsid w:val="00664F44"/>
    <w:rsid w:val="0066519B"/>
    <w:rsid w:val="0066666B"/>
    <w:rsid w:val="00666AA6"/>
    <w:rsid w:val="0066754E"/>
    <w:rsid w:val="00667B88"/>
    <w:rsid w:val="00670527"/>
    <w:rsid w:val="00670897"/>
    <w:rsid w:val="00670B10"/>
    <w:rsid w:val="00671CA4"/>
    <w:rsid w:val="00672480"/>
    <w:rsid w:val="00672A0D"/>
    <w:rsid w:val="00672B31"/>
    <w:rsid w:val="00673747"/>
    <w:rsid w:val="00674390"/>
    <w:rsid w:val="00674C7D"/>
    <w:rsid w:val="0067560C"/>
    <w:rsid w:val="00675E5C"/>
    <w:rsid w:val="006779D1"/>
    <w:rsid w:val="00677C46"/>
    <w:rsid w:val="00680310"/>
    <w:rsid w:val="0068062D"/>
    <w:rsid w:val="006814F0"/>
    <w:rsid w:val="00681F43"/>
    <w:rsid w:val="0068210D"/>
    <w:rsid w:val="00682440"/>
    <w:rsid w:val="00683ECA"/>
    <w:rsid w:val="0068439F"/>
    <w:rsid w:val="0068493A"/>
    <w:rsid w:val="00684D13"/>
    <w:rsid w:val="00685C4E"/>
    <w:rsid w:val="00685D6B"/>
    <w:rsid w:val="0068662F"/>
    <w:rsid w:val="00686745"/>
    <w:rsid w:val="00687FC9"/>
    <w:rsid w:val="0069019B"/>
    <w:rsid w:val="006909DD"/>
    <w:rsid w:val="006927AE"/>
    <w:rsid w:val="006929F0"/>
    <w:rsid w:val="006939C4"/>
    <w:rsid w:val="00693A04"/>
    <w:rsid w:val="00694CD5"/>
    <w:rsid w:val="00694F31"/>
    <w:rsid w:val="0069559A"/>
    <w:rsid w:val="00695F85"/>
    <w:rsid w:val="0069692C"/>
    <w:rsid w:val="0069717F"/>
    <w:rsid w:val="006979F0"/>
    <w:rsid w:val="00697CC8"/>
    <w:rsid w:val="006A03BF"/>
    <w:rsid w:val="006A04CC"/>
    <w:rsid w:val="006A0EA3"/>
    <w:rsid w:val="006A1244"/>
    <w:rsid w:val="006A203F"/>
    <w:rsid w:val="006A2168"/>
    <w:rsid w:val="006A2CF5"/>
    <w:rsid w:val="006A336B"/>
    <w:rsid w:val="006A34B2"/>
    <w:rsid w:val="006A354F"/>
    <w:rsid w:val="006A39BA"/>
    <w:rsid w:val="006A402A"/>
    <w:rsid w:val="006A40B5"/>
    <w:rsid w:val="006A4C4A"/>
    <w:rsid w:val="006A510F"/>
    <w:rsid w:val="006A59F6"/>
    <w:rsid w:val="006A6801"/>
    <w:rsid w:val="006B1899"/>
    <w:rsid w:val="006B1AA4"/>
    <w:rsid w:val="006B1B1B"/>
    <w:rsid w:val="006B1CA5"/>
    <w:rsid w:val="006B221C"/>
    <w:rsid w:val="006B2C40"/>
    <w:rsid w:val="006B3253"/>
    <w:rsid w:val="006B3F40"/>
    <w:rsid w:val="006B413C"/>
    <w:rsid w:val="006B4BDE"/>
    <w:rsid w:val="006B522B"/>
    <w:rsid w:val="006B542C"/>
    <w:rsid w:val="006B5A26"/>
    <w:rsid w:val="006B6AEA"/>
    <w:rsid w:val="006B7DFC"/>
    <w:rsid w:val="006C0B09"/>
    <w:rsid w:val="006C188A"/>
    <w:rsid w:val="006C1CD9"/>
    <w:rsid w:val="006C215B"/>
    <w:rsid w:val="006C2952"/>
    <w:rsid w:val="006C2B13"/>
    <w:rsid w:val="006C2F60"/>
    <w:rsid w:val="006C3CFF"/>
    <w:rsid w:val="006C3E3A"/>
    <w:rsid w:val="006C4416"/>
    <w:rsid w:val="006C4EF4"/>
    <w:rsid w:val="006C5712"/>
    <w:rsid w:val="006C63F4"/>
    <w:rsid w:val="006C677F"/>
    <w:rsid w:val="006C73D9"/>
    <w:rsid w:val="006D181F"/>
    <w:rsid w:val="006D1C30"/>
    <w:rsid w:val="006D20EE"/>
    <w:rsid w:val="006D2456"/>
    <w:rsid w:val="006D2564"/>
    <w:rsid w:val="006D32C3"/>
    <w:rsid w:val="006D3F6F"/>
    <w:rsid w:val="006D480D"/>
    <w:rsid w:val="006D4CCD"/>
    <w:rsid w:val="006D4F5E"/>
    <w:rsid w:val="006D61E5"/>
    <w:rsid w:val="006D6BA1"/>
    <w:rsid w:val="006D6D51"/>
    <w:rsid w:val="006D6E56"/>
    <w:rsid w:val="006D76A6"/>
    <w:rsid w:val="006D78E8"/>
    <w:rsid w:val="006E036B"/>
    <w:rsid w:val="006E055B"/>
    <w:rsid w:val="006E09A2"/>
    <w:rsid w:val="006E09F8"/>
    <w:rsid w:val="006E1B98"/>
    <w:rsid w:val="006E1BCD"/>
    <w:rsid w:val="006E2452"/>
    <w:rsid w:val="006E259A"/>
    <w:rsid w:val="006E2F81"/>
    <w:rsid w:val="006E33C1"/>
    <w:rsid w:val="006E4A8F"/>
    <w:rsid w:val="006E4F5B"/>
    <w:rsid w:val="006E507D"/>
    <w:rsid w:val="006E5733"/>
    <w:rsid w:val="006E636B"/>
    <w:rsid w:val="006E63AF"/>
    <w:rsid w:val="006E72E6"/>
    <w:rsid w:val="006E7D64"/>
    <w:rsid w:val="006F0473"/>
    <w:rsid w:val="006F0816"/>
    <w:rsid w:val="006F0852"/>
    <w:rsid w:val="006F1318"/>
    <w:rsid w:val="006F1BB2"/>
    <w:rsid w:val="006F1BC7"/>
    <w:rsid w:val="006F1D2E"/>
    <w:rsid w:val="006F28EE"/>
    <w:rsid w:val="006F2F27"/>
    <w:rsid w:val="006F3699"/>
    <w:rsid w:val="006F3C9D"/>
    <w:rsid w:val="006F5D4C"/>
    <w:rsid w:val="006F64E3"/>
    <w:rsid w:val="006F64F5"/>
    <w:rsid w:val="006F75DB"/>
    <w:rsid w:val="006F7D33"/>
    <w:rsid w:val="007004F3"/>
    <w:rsid w:val="007008FD"/>
    <w:rsid w:val="00700D6C"/>
    <w:rsid w:val="00701306"/>
    <w:rsid w:val="00702209"/>
    <w:rsid w:val="00702AA3"/>
    <w:rsid w:val="00702D28"/>
    <w:rsid w:val="00703EAE"/>
    <w:rsid w:val="00704923"/>
    <w:rsid w:val="00705323"/>
    <w:rsid w:val="0070534F"/>
    <w:rsid w:val="0070550F"/>
    <w:rsid w:val="007055A0"/>
    <w:rsid w:val="00705923"/>
    <w:rsid w:val="00705D75"/>
    <w:rsid w:val="00705EB1"/>
    <w:rsid w:val="00707302"/>
    <w:rsid w:val="00707438"/>
    <w:rsid w:val="00707519"/>
    <w:rsid w:val="00707715"/>
    <w:rsid w:val="00707B7D"/>
    <w:rsid w:val="00710980"/>
    <w:rsid w:val="00710AC5"/>
    <w:rsid w:val="00710CED"/>
    <w:rsid w:val="00711424"/>
    <w:rsid w:val="00711AA8"/>
    <w:rsid w:val="00712857"/>
    <w:rsid w:val="00712A93"/>
    <w:rsid w:val="0071305C"/>
    <w:rsid w:val="007136F1"/>
    <w:rsid w:val="00715201"/>
    <w:rsid w:val="00715502"/>
    <w:rsid w:val="007155FA"/>
    <w:rsid w:val="00715AA4"/>
    <w:rsid w:val="00717428"/>
    <w:rsid w:val="007177A3"/>
    <w:rsid w:val="007178D3"/>
    <w:rsid w:val="00720AD0"/>
    <w:rsid w:val="0072115C"/>
    <w:rsid w:val="0072135B"/>
    <w:rsid w:val="00722519"/>
    <w:rsid w:val="00722632"/>
    <w:rsid w:val="007226B3"/>
    <w:rsid w:val="00722F44"/>
    <w:rsid w:val="00722FB4"/>
    <w:rsid w:val="00723D53"/>
    <w:rsid w:val="00724E90"/>
    <w:rsid w:val="007250AC"/>
    <w:rsid w:val="007252D5"/>
    <w:rsid w:val="00725458"/>
    <w:rsid w:val="00725AEB"/>
    <w:rsid w:val="00726C74"/>
    <w:rsid w:val="00726C93"/>
    <w:rsid w:val="00727398"/>
    <w:rsid w:val="0072780B"/>
    <w:rsid w:val="0073020E"/>
    <w:rsid w:val="007307A3"/>
    <w:rsid w:val="00731837"/>
    <w:rsid w:val="00731EDC"/>
    <w:rsid w:val="0073240C"/>
    <w:rsid w:val="00732508"/>
    <w:rsid w:val="007343E3"/>
    <w:rsid w:val="00734A54"/>
    <w:rsid w:val="00735A19"/>
    <w:rsid w:val="007374B8"/>
    <w:rsid w:val="007374C4"/>
    <w:rsid w:val="0073772C"/>
    <w:rsid w:val="00737C4E"/>
    <w:rsid w:val="007413CB"/>
    <w:rsid w:val="007417FB"/>
    <w:rsid w:val="00741CEA"/>
    <w:rsid w:val="007427CD"/>
    <w:rsid w:val="00743589"/>
    <w:rsid w:val="00743C13"/>
    <w:rsid w:val="00744338"/>
    <w:rsid w:val="0074453C"/>
    <w:rsid w:val="0074542E"/>
    <w:rsid w:val="007463A2"/>
    <w:rsid w:val="00746765"/>
    <w:rsid w:val="00746E5B"/>
    <w:rsid w:val="00747652"/>
    <w:rsid w:val="00747BCD"/>
    <w:rsid w:val="00750265"/>
    <w:rsid w:val="00750433"/>
    <w:rsid w:val="00750AB3"/>
    <w:rsid w:val="00751ABE"/>
    <w:rsid w:val="00751FFA"/>
    <w:rsid w:val="007529FA"/>
    <w:rsid w:val="00752E76"/>
    <w:rsid w:val="00753850"/>
    <w:rsid w:val="007548CA"/>
    <w:rsid w:val="0075522C"/>
    <w:rsid w:val="00756079"/>
    <w:rsid w:val="0075618B"/>
    <w:rsid w:val="0075660E"/>
    <w:rsid w:val="007569E1"/>
    <w:rsid w:val="0075796A"/>
    <w:rsid w:val="00760F73"/>
    <w:rsid w:val="00761C5E"/>
    <w:rsid w:val="00762A4B"/>
    <w:rsid w:val="007634D9"/>
    <w:rsid w:val="007635A9"/>
    <w:rsid w:val="0076474D"/>
    <w:rsid w:val="00765370"/>
    <w:rsid w:val="007654B6"/>
    <w:rsid w:val="00765A99"/>
    <w:rsid w:val="00765AE7"/>
    <w:rsid w:val="00765DEF"/>
    <w:rsid w:val="0076626A"/>
    <w:rsid w:val="00766402"/>
    <w:rsid w:val="00766A4C"/>
    <w:rsid w:val="0076776A"/>
    <w:rsid w:val="00767DB5"/>
    <w:rsid w:val="00771B82"/>
    <w:rsid w:val="00771C0D"/>
    <w:rsid w:val="007722A5"/>
    <w:rsid w:val="00772DAE"/>
    <w:rsid w:val="007731F2"/>
    <w:rsid w:val="0077348C"/>
    <w:rsid w:val="0077365E"/>
    <w:rsid w:val="00773674"/>
    <w:rsid w:val="007749FB"/>
    <w:rsid w:val="007755F7"/>
    <w:rsid w:val="0077565B"/>
    <w:rsid w:val="00775E62"/>
    <w:rsid w:val="007770A8"/>
    <w:rsid w:val="00777C10"/>
    <w:rsid w:val="00780406"/>
    <w:rsid w:val="00780C45"/>
    <w:rsid w:val="007813DF"/>
    <w:rsid w:val="00781A71"/>
    <w:rsid w:val="00782E66"/>
    <w:rsid w:val="00783377"/>
    <w:rsid w:val="00784F91"/>
    <w:rsid w:val="007859B8"/>
    <w:rsid w:val="0078610F"/>
    <w:rsid w:val="00786A2B"/>
    <w:rsid w:val="00786CB5"/>
    <w:rsid w:val="007870A9"/>
    <w:rsid w:val="007875C9"/>
    <w:rsid w:val="00787EE0"/>
    <w:rsid w:val="007902F4"/>
    <w:rsid w:val="007919C7"/>
    <w:rsid w:val="00791A70"/>
    <w:rsid w:val="00792AE8"/>
    <w:rsid w:val="00792ED3"/>
    <w:rsid w:val="0079379B"/>
    <w:rsid w:val="00793CEA"/>
    <w:rsid w:val="00793DC7"/>
    <w:rsid w:val="00793E01"/>
    <w:rsid w:val="00794126"/>
    <w:rsid w:val="0079449B"/>
    <w:rsid w:val="00794B7A"/>
    <w:rsid w:val="00795A12"/>
    <w:rsid w:val="00795F10"/>
    <w:rsid w:val="00795F30"/>
    <w:rsid w:val="00796113"/>
    <w:rsid w:val="00796B05"/>
    <w:rsid w:val="00797112"/>
    <w:rsid w:val="007975EF"/>
    <w:rsid w:val="007977C4"/>
    <w:rsid w:val="00797DB7"/>
    <w:rsid w:val="007A0353"/>
    <w:rsid w:val="007A03DA"/>
    <w:rsid w:val="007A063C"/>
    <w:rsid w:val="007A0789"/>
    <w:rsid w:val="007A0AF5"/>
    <w:rsid w:val="007A1807"/>
    <w:rsid w:val="007A19A6"/>
    <w:rsid w:val="007A2137"/>
    <w:rsid w:val="007A2F46"/>
    <w:rsid w:val="007A316E"/>
    <w:rsid w:val="007A3341"/>
    <w:rsid w:val="007A34E2"/>
    <w:rsid w:val="007A4429"/>
    <w:rsid w:val="007A4DC2"/>
    <w:rsid w:val="007A69A5"/>
    <w:rsid w:val="007B27B4"/>
    <w:rsid w:val="007B2A32"/>
    <w:rsid w:val="007B44D5"/>
    <w:rsid w:val="007B4C0B"/>
    <w:rsid w:val="007B4F6E"/>
    <w:rsid w:val="007B5512"/>
    <w:rsid w:val="007B556F"/>
    <w:rsid w:val="007B55AB"/>
    <w:rsid w:val="007B5E1B"/>
    <w:rsid w:val="007B6B1D"/>
    <w:rsid w:val="007B7345"/>
    <w:rsid w:val="007C0046"/>
    <w:rsid w:val="007C0583"/>
    <w:rsid w:val="007C06B7"/>
    <w:rsid w:val="007C07D4"/>
    <w:rsid w:val="007C0920"/>
    <w:rsid w:val="007C107B"/>
    <w:rsid w:val="007C2947"/>
    <w:rsid w:val="007C2A05"/>
    <w:rsid w:val="007C2B8E"/>
    <w:rsid w:val="007C2CA4"/>
    <w:rsid w:val="007C30B5"/>
    <w:rsid w:val="007C3531"/>
    <w:rsid w:val="007C4903"/>
    <w:rsid w:val="007C4F6D"/>
    <w:rsid w:val="007C5E28"/>
    <w:rsid w:val="007C60F3"/>
    <w:rsid w:val="007C6494"/>
    <w:rsid w:val="007C7491"/>
    <w:rsid w:val="007C74C6"/>
    <w:rsid w:val="007C7829"/>
    <w:rsid w:val="007D003D"/>
    <w:rsid w:val="007D0100"/>
    <w:rsid w:val="007D04A8"/>
    <w:rsid w:val="007D0D5C"/>
    <w:rsid w:val="007D0F0E"/>
    <w:rsid w:val="007D11FB"/>
    <w:rsid w:val="007D19CF"/>
    <w:rsid w:val="007D2967"/>
    <w:rsid w:val="007D3DE4"/>
    <w:rsid w:val="007D3FE9"/>
    <w:rsid w:val="007D43ED"/>
    <w:rsid w:val="007D4988"/>
    <w:rsid w:val="007D4B7C"/>
    <w:rsid w:val="007D4E20"/>
    <w:rsid w:val="007D5DDA"/>
    <w:rsid w:val="007D6342"/>
    <w:rsid w:val="007D65B9"/>
    <w:rsid w:val="007D736E"/>
    <w:rsid w:val="007D7596"/>
    <w:rsid w:val="007D7AAD"/>
    <w:rsid w:val="007E00F0"/>
    <w:rsid w:val="007E028E"/>
    <w:rsid w:val="007E0B64"/>
    <w:rsid w:val="007E0C45"/>
    <w:rsid w:val="007E0F73"/>
    <w:rsid w:val="007E1790"/>
    <w:rsid w:val="007E2407"/>
    <w:rsid w:val="007E2639"/>
    <w:rsid w:val="007E2BF3"/>
    <w:rsid w:val="007E5187"/>
    <w:rsid w:val="007E5B77"/>
    <w:rsid w:val="007E7128"/>
    <w:rsid w:val="007E7279"/>
    <w:rsid w:val="007F00DC"/>
    <w:rsid w:val="007F03B7"/>
    <w:rsid w:val="007F12DE"/>
    <w:rsid w:val="007F138A"/>
    <w:rsid w:val="007F16A8"/>
    <w:rsid w:val="007F386E"/>
    <w:rsid w:val="007F418E"/>
    <w:rsid w:val="007F4BE8"/>
    <w:rsid w:val="007F52C3"/>
    <w:rsid w:val="007F55EA"/>
    <w:rsid w:val="007F69F5"/>
    <w:rsid w:val="007F76D7"/>
    <w:rsid w:val="007F779E"/>
    <w:rsid w:val="008014EE"/>
    <w:rsid w:val="00802A39"/>
    <w:rsid w:val="00802C05"/>
    <w:rsid w:val="008033E1"/>
    <w:rsid w:val="00803F83"/>
    <w:rsid w:val="00804BA9"/>
    <w:rsid w:val="00804D01"/>
    <w:rsid w:val="00805CF5"/>
    <w:rsid w:val="008063BD"/>
    <w:rsid w:val="0081093C"/>
    <w:rsid w:val="00810BA4"/>
    <w:rsid w:val="00811638"/>
    <w:rsid w:val="00811C39"/>
    <w:rsid w:val="00811ECC"/>
    <w:rsid w:val="00812AA6"/>
    <w:rsid w:val="0081402C"/>
    <w:rsid w:val="008152BA"/>
    <w:rsid w:val="0081566B"/>
    <w:rsid w:val="00815C6D"/>
    <w:rsid w:val="00815E22"/>
    <w:rsid w:val="00815E85"/>
    <w:rsid w:val="0081674F"/>
    <w:rsid w:val="00816DE2"/>
    <w:rsid w:val="00817DD3"/>
    <w:rsid w:val="00817DDB"/>
    <w:rsid w:val="008204DA"/>
    <w:rsid w:val="008207EE"/>
    <w:rsid w:val="00821226"/>
    <w:rsid w:val="00821A30"/>
    <w:rsid w:val="00821BF5"/>
    <w:rsid w:val="00822111"/>
    <w:rsid w:val="008235EE"/>
    <w:rsid w:val="008238CC"/>
    <w:rsid w:val="00823C5B"/>
    <w:rsid w:val="00823C81"/>
    <w:rsid w:val="0082412E"/>
    <w:rsid w:val="0082471F"/>
    <w:rsid w:val="008255C8"/>
    <w:rsid w:val="00825B1D"/>
    <w:rsid w:val="0082613D"/>
    <w:rsid w:val="008269EF"/>
    <w:rsid w:val="008271B5"/>
    <w:rsid w:val="00830439"/>
    <w:rsid w:val="00830968"/>
    <w:rsid w:val="00830A6D"/>
    <w:rsid w:val="00831A28"/>
    <w:rsid w:val="00831D38"/>
    <w:rsid w:val="00832F34"/>
    <w:rsid w:val="00833129"/>
    <w:rsid w:val="0083347A"/>
    <w:rsid w:val="008338C2"/>
    <w:rsid w:val="008343D4"/>
    <w:rsid w:val="008347D2"/>
    <w:rsid w:val="00834AF4"/>
    <w:rsid w:val="008357D4"/>
    <w:rsid w:val="0083582E"/>
    <w:rsid w:val="00836003"/>
    <w:rsid w:val="00836E04"/>
    <w:rsid w:val="00837D06"/>
    <w:rsid w:val="008401D7"/>
    <w:rsid w:val="008401E3"/>
    <w:rsid w:val="00840C23"/>
    <w:rsid w:val="00841111"/>
    <w:rsid w:val="0084118E"/>
    <w:rsid w:val="00841223"/>
    <w:rsid w:val="00841455"/>
    <w:rsid w:val="00841871"/>
    <w:rsid w:val="008432FD"/>
    <w:rsid w:val="00844D38"/>
    <w:rsid w:val="0084568F"/>
    <w:rsid w:val="00845C26"/>
    <w:rsid w:val="00846161"/>
    <w:rsid w:val="00846ECC"/>
    <w:rsid w:val="00847315"/>
    <w:rsid w:val="00847678"/>
    <w:rsid w:val="00847767"/>
    <w:rsid w:val="00850C0B"/>
    <w:rsid w:val="0085127C"/>
    <w:rsid w:val="008513CB"/>
    <w:rsid w:val="00851B9A"/>
    <w:rsid w:val="00852478"/>
    <w:rsid w:val="008528BA"/>
    <w:rsid w:val="00855072"/>
    <w:rsid w:val="008553D2"/>
    <w:rsid w:val="00856760"/>
    <w:rsid w:val="0085682A"/>
    <w:rsid w:val="008568F7"/>
    <w:rsid w:val="00860275"/>
    <w:rsid w:val="0086028E"/>
    <w:rsid w:val="00860CC5"/>
    <w:rsid w:val="008619DB"/>
    <w:rsid w:val="0086293D"/>
    <w:rsid w:val="00863250"/>
    <w:rsid w:val="00863307"/>
    <w:rsid w:val="00863D3B"/>
    <w:rsid w:val="00863F0F"/>
    <w:rsid w:val="00864B73"/>
    <w:rsid w:val="00865285"/>
    <w:rsid w:val="008652C6"/>
    <w:rsid w:val="0086594D"/>
    <w:rsid w:val="00865ADB"/>
    <w:rsid w:val="00867315"/>
    <w:rsid w:val="0086750E"/>
    <w:rsid w:val="00870CE4"/>
    <w:rsid w:val="008710BE"/>
    <w:rsid w:val="008715FB"/>
    <w:rsid w:val="008726D4"/>
    <w:rsid w:val="00872EC9"/>
    <w:rsid w:val="00873362"/>
    <w:rsid w:val="0087390B"/>
    <w:rsid w:val="0087481E"/>
    <w:rsid w:val="00874854"/>
    <w:rsid w:val="008749C6"/>
    <w:rsid w:val="00874B20"/>
    <w:rsid w:val="00875004"/>
    <w:rsid w:val="008752BA"/>
    <w:rsid w:val="00875C45"/>
    <w:rsid w:val="00876910"/>
    <w:rsid w:val="0087738C"/>
    <w:rsid w:val="008776C6"/>
    <w:rsid w:val="0088009C"/>
    <w:rsid w:val="00880893"/>
    <w:rsid w:val="00880D1C"/>
    <w:rsid w:val="00881132"/>
    <w:rsid w:val="008818AB"/>
    <w:rsid w:val="008820D2"/>
    <w:rsid w:val="008836FD"/>
    <w:rsid w:val="008837E0"/>
    <w:rsid w:val="00884352"/>
    <w:rsid w:val="0088458B"/>
    <w:rsid w:val="00884C3B"/>
    <w:rsid w:val="008865BD"/>
    <w:rsid w:val="00886616"/>
    <w:rsid w:val="00886639"/>
    <w:rsid w:val="00887235"/>
    <w:rsid w:val="00887554"/>
    <w:rsid w:val="008876F6"/>
    <w:rsid w:val="00890726"/>
    <w:rsid w:val="008908EB"/>
    <w:rsid w:val="00890C68"/>
    <w:rsid w:val="00891A89"/>
    <w:rsid w:val="0089210A"/>
    <w:rsid w:val="0089319A"/>
    <w:rsid w:val="0089326E"/>
    <w:rsid w:val="00893384"/>
    <w:rsid w:val="00893417"/>
    <w:rsid w:val="00894A05"/>
    <w:rsid w:val="00894EA3"/>
    <w:rsid w:val="00895049"/>
    <w:rsid w:val="008950E5"/>
    <w:rsid w:val="008954BD"/>
    <w:rsid w:val="00895BEE"/>
    <w:rsid w:val="00895CE8"/>
    <w:rsid w:val="00895F16"/>
    <w:rsid w:val="00896D8D"/>
    <w:rsid w:val="00897F13"/>
    <w:rsid w:val="008A0A2C"/>
    <w:rsid w:val="008A166B"/>
    <w:rsid w:val="008A353E"/>
    <w:rsid w:val="008A3AEC"/>
    <w:rsid w:val="008A4014"/>
    <w:rsid w:val="008A4345"/>
    <w:rsid w:val="008A472A"/>
    <w:rsid w:val="008A4C26"/>
    <w:rsid w:val="008A54DA"/>
    <w:rsid w:val="008A5915"/>
    <w:rsid w:val="008A64A7"/>
    <w:rsid w:val="008A6638"/>
    <w:rsid w:val="008A6673"/>
    <w:rsid w:val="008A669A"/>
    <w:rsid w:val="008A7407"/>
    <w:rsid w:val="008B0029"/>
    <w:rsid w:val="008B0403"/>
    <w:rsid w:val="008B059B"/>
    <w:rsid w:val="008B223F"/>
    <w:rsid w:val="008B36FC"/>
    <w:rsid w:val="008B3AC2"/>
    <w:rsid w:val="008B5A94"/>
    <w:rsid w:val="008B5FFF"/>
    <w:rsid w:val="008B65C2"/>
    <w:rsid w:val="008B68EC"/>
    <w:rsid w:val="008B6C92"/>
    <w:rsid w:val="008B6EBA"/>
    <w:rsid w:val="008B6EDF"/>
    <w:rsid w:val="008B773F"/>
    <w:rsid w:val="008C0268"/>
    <w:rsid w:val="008C0ADA"/>
    <w:rsid w:val="008C0CC4"/>
    <w:rsid w:val="008C14BF"/>
    <w:rsid w:val="008C1E26"/>
    <w:rsid w:val="008C3438"/>
    <w:rsid w:val="008C41F7"/>
    <w:rsid w:val="008C55AB"/>
    <w:rsid w:val="008C5995"/>
    <w:rsid w:val="008C66E6"/>
    <w:rsid w:val="008C6B44"/>
    <w:rsid w:val="008C6F70"/>
    <w:rsid w:val="008C7E44"/>
    <w:rsid w:val="008C7E6B"/>
    <w:rsid w:val="008D0179"/>
    <w:rsid w:val="008D0E72"/>
    <w:rsid w:val="008D0F3E"/>
    <w:rsid w:val="008D1548"/>
    <w:rsid w:val="008D27BB"/>
    <w:rsid w:val="008D36B9"/>
    <w:rsid w:val="008D3766"/>
    <w:rsid w:val="008D389B"/>
    <w:rsid w:val="008D394B"/>
    <w:rsid w:val="008D3A07"/>
    <w:rsid w:val="008D3A38"/>
    <w:rsid w:val="008D4AE8"/>
    <w:rsid w:val="008D4EE4"/>
    <w:rsid w:val="008D657D"/>
    <w:rsid w:val="008D7500"/>
    <w:rsid w:val="008D7660"/>
    <w:rsid w:val="008D7C06"/>
    <w:rsid w:val="008E02E2"/>
    <w:rsid w:val="008E03B7"/>
    <w:rsid w:val="008E0475"/>
    <w:rsid w:val="008E05F8"/>
    <w:rsid w:val="008E1BF0"/>
    <w:rsid w:val="008E1C50"/>
    <w:rsid w:val="008E1D89"/>
    <w:rsid w:val="008E2253"/>
    <w:rsid w:val="008E2CEF"/>
    <w:rsid w:val="008E4C62"/>
    <w:rsid w:val="008E60C0"/>
    <w:rsid w:val="008E6611"/>
    <w:rsid w:val="008E6835"/>
    <w:rsid w:val="008E74CC"/>
    <w:rsid w:val="008E7799"/>
    <w:rsid w:val="008E7F15"/>
    <w:rsid w:val="008F03DD"/>
    <w:rsid w:val="008F06A3"/>
    <w:rsid w:val="008F0D80"/>
    <w:rsid w:val="008F12CB"/>
    <w:rsid w:val="008F2801"/>
    <w:rsid w:val="008F2CEE"/>
    <w:rsid w:val="008F2EE1"/>
    <w:rsid w:val="008F3996"/>
    <w:rsid w:val="008F3CCE"/>
    <w:rsid w:val="008F428D"/>
    <w:rsid w:val="008F4A1E"/>
    <w:rsid w:val="008F5492"/>
    <w:rsid w:val="008F5A61"/>
    <w:rsid w:val="008F684B"/>
    <w:rsid w:val="008F717E"/>
    <w:rsid w:val="009007A2"/>
    <w:rsid w:val="0090146E"/>
    <w:rsid w:val="00902555"/>
    <w:rsid w:val="00902EED"/>
    <w:rsid w:val="00903A0F"/>
    <w:rsid w:val="009046A9"/>
    <w:rsid w:val="00905295"/>
    <w:rsid w:val="009056AA"/>
    <w:rsid w:val="00910223"/>
    <w:rsid w:val="0091116B"/>
    <w:rsid w:val="009113C5"/>
    <w:rsid w:val="00912898"/>
    <w:rsid w:val="009132F0"/>
    <w:rsid w:val="009135F1"/>
    <w:rsid w:val="00913BB7"/>
    <w:rsid w:val="00913EDB"/>
    <w:rsid w:val="0091463D"/>
    <w:rsid w:val="00914833"/>
    <w:rsid w:val="00914F96"/>
    <w:rsid w:val="00915815"/>
    <w:rsid w:val="00916817"/>
    <w:rsid w:val="00916838"/>
    <w:rsid w:val="00916BC9"/>
    <w:rsid w:val="00917343"/>
    <w:rsid w:val="0091775D"/>
    <w:rsid w:val="00921062"/>
    <w:rsid w:val="00921570"/>
    <w:rsid w:val="00922D51"/>
    <w:rsid w:val="009242FA"/>
    <w:rsid w:val="009253FF"/>
    <w:rsid w:val="009272A8"/>
    <w:rsid w:val="00927A1C"/>
    <w:rsid w:val="009301D5"/>
    <w:rsid w:val="0093058E"/>
    <w:rsid w:val="00930DCB"/>
    <w:rsid w:val="00931BB4"/>
    <w:rsid w:val="009329F8"/>
    <w:rsid w:val="0093319F"/>
    <w:rsid w:val="009338A6"/>
    <w:rsid w:val="009342A4"/>
    <w:rsid w:val="009353D4"/>
    <w:rsid w:val="00935B0D"/>
    <w:rsid w:val="00936680"/>
    <w:rsid w:val="00936DF3"/>
    <w:rsid w:val="00936FD5"/>
    <w:rsid w:val="00937101"/>
    <w:rsid w:val="00937653"/>
    <w:rsid w:val="00937B9A"/>
    <w:rsid w:val="009401C9"/>
    <w:rsid w:val="009414C9"/>
    <w:rsid w:val="00942A66"/>
    <w:rsid w:val="00943186"/>
    <w:rsid w:val="009435FA"/>
    <w:rsid w:val="00943E57"/>
    <w:rsid w:val="009445A0"/>
    <w:rsid w:val="0094526D"/>
    <w:rsid w:val="00945332"/>
    <w:rsid w:val="009458AC"/>
    <w:rsid w:val="009466A2"/>
    <w:rsid w:val="00946704"/>
    <w:rsid w:val="00946EF6"/>
    <w:rsid w:val="00946FA3"/>
    <w:rsid w:val="00946FAC"/>
    <w:rsid w:val="009500DC"/>
    <w:rsid w:val="00950191"/>
    <w:rsid w:val="00950F29"/>
    <w:rsid w:val="00951108"/>
    <w:rsid w:val="00951A55"/>
    <w:rsid w:val="009522CF"/>
    <w:rsid w:val="009528F8"/>
    <w:rsid w:val="00953185"/>
    <w:rsid w:val="00953D27"/>
    <w:rsid w:val="00953F86"/>
    <w:rsid w:val="00955027"/>
    <w:rsid w:val="009553D5"/>
    <w:rsid w:val="00955BD5"/>
    <w:rsid w:val="0095639D"/>
    <w:rsid w:val="00956701"/>
    <w:rsid w:val="00957FA8"/>
    <w:rsid w:val="00960313"/>
    <w:rsid w:val="00961823"/>
    <w:rsid w:val="00961CBB"/>
    <w:rsid w:val="00962268"/>
    <w:rsid w:val="009622F2"/>
    <w:rsid w:val="009624B0"/>
    <w:rsid w:val="009626B2"/>
    <w:rsid w:val="009627EC"/>
    <w:rsid w:val="00962B7F"/>
    <w:rsid w:val="00962D55"/>
    <w:rsid w:val="00963831"/>
    <w:rsid w:val="00963F4A"/>
    <w:rsid w:val="0096418B"/>
    <w:rsid w:val="0096434E"/>
    <w:rsid w:val="00964618"/>
    <w:rsid w:val="00964B82"/>
    <w:rsid w:val="009652E5"/>
    <w:rsid w:val="00965C55"/>
    <w:rsid w:val="00965FC7"/>
    <w:rsid w:val="00966441"/>
    <w:rsid w:val="0096653F"/>
    <w:rsid w:val="009671B2"/>
    <w:rsid w:val="0096723C"/>
    <w:rsid w:val="00967640"/>
    <w:rsid w:val="00967685"/>
    <w:rsid w:val="00967703"/>
    <w:rsid w:val="00967ACD"/>
    <w:rsid w:val="00970314"/>
    <w:rsid w:val="00970AC5"/>
    <w:rsid w:val="00971C17"/>
    <w:rsid w:val="00971E44"/>
    <w:rsid w:val="009722BA"/>
    <w:rsid w:val="00973248"/>
    <w:rsid w:val="009738E7"/>
    <w:rsid w:val="0097541E"/>
    <w:rsid w:val="00975686"/>
    <w:rsid w:val="00976105"/>
    <w:rsid w:val="00976B06"/>
    <w:rsid w:val="00977DDE"/>
    <w:rsid w:val="0098032B"/>
    <w:rsid w:val="009803C1"/>
    <w:rsid w:val="009804CF"/>
    <w:rsid w:val="00980503"/>
    <w:rsid w:val="00980907"/>
    <w:rsid w:val="009816A2"/>
    <w:rsid w:val="009816C5"/>
    <w:rsid w:val="009823F7"/>
    <w:rsid w:val="00983F3F"/>
    <w:rsid w:val="00984772"/>
    <w:rsid w:val="0098572E"/>
    <w:rsid w:val="00985C28"/>
    <w:rsid w:val="0098653D"/>
    <w:rsid w:val="00987036"/>
    <w:rsid w:val="0098727B"/>
    <w:rsid w:val="00990471"/>
    <w:rsid w:val="00990A04"/>
    <w:rsid w:val="009911D9"/>
    <w:rsid w:val="00991837"/>
    <w:rsid w:val="00991932"/>
    <w:rsid w:val="00991981"/>
    <w:rsid w:val="009922EE"/>
    <w:rsid w:val="009936C2"/>
    <w:rsid w:val="00993839"/>
    <w:rsid w:val="009946B7"/>
    <w:rsid w:val="00994A76"/>
    <w:rsid w:val="00994DE1"/>
    <w:rsid w:val="0099637B"/>
    <w:rsid w:val="00997027"/>
    <w:rsid w:val="00997439"/>
    <w:rsid w:val="009A00C1"/>
    <w:rsid w:val="009A1642"/>
    <w:rsid w:val="009A1AB5"/>
    <w:rsid w:val="009A1D7A"/>
    <w:rsid w:val="009A1F8B"/>
    <w:rsid w:val="009A30A9"/>
    <w:rsid w:val="009A32A3"/>
    <w:rsid w:val="009A3545"/>
    <w:rsid w:val="009A359B"/>
    <w:rsid w:val="009A4A49"/>
    <w:rsid w:val="009A50DB"/>
    <w:rsid w:val="009A51C5"/>
    <w:rsid w:val="009A5908"/>
    <w:rsid w:val="009A7B91"/>
    <w:rsid w:val="009A7F31"/>
    <w:rsid w:val="009A7FF0"/>
    <w:rsid w:val="009B01A0"/>
    <w:rsid w:val="009B1B17"/>
    <w:rsid w:val="009B213C"/>
    <w:rsid w:val="009B310C"/>
    <w:rsid w:val="009B4C6B"/>
    <w:rsid w:val="009B67CE"/>
    <w:rsid w:val="009B6C55"/>
    <w:rsid w:val="009B7429"/>
    <w:rsid w:val="009C1826"/>
    <w:rsid w:val="009C2CAD"/>
    <w:rsid w:val="009C3613"/>
    <w:rsid w:val="009C3D40"/>
    <w:rsid w:val="009C4511"/>
    <w:rsid w:val="009C474B"/>
    <w:rsid w:val="009C486D"/>
    <w:rsid w:val="009C4AAF"/>
    <w:rsid w:val="009C4C31"/>
    <w:rsid w:val="009C583F"/>
    <w:rsid w:val="009C5D43"/>
    <w:rsid w:val="009C6370"/>
    <w:rsid w:val="009C6CA4"/>
    <w:rsid w:val="009C6FC9"/>
    <w:rsid w:val="009C790D"/>
    <w:rsid w:val="009C7A64"/>
    <w:rsid w:val="009D06C2"/>
    <w:rsid w:val="009D0AE7"/>
    <w:rsid w:val="009D0D51"/>
    <w:rsid w:val="009D12EF"/>
    <w:rsid w:val="009D1940"/>
    <w:rsid w:val="009D1C63"/>
    <w:rsid w:val="009D2519"/>
    <w:rsid w:val="009D297B"/>
    <w:rsid w:val="009D31E3"/>
    <w:rsid w:val="009D34A3"/>
    <w:rsid w:val="009D3F86"/>
    <w:rsid w:val="009D4137"/>
    <w:rsid w:val="009D50F9"/>
    <w:rsid w:val="009D519F"/>
    <w:rsid w:val="009D5658"/>
    <w:rsid w:val="009D7584"/>
    <w:rsid w:val="009E0877"/>
    <w:rsid w:val="009E1D2A"/>
    <w:rsid w:val="009E1F2F"/>
    <w:rsid w:val="009E2021"/>
    <w:rsid w:val="009E227A"/>
    <w:rsid w:val="009E241B"/>
    <w:rsid w:val="009E29C5"/>
    <w:rsid w:val="009E2C6E"/>
    <w:rsid w:val="009E2EFD"/>
    <w:rsid w:val="009E3381"/>
    <w:rsid w:val="009E38D6"/>
    <w:rsid w:val="009E3D87"/>
    <w:rsid w:val="009E49A2"/>
    <w:rsid w:val="009E4C2B"/>
    <w:rsid w:val="009E53FD"/>
    <w:rsid w:val="009E550C"/>
    <w:rsid w:val="009E5A7A"/>
    <w:rsid w:val="009E5C78"/>
    <w:rsid w:val="009E6978"/>
    <w:rsid w:val="009E69FD"/>
    <w:rsid w:val="009E6A92"/>
    <w:rsid w:val="009E71EB"/>
    <w:rsid w:val="009E75D3"/>
    <w:rsid w:val="009F0620"/>
    <w:rsid w:val="009F0AE4"/>
    <w:rsid w:val="009F1AEE"/>
    <w:rsid w:val="009F3736"/>
    <w:rsid w:val="009F3F7C"/>
    <w:rsid w:val="009F3FC9"/>
    <w:rsid w:val="009F46FB"/>
    <w:rsid w:val="009F4F7C"/>
    <w:rsid w:val="009F5121"/>
    <w:rsid w:val="009F5E33"/>
    <w:rsid w:val="009F60C2"/>
    <w:rsid w:val="009F6616"/>
    <w:rsid w:val="009F6F9A"/>
    <w:rsid w:val="009F70EB"/>
    <w:rsid w:val="009F7BFA"/>
    <w:rsid w:val="00A00C9F"/>
    <w:rsid w:val="00A0186A"/>
    <w:rsid w:val="00A019BA"/>
    <w:rsid w:val="00A02457"/>
    <w:rsid w:val="00A02840"/>
    <w:rsid w:val="00A02D67"/>
    <w:rsid w:val="00A03D14"/>
    <w:rsid w:val="00A03D52"/>
    <w:rsid w:val="00A04881"/>
    <w:rsid w:val="00A049BA"/>
    <w:rsid w:val="00A04CA4"/>
    <w:rsid w:val="00A05724"/>
    <w:rsid w:val="00A05B6B"/>
    <w:rsid w:val="00A06175"/>
    <w:rsid w:val="00A0778B"/>
    <w:rsid w:val="00A0782F"/>
    <w:rsid w:val="00A10BDB"/>
    <w:rsid w:val="00A12109"/>
    <w:rsid w:val="00A12525"/>
    <w:rsid w:val="00A128C3"/>
    <w:rsid w:val="00A143E6"/>
    <w:rsid w:val="00A15728"/>
    <w:rsid w:val="00A158B6"/>
    <w:rsid w:val="00A15EDC"/>
    <w:rsid w:val="00A15FD9"/>
    <w:rsid w:val="00A166C1"/>
    <w:rsid w:val="00A1673A"/>
    <w:rsid w:val="00A178B7"/>
    <w:rsid w:val="00A213C7"/>
    <w:rsid w:val="00A21566"/>
    <w:rsid w:val="00A21CF2"/>
    <w:rsid w:val="00A21D99"/>
    <w:rsid w:val="00A22087"/>
    <w:rsid w:val="00A223D2"/>
    <w:rsid w:val="00A22D96"/>
    <w:rsid w:val="00A23302"/>
    <w:rsid w:val="00A23F2A"/>
    <w:rsid w:val="00A2409C"/>
    <w:rsid w:val="00A240D9"/>
    <w:rsid w:val="00A247DC"/>
    <w:rsid w:val="00A2496F"/>
    <w:rsid w:val="00A24D80"/>
    <w:rsid w:val="00A26645"/>
    <w:rsid w:val="00A27684"/>
    <w:rsid w:val="00A27D19"/>
    <w:rsid w:val="00A27D62"/>
    <w:rsid w:val="00A27E84"/>
    <w:rsid w:val="00A3010A"/>
    <w:rsid w:val="00A3017B"/>
    <w:rsid w:val="00A304E0"/>
    <w:rsid w:val="00A30DA1"/>
    <w:rsid w:val="00A30E85"/>
    <w:rsid w:val="00A31370"/>
    <w:rsid w:val="00A31DFF"/>
    <w:rsid w:val="00A31F9A"/>
    <w:rsid w:val="00A32507"/>
    <w:rsid w:val="00A32AB0"/>
    <w:rsid w:val="00A32D75"/>
    <w:rsid w:val="00A32DED"/>
    <w:rsid w:val="00A340DF"/>
    <w:rsid w:val="00A345C1"/>
    <w:rsid w:val="00A34D8D"/>
    <w:rsid w:val="00A35E55"/>
    <w:rsid w:val="00A363CB"/>
    <w:rsid w:val="00A36589"/>
    <w:rsid w:val="00A366A9"/>
    <w:rsid w:val="00A367A9"/>
    <w:rsid w:val="00A36AA2"/>
    <w:rsid w:val="00A37331"/>
    <w:rsid w:val="00A41007"/>
    <w:rsid w:val="00A418D0"/>
    <w:rsid w:val="00A41C7B"/>
    <w:rsid w:val="00A41F9E"/>
    <w:rsid w:val="00A4200A"/>
    <w:rsid w:val="00A424FD"/>
    <w:rsid w:val="00A42EBB"/>
    <w:rsid w:val="00A43040"/>
    <w:rsid w:val="00A43514"/>
    <w:rsid w:val="00A437FE"/>
    <w:rsid w:val="00A43B1A"/>
    <w:rsid w:val="00A43D8A"/>
    <w:rsid w:val="00A43DFD"/>
    <w:rsid w:val="00A4459A"/>
    <w:rsid w:val="00A45F72"/>
    <w:rsid w:val="00A463D0"/>
    <w:rsid w:val="00A4668B"/>
    <w:rsid w:val="00A4676E"/>
    <w:rsid w:val="00A47BA6"/>
    <w:rsid w:val="00A50990"/>
    <w:rsid w:val="00A51016"/>
    <w:rsid w:val="00A51552"/>
    <w:rsid w:val="00A52C88"/>
    <w:rsid w:val="00A52DF2"/>
    <w:rsid w:val="00A531BD"/>
    <w:rsid w:val="00A54EAE"/>
    <w:rsid w:val="00A56406"/>
    <w:rsid w:val="00A5690E"/>
    <w:rsid w:val="00A56B34"/>
    <w:rsid w:val="00A57230"/>
    <w:rsid w:val="00A57940"/>
    <w:rsid w:val="00A62DDE"/>
    <w:rsid w:val="00A63ABF"/>
    <w:rsid w:val="00A63F95"/>
    <w:rsid w:val="00A648E8"/>
    <w:rsid w:val="00A64E5D"/>
    <w:rsid w:val="00A64F70"/>
    <w:rsid w:val="00A65988"/>
    <w:rsid w:val="00A65F6A"/>
    <w:rsid w:val="00A66133"/>
    <w:rsid w:val="00A66236"/>
    <w:rsid w:val="00A6682C"/>
    <w:rsid w:val="00A668E0"/>
    <w:rsid w:val="00A668EE"/>
    <w:rsid w:val="00A67133"/>
    <w:rsid w:val="00A67FBD"/>
    <w:rsid w:val="00A70BE0"/>
    <w:rsid w:val="00A70E87"/>
    <w:rsid w:val="00A711FF"/>
    <w:rsid w:val="00A722C3"/>
    <w:rsid w:val="00A728BC"/>
    <w:rsid w:val="00A72F65"/>
    <w:rsid w:val="00A73224"/>
    <w:rsid w:val="00A734EA"/>
    <w:rsid w:val="00A7366F"/>
    <w:rsid w:val="00A76A64"/>
    <w:rsid w:val="00A7741D"/>
    <w:rsid w:val="00A77D28"/>
    <w:rsid w:val="00A801F9"/>
    <w:rsid w:val="00A81102"/>
    <w:rsid w:val="00A81BBC"/>
    <w:rsid w:val="00A81C62"/>
    <w:rsid w:val="00A827A3"/>
    <w:rsid w:val="00A83201"/>
    <w:rsid w:val="00A83C7A"/>
    <w:rsid w:val="00A843B6"/>
    <w:rsid w:val="00A8440D"/>
    <w:rsid w:val="00A8476B"/>
    <w:rsid w:val="00A85FB9"/>
    <w:rsid w:val="00A861ED"/>
    <w:rsid w:val="00A8650E"/>
    <w:rsid w:val="00A86EDA"/>
    <w:rsid w:val="00A870EB"/>
    <w:rsid w:val="00A8793F"/>
    <w:rsid w:val="00A90D9B"/>
    <w:rsid w:val="00A91627"/>
    <w:rsid w:val="00A91C49"/>
    <w:rsid w:val="00A91DFD"/>
    <w:rsid w:val="00A92BE9"/>
    <w:rsid w:val="00A939B8"/>
    <w:rsid w:val="00A93DE4"/>
    <w:rsid w:val="00A945F5"/>
    <w:rsid w:val="00A94EB5"/>
    <w:rsid w:val="00A94F01"/>
    <w:rsid w:val="00A95292"/>
    <w:rsid w:val="00A95E7C"/>
    <w:rsid w:val="00A95F9A"/>
    <w:rsid w:val="00A961B2"/>
    <w:rsid w:val="00A9624B"/>
    <w:rsid w:val="00A966F0"/>
    <w:rsid w:val="00A973C3"/>
    <w:rsid w:val="00A977E8"/>
    <w:rsid w:val="00AA024A"/>
    <w:rsid w:val="00AA0BFE"/>
    <w:rsid w:val="00AA2130"/>
    <w:rsid w:val="00AA2972"/>
    <w:rsid w:val="00AA3D05"/>
    <w:rsid w:val="00AA44F8"/>
    <w:rsid w:val="00AA4D62"/>
    <w:rsid w:val="00AA4E83"/>
    <w:rsid w:val="00AA5D99"/>
    <w:rsid w:val="00AA62C0"/>
    <w:rsid w:val="00AA6BC7"/>
    <w:rsid w:val="00AA6DB6"/>
    <w:rsid w:val="00AA6E19"/>
    <w:rsid w:val="00AA7812"/>
    <w:rsid w:val="00AA790B"/>
    <w:rsid w:val="00AA7C6F"/>
    <w:rsid w:val="00AB37B2"/>
    <w:rsid w:val="00AB5065"/>
    <w:rsid w:val="00AB5865"/>
    <w:rsid w:val="00AB68EA"/>
    <w:rsid w:val="00AB6D69"/>
    <w:rsid w:val="00AB7130"/>
    <w:rsid w:val="00AB7EE3"/>
    <w:rsid w:val="00AC0CCC"/>
    <w:rsid w:val="00AC19B3"/>
    <w:rsid w:val="00AC266E"/>
    <w:rsid w:val="00AC2C79"/>
    <w:rsid w:val="00AC38DE"/>
    <w:rsid w:val="00AC425C"/>
    <w:rsid w:val="00AC6DD8"/>
    <w:rsid w:val="00AC710A"/>
    <w:rsid w:val="00AC72E2"/>
    <w:rsid w:val="00AC74BD"/>
    <w:rsid w:val="00AC779F"/>
    <w:rsid w:val="00AC799E"/>
    <w:rsid w:val="00AC7D03"/>
    <w:rsid w:val="00AD04FA"/>
    <w:rsid w:val="00AD0A84"/>
    <w:rsid w:val="00AD186E"/>
    <w:rsid w:val="00AD1A87"/>
    <w:rsid w:val="00AD3749"/>
    <w:rsid w:val="00AD7946"/>
    <w:rsid w:val="00AE0577"/>
    <w:rsid w:val="00AE0C3A"/>
    <w:rsid w:val="00AE0C5D"/>
    <w:rsid w:val="00AE0F94"/>
    <w:rsid w:val="00AE10FC"/>
    <w:rsid w:val="00AE1921"/>
    <w:rsid w:val="00AE1BA1"/>
    <w:rsid w:val="00AE2368"/>
    <w:rsid w:val="00AE2407"/>
    <w:rsid w:val="00AE2B6E"/>
    <w:rsid w:val="00AE2D8E"/>
    <w:rsid w:val="00AE433C"/>
    <w:rsid w:val="00AE4BBD"/>
    <w:rsid w:val="00AE4D52"/>
    <w:rsid w:val="00AE5181"/>
    <w:rsid w:val="00AE5895"/>
    <w:rsid w:val="00AE670A"/>
    <w:rsid w:val="00AE7689"/>
    <w:rsid w:val="00AE79C6"/>
    <w:rsid w:val="00AE7ACD"/>
    <w:rsid w:val="00AF0EFD"/>
    <w:rsid w:val="00AF1FCA"/>
    <w:rsid w:val="00AF2281"/>
    <w:rsid w:val="00AF26AC"/>
    <w:rsid w:val="00AF27AB"/>
    <w:rsid w:val="00AF2FB4"/>
    <w:rsid w:val="00AF3982"/>
    <w:rsid w:val="00AF3A39"/>
    <w:rsid w:val="00AF412F"/>
    <w:rsid w:val="00AF4479"/>
    <w:rsid w:val="00AF4F5E"/>
    <w:rsid w:val="00AF5F87"/>
    <w:rsid w:val="00AF704D"/>
    <w:rsid w:val="00AF72DB"/>
    <w:rsid w:val="00AF7660"/>
    <w:rsid w:val="00B004E6"/>
    <w:rsid w:val="00B00B6A"/>
    <w:rsid w:val="00B00FA4"/>
    <w:rsid w:val="00B011D0"/>
    <w:rsid w:val="00B0181A"/>
    <w:rsid w:val="00B02BCE"/>
    <w:rsid w:val="00B03FA0"/>
    <w:rsid w:val="00B04138"/>
    <w:rsid w:val="00B050F9"/>
    <w:rsid w:val="00B05B40"/>
    <w:rsid w:val="00B05D98"/>
    <w:rsid w:val="00B0677F"/>
    <w:rsid w:val="00B06F2C"/>
    <w:rsid w:val="00B07059"/>
    <w:rsid w:val="00B072CE"/>
    <w:rsid w:val="00B074A1"/>
    <w:rsid w:val="00B07F6B"/>
    <w:rsid w:val="00B10007"/>
    <w:rsid w:val="00B104D2"/>
    <w:rsid w:val="00B10E7A"/>
    <w:rsid w:val="00B11AED"/>
    <w:rsid w:val="00B11F73"/>
    <w:rsid w:val="00B1359F"/>
    <w:rsid w:val="00B13E57"/>
    <w:rsid w:val="00B1415A"/>
    <w:rsid w:val="00B14375"/>
    <w:rsid w:val="00B15E5D"/>
    <w:rsid w:val="00B17654"/>
    <w:rsid w:val="00B17669"/>
    <w:rsid w:val="00B1798E"/>
    <w:rsid w:val="00B2063F"/>
    <w:rsid w:val="00B20F3E"/>
    <w:rsid w:val="00B21EAD"/>
    <w:rsid w:val="00B22D1E"/>
    <w:rsid w:val="00B26E70"/>
    <w:rsid w:val="00B27264"/>
    <w:rsid w:val="00B274A1"/>
    <w:rsid w:val="00B278BF"/>
    <w:rsid w:val="00B27D8C"/>
    <w:rsid w:val="00B301A9"/>
    <w:rsid w:val="00B31847"/>
    <w:rsid w:val="00B31ADF"/>
    <w:rsid w:val="00B32B10"/>
    <w:rsid w:val="00B343BD"/>
    <w:rsid w:val="00B34728"/>
    <w:rsid w:val="00B357BD"/>
    <w:rsid w:val="00B35AB7"/>
    <w:rsid w:val="00B35BDA"/>
    <w:rsid w:val="00B35F94"/>
    <w:rsid w:val="00B40024"/>
    <w:rsid w:val="00B414DC"/>
    <w:rsid w:val="00B42989"/>
    <w:rsid w:val="00B429E1"/>
    <w:rsid w:val="00B43377"/>
    <w:rsid w:val="00B433F8"/>
    <w:rsid w:val="00B4492D"/>
    <w:rsid w:val="00B46EEC"/>
    <w:rsid w:val="00B50535"/>
    <w:rsid w:val="00B50912"/>
    <w:rsid w:val="00B51748"/>
    <w:rsid w:val="00B520BC"/>
    <w:rsid w:val="00B53F49"/>
    <w:rsid w:val="00B54425"/>
    <w:rsid w:val="00B56A1A"/>
    <w:rsid w:val="00B57B08"/>
    <w:rsid w:val="00B57C10"/>
    <w:rsid w:val="00B60408"/>
    <w:rsid w:val="00B6048B"/>
    <w:rsid w:val="00B60585"/>
    <w:rsid w:val="00B60813"/>
    <w:rsid w:val="00B60924"/>
    <w:rsid w:val="00B60F8E"/>
    <w:rsid w:val="00B61527"/>
    <w:rsid w:val="00B6349A"/>
    <w:rsid w:val="00B63715"/>
    <w:rsid w:val="00B64AEB"/>
    <w:rsid w:val="00B65527"/>
    <w:rsid w:val="00B65F90"/>
    <w:rsid w:val="00B66423"/>
    <w:rsid w:val="00B669F8"/>
    <w:rsid w:val="00B66E99"/>
    <w:rsid w:val="00B70118"/>
    <w:rsid w:val="00B7022C"/>
    <w:rsid w:val="00B70D7E"/>
    <w:rsid w:val="00B71447"/>
    <w:rsid w:val="00B71D68"/>
    <w:rsid w:val="00B72170"/>
    <w:rsid w:val="00B72218"/>
    <w:rsid w:val="00B730FE"/>
    <w:rsid w:val="00B7340F"/>
    <w:rsid w:val="00B73BEC"/>
    <w:rsid w:val="00B73D06"/>
    <w:rsid w:val="00B73DA8"/>
    <w:rsid w:val="00B741A8"/>
    <w:rsid w:val="00B74A0A"/>
    <w:rsid w:val="00B74D6C"/>
    <w:rsid w:val="00B74D87"/>
    <w:rsid w:val="00B75005"/>
    <w:rsid w:val="00B765F7"/>
    <w:rsid w:val="00B76BD3"/>
    <w:rsid w:val="00B804DB"/>
    <w:rsid w:val="00B81229"/>
    <w:rsid w:val="00B81350"/>
    <w:rsid w:val="00B825C8"/>
    <w:rsid w:val="00B8286D"/>
    <w:rsid w:val="00B82A2D"/>
    <w:rsid w:val="00B82E57"/>
    <w:rsid w:val="00B83B66"/>
    <w:rsid w:val="00B83FCE"/>
    <w:rsid w:val="00B84433"/>
    <w:rsid w:val="00B84658"/>
    <w:rsid w:val="00B84760"/>
    <w:rsid w:val="00B848E6"/>
    <w:rsid w:val="00B84B3B"/>
    <w:rsid w:val="00B85012"/>
    <w:rsid w:val="00B86FD8"/>
    <w:rsid w:val="00B8785D"/>
    <w:rsid w:val="00B87883"/>
    <w:rsid w:val="00B90C87"/>
    <w:rsid w:val="00B91343"/>
    <w:rsid w:val="00B9214D"/>
    <w:rsid w:val="00B924B3"/>
    <w:rsid w:val="00B92DE1"/>
    <w:rsid w:val="00B930FF"/>
    <w:rsid w:val="00B9312E"/>
    <w:rsid w:val="00B93AA7"/>
    <w:rsid w:val="00B94ABC"/>
    <w:rsid w:val="00B94B84"/>
    <w:rsid w:val="00B954C2"/>
    <w:rsid w:val="00B95906"/>
    <w:rsid w:val="00B96321"/>
    <w:rsid w:val="00B96D67"/>
    <w:rsid w:val="00B96E4A"/>
    <w:rsid w:val="00B971FD"/>
    <w:rsid w:val="00B9723E"/>
    <w:rsid w:val="00B973D5"/>
    <w:rsid w:val="00B97643"/>
    <w:rsid w:val="00B977D2"/>
    <w:rsid w:val="00B97B6C"/>
    <w:rsid w:val="00BA1200"/>
    <w:rsid w:val="00BA289D"/>
    <w:rsid w:val="00BA2C2D"/>
    <w:rsid w:val="00BA2D2F"/>
    <w:rsid w:val="00BA3119"/>
    <w:rsid w:val="00BA4B27"/>
    <w:rsid w:val="00BA55E5"/>
    <w:rsid w:val="00BA579B"/>
    <w:rsid w:val="00BA5EB2"/>
    <w:rsid w:val="00BA6EA1"/>
    <w:rsid w:val="00BA7055"/>
    <w:rsid w:val="00BA7248"/>
    <w:rsid w:val="00BA7A82"/>
    <w:rsid w:val="00BA7AB7"/>
    <w:rsid w:val="00BB191C"/>
    <w:rsid w:val="00BB1ACF"/>
    <w:rsid w:val="00BB1CD8"/>
    <w:rsid w:val="00BB2982"/>
    <w:rsid w:val="00BB2C7D"/>
    <w:rsid w:val="00BB2F8A"/>
    <w:rsid w:val="00BB30B1"/>
    <w:rsid w:val="00BB31A2"/>
    <w:rsid w:val="00BB31BC"/>
    <w:rsid w:val="00BB385F"/>
    <w:rsid w:val="00BB4755"/>
    <w:rsid w:val="00BB5082"/>
    <w:rsid w:val="00BB536F"/>
    <w:rsid w:val="00BB576D"/>
    <w:rsid w:val="00BB64EA"/>
    <w:rsid w:val="00BB6A6E"/>
    <w:rsid w:val="00BC0297"/>
    <w:rsid w:val="00BC0589"/>
    <w:rsid w:val="00BC17B6"/>
    <w:rsid w:val="00BC22BF"/>
    <w:rsid w:val="00BC2887"/>
    <w:rsid w:val="00BC2933"/>
    <w:rsid w:val="00BC2C69"/>
    <w:rsid w:val="00BC3DC3"/>
    <w:rsid w:val="00BC40B3"/>
    <w:rsid w:val="00BC47D9"/>
    <w:rsid w:val="00BC4BB2"/>
    <w:rsid w:val="00BC4EC4"/>
    <w:rsid w:val="00BC5B14"/>
    <w:rsid w:val="00BC630E"/>
    <w:rsid w:val="00BC6D31"/>
    <w:rsid w:val="00BC6DCE"/>
    <w:rsid w:val="00BC727C"/>
    <w:rsid w:val="00BC75DE"/>
    <w:rsid w:val="00BC7911"/>
    <w:rsid w:val="00BD0414"/>
    <w:rsid w:val="00BD0963"/>
    <w:rsid w:val="00BD1349"/>
    <w:rsid w:val="00BD17AE"/>
    <w:rsid w:val="00BD1F69"/>
    <w:rsid w:val="00BD1F95"/>
    <w:rsid w:val="00BD1FC4"/>
    <w:rsid w:val="00BD325B"/>
    <w:rsid w:val="00BD4DB4"/>
    <w:rsid w:val="00BD51AD"/>
    <w:rsid w:val="00BD585C"/>
    <w:rsid w:val="00BE0D63"/>
    <w:rsid w:val="00BE0FE1"/>
    <w:rsid w:val="00BE1277"/>
    <w:rsid w:val="00BE128F"/>
    <w:rsid w:val="00BE1841"/>
    <w:rsid w:val="00BE26FA"/>
    <w:rsid w:val="00BE2917"/>
    <w:rsid w:val="00BE2C2E"/>
    <w:rsid w:val="00BE3C69"/>
    <w:rsid w:val="00BE4EA5"/>
    <w:rsid w:val="00BE5C51"/>
    <w:rsid w:val="00BE5EF1"/>
    <w:rsid w:val="00BE6644"/>
    <w:rsid w:val="00BE733D"/>
    <w:rsid w:val="00BE75AC"/>
    <w:rsid w:val="00BE7DC9"/>
    <w:rsid w:val="00BF02E9"/>
    <w:rsid w:val="00BF0DDC"/>
    <w:rsid w:val="00BF2BC7"/>
    <w:rsid w:val="00BF3C10"/>
    <w:rsid w:val="00BF5AF3"/>
    <w:rsid w:val="00BF65F4"/>
    <w:rsid w:val="00BF67E2"/>
    <w:rsid w:val="00BF77C0"/>
    <w:rsid w:val="00BF7A1D"/>
    <w:rsid w:val="00C003C1"/>
    <w:rsid w:val="00C0040E"/>
    <w:rsid w:val="00C008DD"/>
    <w:rsid w:val="00C00EBB"/>
    <w:rsid w:val="00C011BB"/>
    <w:rsid w:val="00C01CD5"/>
    <w:rsid w:val="00C02C96"/>
    <w:rsid w:val="00C03218"/>
    <w:rsid w:val="00C0327F"/>
    <w:rsid w:val="00C04209"/>
    <w:rsid w:val="00C04436"/>
    <w:rsid w:val="00C044CC"/>
    <w:rsid w:val="00C04589"/>
    <w:rsid w:val="00C05704"/>
    <w:rsid w:val="00C0616C"/>
    <w:rsid w:val="00C06DFC"/>
    <w:rsid w:val="00C07094"/>
    <w:rsid w:val="00C0764A"/>
    <w:rsid w:val="00C1165F"/>
    <w:rsid w:val="00C12108"/>
    <w:rsid w:val="00C12269"/>
    <w:rsid w:val="00C12A17"/>
    <w:rsid w:val="00C13471"/>
    <w:rsid w:val="00C16341"/>
    <w:rsid w:val="00C164D5"/>
    <w:rsid w:val="00C16662"/>
    <w:rsid w:val="00C167F9"/>
    <w:rsid w:val="00C21716"/>
    <w:rsid w:val="00C2186F"/>
    <w:rsid w:val="00C219BE"/>
    <w:rsid w:val="00C21A9A"/>
    <w:rsid w:val="00C22218"/>
    <w:rsid w:val="00C23ED1"/>
    <w:rsid w:val="00C25CB6"/>
    <w:rsid w:val="00C263FF"/>
    <w:rsid w:val="00C267BC"/>
    <w:rsid w:val="00C27605"/>
    <w:rsid w:val="00C27C88"/>
    <w:rsid w:val="00C27F4F"/>
    <w:rsid w:val="00C304A0"/>
    <w:rsid w:val="00C321E4"/>
    <w:rsid w:val="00C32479"/>
    <w:rsid w:val="00C3260F"/>
    <w:rsid w:val="00C32EBE"/>
    <w:rsid w:val="00C331A5"/>
    <w:rsid w:val="00C33324"/>
    <w:rsid w:val="00C33B9C"/>
    <w:rsid w:val="00C33E9A"/>
    <w:rsid w:val="00C3420E"/>
    <w:rsid w:val="00C346EA"/>
    <w:rsid w:val="00C35486"/>
    <w:rsid w:val="00C35861"/>
    <w:rsid w:val="00C35C72"/>
    <w:rsid w:val="00C4005D"/>
    <w:rsid w:val="00C4042B"/>
    <w:rsid w:val="00C40FEB"/>
    <w:rsid w:val="00C41292"/>
    <w:rsid w:val="00C430BF"/>
    <w:rsid w:val="00C4405A"/>
    <w:rsid w:val="00C44997"/>
    <w:rsid w:val="00C45107"/>
    <w:rsid w:val="00C46F6E"/>
    <w:rsid w:val="00C470DA"/>
    <w:rsid w:val="00C47F48"/>
    <w:rsid w:val="00C500C7"/>
    <w:rsid w:val="00C505D1"/>
    <w:rsid w:val="00C51FBC"/>
    <w:rsid w:val="00C54539"/>
    <w:rsid w:val="00C5539C"/>
    <w:rsid w:val="00C556C1"/>
    <w:rsid w:val="00C558AF"/>
    <w:rsid w:val="00C55ABF"/>
    <w:rsid w:val="00C55AF6"/>
    <w:rsid w:val="00C56522"/>
    <w:rsid w:val="00C568BD"/>
    <w:rsid w:val="00C569C5"/>
    <w:rsid w:val="00C56C5E"/>
    <w:rsid w:val="00C57466"/>
    <w:rsid w:val="00C57B21"/>
    <w:rsid w:val="00C57B82"/>
    <w:rsid w:val="00C57D54"/>
    <w:rsid w:val="00C60C1F"/>
    <w:rsid w:val="00C611EB"/>
    <w:rsid w:val="00C61EE7"/>
    <w:rsid w:val="00C61F1A"/>
    <w:rsid w:val="00C627EF"/>
    <w:rsid w:val="00C63189"/>
    <w:rsid w:val="00C643EE"/>
    <w:rsid w:val="00C6584F"/>
    <w:rsid w:val="00C661AC"/>
    <w:rsid w:val="00C67447"/>
    <w:rsid w:val="00C67ECE"/>
    <w:rsid w:val="00C70A6C"/>
    <w:rsid w:val="00C71FD1"/>
    <w:rsid w:val="00C71FFC"/>
    <w:rsid w:val="00C72B9B"/>
    <w:rsid w:val="00C72E27"/>
    <w:rsid w:val="00C72F45"/>
    <w:rsid w:val="00C751A6"/>
    <w:rsid w:val="00C75709"/>
    <w:rsid w:val="00C7578F"/>
    <w:rsid w:val="00C773E2"/>
    <w:rsid w:val="00C776AA"/>
    <w:rsid w:val="00C77BA5"/>
    <w:rsid w:val="00C81050"/>
    <w:rsid w:val="00C81229"/>
    <w:rsid w:val="00C81A2A"/>
    <w:rsid w:val="00C81FF5"/>
    <w:rsid w:val="00C820C2"/>
    <w:rsid w:val="00C828ED"/>
    <w:rsid w:val="00C83A0D"/>
    <w:rsid w:val="00C83E4A"/>
    <w:rsid w:val="00C85567"/>
    <w:rsid w:val="00C87517"/>
    <w:rsid w:val="00C87737"/>
    <w:rsid w:val="00C902DB"/>
    <w:rsid w:val="00C90388"/>
    <w:rsid w:val="00C9123C"/>
    <w:rsid w:val="00C91604"/>
    <w:rsid w:val="00C9182A"/>
    <w:rsid w:val="00C91EE2"/>
    <w:rsid w:val="00C929EF"/>
    <w:rsid w:val="00C930EE"/>
    <w:rsid w:val="00C9390D"/>
    <w:rsid w:val="00C93AFA"/>
    <w:rsid w:val="00C93BCB"/>
    <w:rsid w:val="00C965EF"/>
    <w:rsid w:val="00C966CF"/>
    <w:rsid w:val="00C9684C"/>
    <w:rsid w:val="00C96B07"/>
    <w:rsid w:val="00C9756B"/>
    <w:rsid w:val="00CA1859"/>
    <w:rsid w:val="00CA1CA3"/>
    <w:rsid w:val="00CA2829"/>
    <w:rsid w:val="00CA2FFD"/>
    <w:rsid w:val="00CA3795"/>
    <w:rsid w:val="00CA3A08"/>
    <w:rsid w:val="00CA4618"/>
    <w:rsid w:val="00CA5028"/>
    <w:rsid w:val="00CA54D3"/>
    <w:rsid w:val="00CA7824"/>
    <w:rsid w:val="00CB0347"/>
    <w:rsid w:val="00CB1079"/>
    <w:rsid w:val="00CB145C"/>
    <w:rsid w:val="00CB2F22"/>
    <w:rsid w:val="00CB3961"/>
    <w:rsid w:val="00CB3A45"/>
    <w:rsid w:val="00CB4F85"/>
    <w:rsid w:val="00CB60AF"/>
    <w:rsid w:val="00CB723C"/>
    <w:rsid w:val="00CB7842"/>
    <w:rsid w:val="00CC0FC4"/>
    <w:rsid w:val="00CC12D4"/>
    <w:rsid w:val="00CC13EE"/>
    <w:rsid w:val="00CC2005"/>
    <w:rsid w:val="00CC223F"/>
    <w:rsid w:val="00CC25D4"/>
    <w:rsid w:val="00CC34BB"/>
    <w:rsid w:val="00CC6FEF"/>
    <w:rsid w:val="00CC7178"/>
    <w:rsid w:val="00CC79F7"/>
    <w:rsid w:val="00CD0423"/>
    <w:rsid w:val="00CD0898"/>
    <w:rsid w:val="00CD143D"/>
    <w:rsid w:val="00CD19AE"/>
    <w:rsid w:val="00CD2BB6"/>
    <w:rsid w:val="00CD3E90"/>
    <w:rsid w:val="00CD405C"/>
    <w:rsid w:val="00CD567F"/>
    <w:rsid w:val="00CD5E08"/>
    <w:rsid w:val="00CD6DDD"/>
    <w:rsid w:val="00CD79D7"/>
    <w:rsid w:val="00CE0C20"/>
    <w:rsid w:val="00CE1200"/>
    <w:rsid w:val="00CE16B0"/>
    <w:rsid w:val="00CE1E84"/>
    <w:rsid w:val="00CE2223"/>
    <w:rsid w:val="00CE2386"/>
    <w:rsid w:val="00CE3DA7"/>
    <w:rsid w:val="00CE4267"/>
    <w:rsid w:val="00CE440D"/>
    <w:rsid w:val="00CE59B3"/>
    <w:rsid w:val="00CE614C"/>
    <w:rsid w:val="00CE678B"/>
    <w:rsid w:val="00CE7373"/>
    <w:rsid w:val="00CE76DB"/>
    <w:rsid w:val="00CF0B61"/>
    <w:rsid w:val="00CF102A"/>
    <w:rsid w:val="00CF4016"/>
    <w:rsid w:val="00CF4A3B"/>
    <w:rsid w:val="00CF4C3F"/>
    <w:rsid w:val="00CF5FD1"/>
    <w:rsid w:val="00CF69E0"/>
    <w:rsid w:val="00CF6FF0"/>
    <w:rsid w:val="00CF771E"/>
    <w:rsid w:val="00CF77BD"/>
    <w:rsid w:val="00CF7C80"/>
    <w:rsid w:val="00CF7FF2"/>
    <w:rsid w:val="00D00BB2"/>
    <w:rsid w:val="00D01943"/>
    <w:rsid w:val="00D02F2E"/>
    <w:rsid w:val="00D03127"/>
    <w:rsid w:val="00D041B9"/>
    <w:rsid w:val="00D04706"/>
    <w:rsid w:val="00D04D1B"/>
    <w:rsid w:val="00D04F73"/>
    <w:rsid w:val="00D0574F"/>
    <w:rsid w:val="00D05B81"/>
    <w:rsid w:val="00D065B6"/>
    <w:rsid w:val="00D06DFD"/>
    <w:rsid w:val="00D07191"/>
    <w:rsid w:val="00D076A8"/>
    <w:rsid w:val="00D07B01"/>
    <w:rsid w:val="00D07D21"/>
    <w:rsid w:val="00D106C6"/>
    <w:rsid w:val="00D10778"/>
    <w:rsid w:val="00D109AE"/>
    <w:rsid w:val="00D1117A"/>
    <w:rsid w:val="00D1147E"/>
    <w:rsid w:val="00D11AD4"/>
    <w:rsid w:val="00D12B6C"/>
    <w:rsid w:val="00D12D5B"/>
    <w:rsid w:val="00D12D75"/>
    <w:rsid w:val="00D14213"/>
    <w:rsid w:val="00D153E0"/>
    <w:rsid w:val="00D1584C"/>
    <w:rsid w:val="00D15A80"/>
    <w:rsid w:val="00D178AB"/>
    <w:rsid w:val="00D17EB2"/>
    <w:rsid w:val="00D17FC4"/>
    <w:rsid w:val="00D20985"/>
    <w:rsid w:val="00D20A93"/>
    <w:rsid w:val="00D21235"/>
    <w:rsid w:val="00D21734"/>
    <w:rsid w:val="00D21E62"/>
    <w:rsid w:val="00D21F30"/>
    <w:rsid w:val="00D22697"/>
    <w:rsid w:val="00D22CE9"/>
    <w:rsid w:val="00D23FCB"/>
    <w:rsid w:val="00D241BF"/>
    <w:rsid w:val="00D245C0"/>
    <w:rsid w:val="00D24EEE"/>
    <w:rsid w:val="00D26553"/>
    <w:rsid w:val="00D27D46"/>
    <w:rsid w:val="00D302AC"/>
    <w:rsid w:val="00D30AD8"/>
    <w:rsid w:val="00D30EA1"/>
    <w:rsid w:val="00D30F38"/>
    <w:rsid w:val="00D31E49"/>
    <w:rsid w:val="00D33124"/>
    <w:rsid w:val="00D3465E"/>
    <w:rsid w:val="00D34860"/>
    <w:rsid w:val="00D35577"/>
    <w:rsid w:val="00D35FC7"/>
    <w:rsid w:val="00D36137"/>
    <w:rsid w:val="00D362AF"/>
    <w:rsid w:val="00D37A1A"/>
    <w:rsid w:val="00D4128F"/>
    <w:rsid w:val="00D416D4"/>
    <w:rsid w:val="00D41F9D"/>
    <w:rsid w:val="00D4207F"/>
    <w:rsid w:val="00D4252F"/>
    <w:rsid w:val="00D42E58"/>
    <w:rsid w:val="00D43327"/>
    <w:rsid w:val="00D43C6D"/>
    <w:rsid w:val="00D44621"/>
    <w:rsid w:val="00D44777"/>
    <w:rsid w:val="00D4491F"/>
    <w:rsid w:val="00D44EAB"/>
    <w:rsid w:val="00D450C5"/>
    <w:rsid w:val="00D45500"/>
    <w:rsid w:val="00D45587"/>
    <w:rsid w:val="00D46008"/>
    <w:rsid w:val="00D4662C"/>
    <w:rsid w:val="00D46664"/>
    <w:rsid w:val="00D4706B"/>
    <w:rsid w:val="00D5019E"/>
    <w:rsid w:val="00D50293"/>
    <w:rsid w:val="00D51018"/>
    <w:rsid w:val="00D519F2"/>
    <w:rsid w:val="00D532A7"/>
    <w:rsid w:val="00D53EDD"/>
    <w:rsid w:val="00D54999"/>
    <w:rsid w:val="00D55464"/>
    <w:rsid w:val="00D56100"/>
    <w:rsid w:val="00D56740"/>
    <w:rsid w:val="00D56DA3"/>
    <w:rsid w:val="00D61793"/>
    <w:rsid w:val="00D6213F"/>
    <w:rsid w:val="00D62C47"/>
    <w:rsid w:val="00D63137"/>
    <w:rsid w:val="00D6481C"/>
    <w:rsid w:val="00D65312"/>
    <w:rsid w:val="00D65466"/>
    <w:rsid w:val="00D6555E"/>
    <w:rsid w:val="00D65C0D"/>
    <w:rsid w:val="00D65C56"/>
    <w:rsid w:val="00D65EC3"/>
    <w:rsid w:val="00D67351"/>
    <w:rsid w:val="00D67CE7"/>
    <w:rsid w:val="00D70D0A"/>
    <w:rsid w:val="00D71584"/>
    <w:rsid w:val="00D718D5"/>
    <w:rsid w:val="00D7381C"/>
    <w:rsid w:val="00D73FE5"/>
    <w:rsid w:val="00D747D7"/>
    <w:rsid w:val="00D74973"/>
    <w:rsid w:val="00D76436"/>
    <w:rsid w:val="00D766E8"/>
    <w:rsid w:val="00D766F1"/>
    <w:rsid w:val="00D77210"/>
    <w:rsid w:val="00D77783"/>
    <w:rsid w:val="00D77BE6"/>
    <w:rsid w:val="00D80A22"/>
    <w:rsid w:val="00D80CAB"/>
    <w:rsid w:val="00D8160C"/>
    <w:rsid w:val="00D817BC"/>
    <w:rsid w:val="00D81A41"/>
    <w:rsid w:val="00D81EBB"/>
    <w:rsid w:val="00D8210E"/>
    <w:rsid w:val="00D8230B"/>
    <w:rsid w:val="00D84F45"/>
    <w:rsid w:val="00D8509E"/>
    <w:rsid w:val="00D855A5"/>
    <w:rsid w:val="00D85E5B"/>
    <w:rsid w:val="00D92921"/>
    <w:rsid w:val="00D93C05"/>
    <w:rsid w:val="00D948C1"/>
    <w:rsid w:val="00D95294"/>
    <w:rsid w:val="00D9571A"/>
    <w:rsid w:val="00D96017"/>
    <w:rsid w:val="00D97533"/>
    <w:rsid w:val="00D97EFF"/>
    <w:rsid w:val="00DA04B8"/>
    <w:rsid w:val="00DA102C"/>
    <w:rsid w:val="00DA24D2"/>
    <w:rsid w:val="00DA31C8"/>
    <w:rsid w:val="00DA32C1"/>
    <w:rsid w:val="00DA3D07"/>
    <w:rsid w:val="00DA46AE"/>
    <w:rsid w:val="00DA541D"/>
    <w:rsid w:val="00DA57CD"/>
    <w:rsid w:val="00DA5842"/>
    <w:rsid w:val="00DA62B4"/>
    <w:rsid w:val="00DA79A1"/>
    <w:rsid w:val="00DA7A75"/>
    <w:rsid w:val="00DB073C"/>
    <w:rsid w:val="00DB0E07"/>
    <w:rsid w:val="00DB20BC"/>
    <w:rsid w:val="00DB259D"/>
    <w:rsid w:val="00DB31D8"/>
    <w:rsid w:val="00DB34EA"/>
    <w:rsid w:val="00DB39C6"/>
    <w:rsid w:val="00DB47FD"/>
    <w:rsid w:val="00DB5926"/>
    <w:rsid w:val="00DB5D9F"/>
    <w:rsid w:val="00DB61A0"/>
    <w:rsid w:val="00DB6568"/>
    <w:rsid w:val="00DB6BB3"/>
    <w:rsid w:val="00DB6DB9"/>
    <w:rsid w:val="00DB7295"/>
    <w:rsid w:val="00DC0B16"/>
    <w:rsid w:val="00DC1420"/>
    <w:rsid w:val="00DC160C"/>
    <w:rsid w:val="00DC19DE"/>
    <w:rsid w:val="00DC2A6C"/>
    <w:rsid w:val="00DC2BE9"/>
    <w:rsid w:val="00DC2DD9"/>
    <w:rsid w:val="00DC33DF"/>
    <w:rsid w:val="00DC34F5"/>
    <w:rsid w:val="00DC3B41"/>
    <w:rsid w:val="00DC46C0"/>
    <w:rsid w:val="00DC4B9F"/>
    <w:rsid w:val="00DC5046"/>
    <w:rsid w:val="00DC52B9"/>
    <w:rsid w:val="00DC5F29"/>
    <w:rsid w:val="00DC5F57"/>
    <w:rsid w:val="00DC6B9E"/>
    <w:rsid w:val="00DC6C19"/>
    <w:rsid w:val="00DC6F99"/>
    <w:rsid w:val="00DC7811"/>
    <w:rsid w:val="00DC7E42"/>
    <w:rsid w:val="00DD0AEF"/>
    <w:rsid w:val="00DD289D"/>
    <w:rsid w:val="00DD3495"/>
    <w:rsid w:val="00DD3DD9"/>
    <w:rsid w:val="00DD45F9"/>
    <w:rsid w:val="00DD4625"/>
    <w:rsid w:val="00DD5384"/>
    <w:rsid w:val="00DD5E3D"/>
    <w:rsid w:val="00DD72FE"/>
    <w:rsid w:val="00DD751B"/>
    <w:rsid w:val="00DD764C"/>
    <w:rsid w:val="00DE1199"/>
    <w:rsid w:val="00DE1593"/>
    <w:rsid w:val="00DE27F1"/>
    <w:rsid w:val="00DE354C"/>
    <w:rsid w:val="00DE36D8"/>
    <w:rsid w:val="00DE3D4F"/>
    <w:rsid w:val="00DE638B"/>
    <w:rsid w:val="00DE6838"/>
    <w:rsid w:val="00DE7070"/>
    <w:rsid w:val="00DE7808"/>
    <w:rsid w:val="00DE7A9D"/>
    <w:rsid w:val="00DF00CD"/>
    <w:rsid w:val="00DF0574"/>
    <w:rsid w:val="00DF165D"/>
    <w:rsid w:val="00DF1DCF"/>
    <w:rsid w:val="00DF26E8"/>
    <w:rsid w:val="00DF3050"/>
    <w:rsid w:val="00DF313F"/>
    <w:rsid w:val="00DF4780"/>
    <w:rsid w:val="00DF72CE"/>
    <w:rsid w:val="00DF7BF4"/>
    <w:rsid w:val="00E00111"/>
    <w:rsid w:val="00E019AA"/>
    <w:rsid w:val="00E01AA6"/>
    <w:rsid w:val="00E01AB0"/>
    <w:rsid w:val="00E01D27"/>
    <w:rsid w:val="00E01E9E"/>
    <w:rsid w:val="00E02453"/>
    <w:rsid w:val="00E02741"/>
    <w:rsid w:val="00E02E63"/>
    <w:rsid w:val="00E03489"/>
    <w:rsid w:val="00E040F9"/>
    <w:rsid w:val="00E04173"/>
    <w:rsid w:val="00E04630"/>
    <w:rsid w:val="00E04CA3"/>
    <w:rsid w:val="00E059D0"/>
    <w:rsid w:val="00E07591"/>
    <w:rsid w:val="00E10020"/>
    <w:rsid w:val="00E130A7"/>
    <w:rsid w:val="00E14197"/>
    <w:rsid w:val="00E14982"/>
    <w:rsid w:val="00E14B2E"/>
    <w:rsid w:val="00E14D89"/>
    <w:rsid w:val="00E16352"/>
    <w:rsid w:val="00E166B5"/>
    <w:rsid w:val="00E16D84"/>
    <w:rsid w:val="00E20315"/>
    <w:rsid w:val="00E2040C"/>
    <w:rsid w:val="00E2040D"/>
    <w:rsid w:val="00E210B9"/>
    <w:rsid w:val="00E21601"/>
    <w:rsid w:val="00E21675"/>
    <w:rsid w:val="00E23EAD"/>
    <w:rsid w:val="00E23F84"/>
    <w:rsid w:val="00E24029"/>
    <w:rsid w:val="00E25178"/>
    <w:rsid w:val="00E2560F"/>
    <w:rsid w:val="00E25734"/>
    <w:rsid w:val="00E25B54"/>
    <w:rsid w:val="00E2600E"/>
    <w:rsid w:val="00E264DE"/>
    <w:rsid w:val="00E26B52"/>
    <w:rsid w:val="00E26D0D"/>
    <w:rsid w:val="00E27022"/>
    <w:rsid w:val="00E27E2E"/>
    <w:rsid w:val="00E3051F"/>
    <w:rsid w:val="00E30EBF"/>
    <w:rsid w:val="00E31226"/>
    <w:rsid w:val="00E3137E"/>
    <w:rsid w:val="00E31871"/>
    <w:rsid w:val="00E319B6"/>
    <w:rsid w:val="00E3314C"/>
    <w:rsid w:val="00E331A9"/>
    <w:rsid w:val="00E3442D"/>
    <w:rsid w:val="00E346CF"/>
    <w:rsid w:val="00E34F3D"/>
    <w:rsid w:val="00E35E28"/>
    <w:rsid w:val="00E35F13"/>
    <w:rsid w:val="00E3627C"/>
    <w:rsid w:val="00E362BE"/>
    <w:rsid w:val="00E365F8"/>
    <w:rsid w:val="00E37E6C"/>
    <w:rsid w:val="00E40CE9"/>
    <w:rsid w:val="00E41A6F"/>
    <w:rsid w:val="00E41B90"/>
    <w:rsid w:val="00E42E24"/>
    <w:rsid w:val="00E45307"/>
    <w:rsid w:val="00E45737"/>
    <w:rsid w:val="00E459F2"/>
    <w:rsid w:val="00E467F4"/>
    <w:rsid w:val="00E4683C"/>
    <w:rsid w:val="00E46EB9"/>
    <w:rsid w:val="00E47049"/>
    <w:rsid w:val="00E470A2"/>
    <w:rsid w:val="00E470FC"/>
    <w:rsid w:val="00E47A1B"/>
    <w:rsid w:val="00E5112B"/>
    <w:rsid w:val="00E5157D"/>
    <w:rsid w:val="00E5159D"/>
    <w:rsid w:val="00E5178D"/>
    <w:rsid w:val="00E51BC6"/>
    <w:rsid w:val="00E521BB"/>
    <w:rsid w:val="00E5286A"/>
    <w:rsid w:val="00E52A33"/>
    <w:rsid w:val="00E53015"/>
    <w:rsid w:val="00E53577"/>
    <w:rsid w:val="00E53707"/>
    <w:rsid w:val="00E54A1F"/>
    <w:rsid w:val="00E55FCA"/>
    <w:rsid w:val="00E56221"/>
    <w:rsid w:val="00E575CA"/>
    <w:rsid w:val="00E57794"/>
    <w:rsid w:val="00E60F40"/>
    <w:rsid w:val="00E61986"/>
    <w:rsid w:val="00E61E88"/>
    <w:rsid w:val="00E628F0"/>
    <w:rsid w:val="00E6346A"/>
    <w:rsid w:val="00E63C67"/>
    <w:rsid w:val="00E646BD"/>
    <w:rsid w:val="00E6508C"/>
    <w:rsid w:val="00E65504"/>
    <w:rsid w:val="00E65686"/>
    <w:rsid w:val="00E66CF8"/>
    <w:rsid w:val="00E728C2"/>
    <w:rsid w:val="00E72A66"/>
    <w:rsid w:val="00E7366D"/>
    <w:rsid w:val="00E73803"/>
    <w:rsid w:val="00E73E08"/>
    <w:rsid w:val="00E74675"/>
    <w:rsid w:val="00E801D1"/>
    <w:rsid w:val="00E8044F"/>
    <w:rsid w:val="00E80D3B"/>
    <w:rsid w:val="00E80E83"/>
    <w:rsid w:val="00E80F20"/>
    <w:rsid w:val="00E82357"/>
    <w:rsid w:val="00E82C5D"/>
    <w:rsid w:val="00E8371D"/>
    <w:rsid w:val="00E84361"/>
    <w:rsid w:val="00E851A3"/>
    <w:rsid w:val="00E85CB2"/>
    <w:rsid w:val="00E87AEF"/>
    <w:rsid w:val="00E87B63"/>
    <w:rsid w:val="00E907AF"/>
    <w:rsid w:val="00E91F47"/>
    <w:rsid w:val="00E92A40"/>
    <w:rsid w:val="00E9321C"/>
    <w:rsid w:val="00E9384C"/>
    <w:rsid w:val="00E93B67"/>
    <w:rsid w:val="00E93C32"/>
    <w:rsid w:val="00E93C99"/>
    <w:rsid w:val="00E94242"/>
    <w:rsid w:val="00E94287"/>
    <w:rsid w:val="00E94F3A"/>
    <w:rsid w:val="00E95E17"/>
    <w:rsid w:val="00E963FD"/>
    <w:rsid w:val="00E97C35"/>
    <w:rsid w:val="00E97D6F"/>
    <w:rsid w:val="00E97E5B"/>
    <w:rsid w:val="00EA0489"/>
    <w:rsid w:val="00EA0544"/>
    <w:rsid w:val="00EA06E1"/>
    <w:rsid w:val="00EA0AE5"/>
    <w:rsid w:val="00EA0E77"/>
    <w:rsid w:val="00EA1024"/>
    <w:rsid w:val="00EA147B"/>
    <w:rsid w:val="00EA1777"/>
    <w:rsid w:val="00EA19A1"/>
    <w:rsid w:val="00EA242F"/>
    <w:rsid w:val="00EA29DA"/>
    <w:rsid w:val="00EA2B37"/>
    <w:rsid w:val="00EA32A9"/>
    <w:rsid w:val="00EA3303"/>
    <w:rsid w:val="00EA3C4F"/>
    <w:rsid w:val="00EA44E9"/>
    <w:rsid w:val="00EA4CE0"/>
    <w:rsid w:val="00EA529D"/>
    <w:rsid w:val="00EA543E"/>
    <w:rsid w:val="00EA60CE"/>
    <w:rsid w:val="00EA6345"/>
    <w:rsid w:val="00EA6379"/>
    <w:rsid w:val="00EA6A39"/>
    <w:rsid w:val="00EA6D98"/>
    <w:rsid w:val="00EA7554"/>
    <w:rsid w:val="00EA7776"/>
    <w:rsid w:val="00EB060A"/>
    <w:rsid w:val="00EB0741"/>
    <w:rsid w:val="00EB127E"/>
    <w:rsid w:val="00EB1E20"/>
    <w:rsid w:val="00EB2D22"/>
    <w:rsid w:val="00EB309B"/>
    <w:rsid w:val="00EB3471"/>
    <w:rsid w:val="00EB4058"/>
    <w:rsid w:val="00EB4EB1"/>
    <w:rsid w:val="00EB4EE1"/>
    <w:rsid w:val="00EB5075"/>
    <w:rsid w:val="00EB5EF8"/>
    <w:rsid w:val="00EB65C7"/>
    <w:rsid w:val="00EB7174"/>
    <w:rsid w:val="00EB780D"/>
    <w:rsid w:val="00EB7D5A"/>
    <w:rsid w:val="00EC07E9"/>
    <w:rsid w:val="00EC0F76"/>
    <w:rsid w:val="00EC1EB0"/>
    <w:rsid w:val="00EC2423"/>
    <w:rsid w:val="00EC2473"/>
    <w:rsid w:val="00EC2783"/>
    <w:rsid w:val="00EC3846"/>
    <w:rsid w:val="00EC384D"/>
    <w:rsid w:val="00EC3F28"/>
    <w:rsid w:val="00EC4ECB"/>
    <w:rsid w:val="00EC6335"/>
    <w:rsid w:val="00EC63EC"/>
    <w:rsid w:val="00EC6562"/>
    <w:rsid w:val="00EC6BDB"/>
    <w:rsid w:val="00EC6E3F"/>
    <w:rsid w:val="00EC707C"/>
    <w:rsid w:val="00ED028F"/>
    <w:rsid w:val="00ED0433"/>
    <w:rsid w:val="00ED0944"/>
    <w:rsid w:val="00ED0C09"/>
    <w:rsid w:val="00ED1125"/>
    <w:rsid w:val="00ED124C"/>
    <w:rsid w:val="00ED14DB"/>
    <w:rsid w:val="00ED21E5"/>
    <w:rsid w:val="00ED2440"/>
    <w:rsid w:val="00ED2968"/>
    <w:rsid w:val="00ED45D0"/>
    <w:rsid w:val="00ED5061"/>
    <w:rsid w:val="00ED5854"/>
    <w:rsid w:val="00ED5BC2"/>
    <w:rsid w:val="00ED75D1"/>
    <w:rsid w:val="00EE0551"/>
    <w:rsid w:val="00EE10A2"/>
    <w:rsid w:val="00EE2B05"/>
    <w:rsid w:val="00EE2BEC"/>
    <w:rsid w:val="00EE3027"/>
    <w:rsid w:val="00EE5221"/>
    <w:rsid w:val="00EE5B7F"/>
    <w:rsid w:val="00EE5D17"/>
    <w:rsid w:val="00EE670F"/>
    <w:rsid w:val="00EE7B82"/>
    <w:rsid w:val="00EF01B0"/>
    <w:rsid w:val="00EF06EE"/>
    <w:rsid w:val="00EF095A"/>
    <w:rsid w:val="00EF1264"/>
    <w:rsid w:val="00EF1B9B"/>
    <w:rsid w:val="00EF1CE2"/>
    <w:rsid w:val="00EF22BD"/>
    <w:rsid w:val="00EF2BE9"/>
    <w:rsid w:val="00EF3478"/>
    <w:rsid w:val="00EF34EE"/>
    <w:rsid w:val="00EF3B11"/>
    <w:rsid w:val="00EF45CE"/>
    <w:rsid w:val="00EF4C01"/>
    <w:rsid w:val="00EF4C44"/>
    <w:rsid w:val="00EF552E"/>
    <w:rsid w:val="00EF5806"/>
    <w:rsid w:val="00EF58A6"/>
    <w:rsid w:val="00EF636A"/>
    <w:rsid w:val="00EF750B"/>
    <w:rsid w:val="00EF7B6D"/>
    <w:rsid w:val="00EF7F63"/>
    <w:rsid w:val="00F00553"/>
    <w:rsid w:val="00F006B3"/>
    <w:rsid w:val="00F0095F"/>
    <w:rsid w:val="00F00FFF"/>
    <w:rsid w:val="00F0160E"/>
    <w:rsid w:val="00F02B17"/>
    <w:rsid w:val="00F03881"/>
    <w:rsid w:val="00F03E62"/>
    <w:rsid w:val="00F05913"/>
    <w:rsid w:val="00F0625A"/>
    <w:rsid w:val="00F067A5"/>
    <w:rsid w:val="00F06930"/>
    <w:rsid w:val="00F06E66"/>
    <w:rsid w:val="00F07CC2"/>
    <w:rsid w:val="00F07E1A"/>
    <w:rsid w:val="00F07E6E"/>
    <w:rsid w:val="00F07FEA"/>
    <w:rsid w:val="00F101A4"/>
    <w:rsid w:val="00F10E2D"/>
    <w:rsid w:val="00F12DB9"/>
    <w:rsid w:val="00F141C5"/>
    <w:rsid w:val="00F147D0"/>
    <w:rsid w:val="00F14C1B"/>
    <w:rsid w:val="00F175D0"/>
    <w:rsid w:val="00F20151"/>
    <w:rsid w:val="00F2093C"/>
    <w:rsid w:val="00F21959"/>
    <w:rsid w:val="00F21EBC"/>
    <w:rsid w:val="00F22B1F"/>
    <w:rsid w:val="00F22E37"/>
    <w:rsid w:val="00F2308E"/>
    <w:rsid w:val="00F2402A"/>
    <w:rsid w:val="00F2473E"/>
    <w:rsid w:val="00F256C7"/>
    <w:rsid w:val="00F260F4"/>
    <w:rsid w:val="00F26703"/>
    <w:rsid w:val="00F26952"/>
    <w:rsid w:val="00F2794C"/>
    <w:rsid w:val="00F30BD0"/>
    <w:rsid w:val="00F316C6"/>
    <w:rsid w:val="00F32938"/>
    <w:rsid w:val="00F329EA"/>
    <w:rsid w:val="00F32CBB"/>
    <w:rsid w:val="00F338B8"/>
    <w:rsid w:val="00F344FE"/>
    <w:rsid w:val="00F34928"/>
    <w:rsid w:val="00F35769"/>
    <w:rsid w:val="00F3583E"/>
    <w:rsid w:val="00F35F1D"/>
    <w:rsid w:val="00F36E04"/>
    <w:rsid w:val="00F36FEE"/>
    <w:rsid w:val="00F4027D"/>
    <w:rsid w:val="00F40513"/>
    <w:rsid w:val="00F43193"/>
    <w:rsid w:val="00F43FF9"/>
    <w:rsid w:val="00F44104"/>
    <w:rsid w:val="00F44AF4"/>
    <w:rsid w:val="00F45FB1"/>
    <w:rsid w:val="00F462D7"/>
    <w:rsid w:val="00F463FF"/>
    <w:rsid w:val="00F4648F"/>
    <w:rsid w:val="00F46E41"/>
    <w:rsid w:val="00F47118"/>
    <w:rsid w:val="00F47847"/>
    <w:rsid w:val="00F47ADE"/>
    <w:rsid w:val="00F5112B"/>
    <w:rsid w:val="00F52651"/>
    <w:rsid w:val="00F5281D"/>
    <w:rsid w:val="00F5289C"/>
    <w:rsid w:val="00F5375B"/>
    <w:rsid w:val="00F53BDD"/>
    <w:rsid w:val="00F5495C"/>
    <w:rsid w:val="00F5515C"/>
    <w:rsid w:val="00F560DB"/>
    <w:rsid w:val="00F561CC"/>
    <w:rsid w:val="00F57696"/>
    <w:rsid w:val="00F57767"/>
    <w:rsid w:val="00F5783A"/>
    <w:rsid w:val="00F60DD1"/>
    <w:rsid w:val="00F620EC"/>
    <w:rsid w:val="00F6295E"/>
    <w:rsid w:val="00F636AE"/>
    <w:rsid w:val="00F63B80"/>
    <w:rsid w:val="00F6411B"/>
    <w:rsid w:val="00F641B7"/>
    <w:rsid w:val="00F65953"/>
    <w:rsid w:val="00F65B63"/>
    <w:rsid w:val="00F661A6"/>
    <w:rsid w:val="00F66A02"/>
    <w:rsid w:val="00F676F7"/>
    <w:rsid w:val="00F677E8"/>
    <w:rsid w:val="00F67C39"/>
    <w:rsid w:val="00F702ED"/>
    <w:rsid w:val="00F70544"/>
    <w:rsid w:val="00F70FA9"/>
    <w:rsid w:val="00F7182D"/>
    <w:rsid w:val="00F71DB9"/>
    <w:rsid w:val="00F72922"/>
    <w:rsid w:val="00F739A7"/>
    <w:rsid w:val="00F74638"/>
    <w:rsid w:val="00F751F3"/>
    <w:rsid w:val="00F75AB1"/>
    <w:rsid w:val="00F75B84"/>
    <w:rsid w:val="00F76587"/>
    <w:rsid w:val="00F76A71"/>
    <w:rsid w:val="00F76D0B"/>
    <w:rsid w:val="00F77249"/>
    <w:rsid w:val="00F77474"/>
    <w:rsid w:val="00F77910"/>
    <w:rsid w:val="00F800E2"/>
    <w:rsid w:val="00F804AA"/>
    <w:rsid w:val="00F80AA3"/>
    <w:rsid w:val="00F812F4"/>
    <w:rsid w:val="00F81C9C"/>
    <w:rsid w:val="00F82116"/>
    <w:rsid w:val="00F8243F"/>
    <w:rsid w:val="00F83421"/>
    <w:rsid w:val="00F84059"/>
    <w:rsid w:val="00F8442D"/>
    <w:rsid w:val="00F84DC4"/>
    <w:rsid w:val="00F85867"/>
    <w:rsid w:val="00F86A4F"/>
    <w:rsid w:val="00F878A2"/>
    <w:rsid w:val="00F87AE1"/>
    <w:rsid w:val="00F904BD"/>
    <w:rsid w:val="00F90BF2"/>
    <w:rsid w:val="00F91A00"/>
    <w:rsid w:val="00F9323D"/>
    <w:rsid w:val="00F932AA"/>
    <w:rsid w:val="00F933C4"/>
    <w:rsid w:val="00F9446B"/>
    <w:rsid w:val="00F94474"/>
    <w:rsid w:val="00F945F6"/>
    <w:rsid w:val="00F957F2"/>
    <w:rsid w:val="00F95C88"/>
    <w:rsid w:val="00F9613B"/>
    <w:rsid w:val="00F96903"/>
    <w:rsid w:val="00F969C3"/>
    <w:rsid w:val="00F971CA"/>
    <w:rsid w:val="00F973FC"/>
    <w:rsid w:val="00F97A51"/>
    <w:rsid w:val="00FA012B"/>
    <w:rsid w:val="00FA0563"/>
    <w:rsid w:val="00FA069E"/>
    <w:rsid w:val="00FA0DDF"/>
    <w:rsid w:val="00FA22E3"/>
    <w:rsid w:val="00FA231E"/>
    <w:rsid w:val="00FA25D5"/>
    <w:rsid w:val="00FA2D9B"/>
    <w:rsid w:val="00FA31DC"/>
    <w:rsid w:val="00FA34A6"/>
    <w:rsid w:val="00FA383E"/>
    <w:rsid w:val="00FA44A2"/>
    <w:rsid w:val="00FA5336"/>
    <w:rsid w:val="00FB0588"/>
    <w:rsid w:val="00FB1048"/>
    <w:rsid w:val="00FB1346"/>
    <w:rsid w:val="00FB1B57"/>
    <w:rsid w:val="00FB1D32"/>
    <w:rsid w:val="00FB2AD5"/>
    <w:rsid w:val="00FB34CA"/>
    <w:rsid w:val="00FB42DF"/>
    <w:rsid w:val="00FB4E8E"/>
    <w:rsid w:val="00FB6D2E"/>
    <w:rsid w:val="00FB7631"/>
    <w:rsid w:val="00FB780F"/>
    <w:rsid w:val="00FB7AE6"/>
    <w:rsid w:val="00FB7C64"/>
    <w:rsid w:val="00FC03E5"/>
    <w:rsid w:val="00FC044D"/>
    <w:rsid w:val="00FC0E26"/>
    <w:rsid w:val="00FC1612"/>
    <w:rsid w:val="00FC2945"/>
    <w:rsid w:val="00FC4D6E"/>
    <w:rsid w:val="00FC4F3F"/>
    <w:rsid w:val="00FC5AC8"/>
    <w:rsid w:val="00FC69FF"/>
    <w:rsid w:val="00FD11D9"/>
    <w:rsid w:val="00FD1367"/>
    <w:rsid w:val="00FD186E"/>
    <w:rsid w:val="00FD2796"/>
    <w:rsid w:val="00FD314B"/>
    <w:rsid w:val="00FD326C"/>
    <w:rsid w:val="00FD3443"/>
    <w:rsid w:val="00FD3E46"/>
    <w:rsid w:val="00FD51CC"/>
    <w:rsid w:val="00FD6BE7"/>
    <w:rsid w:val="00FD7385"/>
    <w:rsid w:val="00FD76F4"/>
    <w:rsid w:val="00FE009C"/>
    <w:rsid w:val="00FE05A3"/>
    <w:rsid w:val="00FE0C3E"/>
    <w:rsid w:val="00FE0D57"/>
    <w:rsid w:val="00FE0D6D"/>
    <w:rsid w:val="00FE1E43"/>
    <w:rsid w:val="00FE1FAC"/>
    <w:rsid w:val="00FE238F"/>
    <w:rsid w:val="00FE2519"/>
    <w:rsid w:val="00FE293F"/>
    <w:rsid w:val="00FE42F0"/>
    <w:rsid w:val="00FE4806"/>
    <w:rsid w:val="00FE4EB6"/>
    <w:rsid w:val="00FE65FA"/>
    <w:rsid w:val="00FE6787"/>
    <w:rsid w:val="00FE6DBF"/>
    <w:rsid w:val="00FE6EDB"/>
    <w:rsid w:val="00FE6F32"/>
    <w:rsid w:val="00FF0A0D"/>
    <w:rsid w:val="00FF22F3"/>
    <w:rsid w:val="00FF300B"/>
    <w:rsid w:val="00FF34C0"/>
    <w:rsid w:val="00FF3F7E"/>
    <w:rsid w:val="00FF4869"/>
    <w:rsid w:val="00FF65F3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40CE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CE9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6E1B98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6E1B98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1017C3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HChar">
    <w:name w:val="TAH Char"/>
    <w:link w:val="TAH"/>
    <w:qFormat/>
    <w:rsid w:val="001017C3"/>
    <w:rPr>
      <w:rFonts w:ascii="Arial" w:eastAsiaTheme="minorEastAsia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A85F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FB9"/>
    <w:rPr>
      <w:color w:val="605E5C"/>
      <w:shd w:val="clear" w:color="auto" w:fill="E1DFDD"/>
    </w:rPr>
  </w:style>
  <w:style w:type="character" w:customStyle="1" w:styleId="B1Char1">
    <w:name w:val="B1 Char1"/>
    <w:qFormat/>
    <w:rsid w:val="00D466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0796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qFormat/>
    <w:rsid w:val="00225657"/>
    <w:pPr>
      <w:numPr>
        <w:numId w:val="3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A3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D07"/>
  </w:style>
  <w:style w:type="character" w:customStyle="1" w:styleId="CommentTextChar">
    <w:name w:val="Comment Text Char"/>
    <w:basedOn w:val="DefaultParagraphFont"/>
    <w:link w:val="CommentText"/>
    <w:uiPriority w:val="99"/>
    <w:rsid w:val="00DA3D07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D07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9</cp:revision>
  <dcterms:created xsi:type="dcterms:W3CDTF">2024-04-06T03:15:00Z</dcterms:created>
  <dcterms:modified xsi:type="dcterms:W3CDTF">2024-04-07T14:50:00Z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128258571</vt:i4>
  </property>
  <property fmtid="{D5CDD505-2E9C-101B-9397-08002B2CF9AE}" pid="3" name="_NewReviewCycle">
    <vt:lpwstr/>
  </property>
  <property fmtid="{D5CDD505-2E9C-101B-9397-08002B2CF9AE}" pid="4" name="_EmailSubject">
    <vt:lpwstr>RAN3 LTM contribution paper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</Properties>
</file>