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0E698BAD" w:rsidR="003A39E5" w:rsidRPr="007D3E81" w:rsidRDefault="003A39E5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20A83">
        <w:rPr>
          <w:rFonts w:cs="Arial"/>
          <w:b/>
          <w:bCs/>
          <w:sz w:val="24"/>
          <w:szCs w:val="24"/>
        </w:rPr>
        <w:t>20</w:t>
      </w:r>
      <w:r w:rsidRPr="007D3E81">
        <w:rPr>
          <w:rFonts w:cs="Arial"/>
          <w:b/>
          <w:sz w:val="24"/>
          <w:szCs w:val="24"/>
        </w:rPr>
        <w:tab/>
      </w:r>
      <w:r w:rsidR="00923C46" w:rsidRPr="00923C46">
        <w:rPr>
          <w:b/>
          <w:bCs/>
          <w:noProof/>
          <w:sz w:val="24"/>
          <w:szCs w:val="24"/>
        </w:rPr>
        <w:t>R3-232744</w:t>
      </w:r>
    </w:p>
    <w:p w14:paraId="589BEEE2" w14:textId="03467578" w:rsidR="003A39E5" w:rsidRDefault="00120A83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8"/>
          <w:lang w:eastAsia="x-none"/>
        </w:rPr>
        <w:t>Incheon, Korea</w:t>
      </w:r>
      <w:r w:rsidR="00707A8C" w:rsidRPr="005E20F2">
        <w:rPr>
          <w:rFonts w:cs="Arial"/>
          <w:b/>
          <w:bCs/>
          <w:sz w:val="24"/>
          <w:szCs w:val="28"/>
          <w:lang w:eastAsia="x-none"/>
        </w:rPr>
        <w:t xml:space="preserve">, </w:t>
      </w:r>
      <w:r w:rsidRPr="00120A83">
        <w:rPr>
          <w:rFonts w:cs="Arial" w:hint="eastAsia"/>
          <w:b/>
          <w:bCs/>
          <w:sz w:val="24"/>
          <w:szCs w:val="28"/>
          <w:lang w:val="en-US" w:eastAsia="x-none"/>
        </w:rPr>
        <w:t>May</w:t>
      </w:r>
      <w:r w:rsidRPr="00120A83">
        <w:rPr>
          <w:rFonts w:cs="Arial"/>
          <w:b/>
          <w:bCs/>
          <w:sz w:val="24"/>
          <w:szCs w:val="28"/>
          <w:lang w:val="en-US" w:eastAsia="x-none"/>
        </w:rPr>
        <w:t xml:space="preserve"> </w:t>
      </w:r>
      <w:r w:rsidRPr="00120A83">
        <w:rPr>
          <w:rFonts w:cs="Arial" w:hint="eastAsia"/>
          <w:b/>
          <w:bCs/>
          <w:sz w:val="24"/>
          <w:szCs w:val="28"/>
          <w:lang w:val="en-US" w:eastAsia="x-none"/>
        </w:rPr>
        <w:t>22</w:t>
      </w:r>
      <w:r w:rsidRPr="00120A83">
        <w:rPr>
          <w:rFonts w:cs="Arial"/>
          <w:b/>
          <w:bCs/>
          <w:sz w:val="24"/>
          <w:szCs w:val="28"/>
          <w:lang w:val="en-US" w:eastAsia="x-none"/>
        </w:rPr>
        <w:t xml:space="preserve"> – </w:t>
      </w:r>
      <w:r w:rsidRPr="00120A83">
        <w:rPr>
          <w:rFonts w:cs="Arial" w:hint="eastAsia"/>
          <w:b/>
          <w:bCs/>
          <w:sz w:val="24"/>
          <w:szCs w:val="28"/>
          <w:lang w:val="en-US" w:eastAsia="x-none"/>
        </w:rPr>
        <w:t>26,</w:t>
      </w:r>
      <w:r w:rsidRPr="00120A83">
        <w:rPr>
          <w:rFonts w:cs="Arial"/>
          <w:b/>
          <w:bCs/>
          <w:sz w:val="24"/>
          <w:szCs w:val="28"/>
          <w:lang w:val="en-US" w:eastAsia="x-none"/>
        </w:rPr>
        <w:t xml:space="preserve"> </w:t>
      </w:r>
      <w:r w:rsidRPr="00120A83">
        <w:rPr>
          <w:rFonts w:cs="Arial" w:hint="eastAsia"/>
          <w:b/>
          <w:bCs/>
          <w:sz w:val="24"/>
          <w:szCs w:val="28"/>
          <w:lang w:val="en-US" w:eastAsia="x-none"/>
        </w:rPr>
        <w:t>2023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407BE09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proofErr w:type="spellStart"/>
      <w:r w:rsidR="00E71070">
        <w:rPr>
          <w:rFonts w:ascii="Arial" w:hAnsi="Arial"/>
          <w:sz w:val="24"/>
        </w:rPr>
        <w:t>gNB</w:t>
      </w:r>
      <w:proofErr w:type="spellEnd"/>
      <w:r w:rsidR="00E71070">
        <w:rPr>
          <w:rFonts w:ascii="Arial" w:hAnsi="Arial"/>
          <w:sz w:val="24"/>
        </w:rPr>
        <w:t xml:space="preserve">-DU initiated </w:t>
      </w:r>
      <w:r w:rsidR="009967C5">
        <w:rPr>
          <w:rFonts w:ascii="Arial" w:hAnsi="Arial"/>
          <w:sz w:val="24"/>
        </w:rPr>
        <w:t xml:space="preserve">target cell </w:t>
      </w:r>
      <w:r w:rsidR="00E71070">
        <w:rPr>
          <w:rFonts w:ascii="Arial" w:hAnsi="Arial"/>
          <w:sz w:val="24"/>
        </w:rPr>
        <w:t xml:space="preserve">re-configuration for </w:t>
      </w:r>
      <w:r w:rsidR="008D2312">
        <w:rPr>
          <w:rFonts w:ascii="Arial" w:hAnsi="Arial"/>
          <w:sz w:val="24"/>
        </w:rPr>
        <w:t>LTM</w:t>
      </w:r>
    </w:p>
    <w:p w14:paraId="7D9E5EE0" w14:textId="589C8A76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 Symphony Inc.</w:t>
      </w:r>
    </w:p>
    <w:p w14:paraId="3FAABCD3" w14:textId="419C9A23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14.</w:t>
      </w:r>
      <w:r w:rsidR="004E2FCD">
        <w:rPr>
          <w:rFonts w:ascii="Arial" w:hAnsi="Arial"/>
          <w:sz w:val="24"/>
        </w:rPr>
        <w:t>2</w:t>
      </w:r>
    </w:p>
    <w:p w14:paraId="141AB176" w14:textId="6C21256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Approval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13EAD9DA" w14:textId="31A5B431" w:rsidR="00894F57" w:rsidRPr="00894F57" w:rsidRDefault="004E2FCD" w:rsidP="00082C90">
      <w:pPr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>RAN3-11</w:t>
      </w:r>
      <w:r w:rsidR="008D2312">
        <w:rPr>
          <w:rFonts w:eastAsiaTheme="minorEastAsia"/>
          <w:lang w:eastAsia="zh-CN"/>
        </w:rPr>
        <w:t>9-bis-e</w:t>
      </w:r>
      <w:r>
        <w:rPr>
          <w:rFonts w:eastAsiaTheme="minorEastAsia"/>
          <w:lang w:eastAsia="zh-CN"/>
        </w:rPr>
        <w:t xml:space="preserve"> </w:t>
      </w:r>
      <w:r w:rsidR="008D2312">
        <w:rPr>
          <w:rFonts w:eastAsiaTheme="minorEastAsia"/>
          <w:lang w:eastAsia="zh-CN"/>
        </w:rPr>
        <w:t xml:space="preserve">made the following </w:t>
      </w:r>
      <w:proofErr w:type="gramStart"/>
      <w:r w:rsidR="008D2312">
        <w:rPr>
          <w:rFonts w:eastAsiaTheme="minorEastAsia"/>
          <w:lang w:eastAsia="zh-CN"/>
        </w:rPr>
        <w:t>agreements</w:t>
      </w:r>
      <w:proofErr w:type="gramEnd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71070" w14:paraId="1AD9B849" w14:textId="77777777" w:rsidTr="008676E6">
        <w:tc>
          <w:tcPr>
            <w:tcW w:w="9636" w:type="dxa"/>
          </w:tcPr>
          <w:p w14:paraId="08A6756E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0000"/>
                <w:sz w:val="22"/>
                <w:szCs w:val="22"/>
                <w:u w:val="single"/>
                <w:lang w:eastAsia="en-GB"/>
                <w:eastAsianLayout w:id="-1252826612"/>
              </w:rPr>
              <w:t>2</w:t>
            </w:r>
            <w:r w:rsidRPr="008D2312">
              <w:rPr>
                <w:rFonts w:cs="+mj-cs"/>
                <w:b/>
                <w:bCs/>
                <w:color w:val="000000"/>
                <w:sz w:val="22"/>
                <w:szCs w:val="22"/>
                <w:u w:val="single"/>
                <w:lang w:eastAsia="en-GB"/>
                <w:eastAsianLayout w:id="-1252826611"/>
              </w:rPr>
              <w:t>. Candidate cell modify and release:</w:t>
            </w:r>
          </w:p>
          <w:p w14:paraId="74F3AB57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  <w:eastAsianLayout w:id="-1252826610"/>
              </w:rPr>
              <w:t>Agreements:</w:t>
            </w:r>
          </w:p>
          <w:p w14:paraId="43012A26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09"/>
              </w:rPr>
              <w:t xml:space="preserve">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08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4"/>
              </w:rPr>
              <w:t xml:space="preserve">-CU may modify or release L1/2 Triggered Mobility (LTM) candidate cells in 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3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2"/>
              </w:rPr>
              <w:t>-DU.</w:t>
            </w:r>
          </w:p>
          <w:p w14:paraId="1EBAC09C" w14:textId="77777777" w:rsidR="008D2312" w:rsidRPr="008D2312" w:rsidRDefault="008D2312" w:rsidP="008D2312">
            <w:pPr>
              <w:overflowPunct w:val="0"/>
              <w:spacing w:after="120"/>
              <w:jc w:val="both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1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0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9"/>
              </w:rPr>
              <w:t>-DU may cancel already configured L1/2 Triggered Mobility (LTM) candidate cells and notify to the CU.</w:t>
            </w:r>
          </w:p>
          <w:p w14:paraId="7D7BDB1D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  <w:eastAsianLayout w:id="-1252826618"/>
              </w:rPr>
              <w:t>Agreements:</w:t>
            </w:r>
          </w:p>
          <w:p w14:paraId="1391DB74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7"/>
              </w:rPr>
              <w:t xml:space="preserve">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6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5"/>
              </w:rPr>
              <w:t xml:space="preserve">-CU may use the UE Context Modification procedure to modify or release the prepared resources of candidate cells in 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4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3"/>
              </w:rPr>
              <w:t xml:space="preserve">-DU and use the UE Context Release procedure to release the UE context in 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2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1"/>
              </w:rPr>
              <w:t>-DU</w:t>
            </w: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10"/>
              </w:rPr>
              <w:t>.</w:t>
            </w:r>
          </w:p>
          <w:p w14:paraId="5D9CA49D" w14:textId="77777777" w:rsidR="008D2312" w:rsidRPr="008D2312" w:rsidRDefault="008D2312" w:rsidP="008D2312">
            <w:pPr>
              <w:overflowPunct w:val="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ascii="Arial" w:hAnsi="Arial" w:cs="+mj-cs"/>
                <w:b/>
                <w:bCs/>
                <w:color w:val="008000"/>
                <w:sz w:val="22"/>
                <w:szCs w:val="22"/>
                <w:u w:val="single"/>
                <w:lang w:eastAsia="en-GB"/>
                <w:eastAsianLayout w:id="-1252826609"/>
              </w:rPr>
              <w:t>Agreements:</w:t>
            </w:r>
          </w:p>
          <w:p w14:paraId="5D641312" w14:textId="77777777" w:rsidR="008D2312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08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4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3"/>
              </w:rPr>
              <w:t xml:space="preserve">-DU may use the UE Context Modification Required message to release the candidate cells, and the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2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lang w:eastAsia="en-GB"/>
                <w:eastAsianLayout w:id="-1252826621"/>
              </w:rPr>
              <w:t>-CU shall not reject.</w:t>
            </w:r>
          </w:p>
          <w:p w14:paraId="688A4082" w14:textId="759DF4FE" w:rsidR="00E71070" w:rsidRPr="008D2312" w:rsidRDefault="008D2312" w:rsidP="008D2312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  <w:eastAsianLayout w:id="-1252826620"/>
              </w:rPr>
              <w:t xml:space="preserve">The (candidate) </w:t>
            </w:r>
            <w:proofErr w:type="spellStart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  <w:eastAsianLayout w:id="-1252826619"/>
              </w:rPr>
              <w:t>gNB</w:t>
            </w:r>
            <w:proofErr w:type="spellEnd"/>
            <w:r w:rsidRPr="008D2312">
              <w:rPr>
                <w:rFonts w:cs="+mj-cs"/>
                <w:b/>
                <w:bCs/>
                <w:color w:val="008000"/>
                <w:sz w:val="22"/>
                <w:szCs w:val="22"/>
                <w:highlight w:val="yellow"/>
                <w:lang w:eastAsia="en-GB"/>
                <w:eastAsianLayout w:id="-1252826618"/>
              </w:rPr>
              <w:t>-DU may use the UE Context Modification Required procedure to request to cancel the prepared resources of a subset of candidate cells in it and use the UE Context Release Request procedure to request to release all candidate cells in it.</w:t>
            </w:r>
          </w:p>
        </w:tc>
      </w:tr>
    </w:tbl>
    <w:p w14:paraId="2D7F8211" w14:textId="77777777" w:rsidR="00E71070" w:rsidRDefault="00E71070" w:rsidP="00E71070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0E944B4E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HO preparation and execution) </w:t>
      </w:r>
      <w:r>
        <w:rPr>
          <w:rFonts w:ascii="Arial" w:hAnsi="Arial" w:cs="Arial"/>
        </w:rPr>
        <w:t xml:space="preserve">in an LTM HO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Pr="00882455">
        <w:rPr>
          <w:rFonts w:ascii="Arial" w:hAnsi="Arial" w:cs="Arial"/>
        </w:rPr>
        <w:t xml:space="preserve">target cell configurations end up in LTM serving cell changes. </w:t>
      </w:r>
      <w:r>
        <w:rPr>
          <w:rFonts w:ascii="Arial" w:hAnsi="Arial" w:cs="Arial"/>
        </w:rPr>
        <w:t xml:space="preserve">Radio resources are scarce and considering that a UE can be configured with multiple LTM target cells, </w:t>
      </w:r>
      <w:r w:rsidRPr="00882455">
        <w:rPr>
          <w:rFonts w:ascii="Arial" w:hAnsi="Arial" w:cs="Arial"/>
        </w:rPr>
        <w:t>resource reservation (including PRACH preambles)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target 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</w:t>
      </w:r>
      <w:proofErr w:type="gramStart"/>
      <w:r w:rsidR="008246A1">
        <w:rPr>
          <w:rFonts w:ascii="Arial" w:hAnsi="Arial" w:cs="Arial"/>
        </w:rPr>
        <w:t>considering the fact that</w:t>
      </w:r>
      <w:proofErr w:type="gramEnd"/>
      <w:r w:rsidR="008246A1">
        <w:rPr>
          <w:rFonts w:ascii="Arial" w:hAnsi="Arial" w:cs="Arial"/>
        </w:rPr>
        <w:t xml:space="preserve"> this has to be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 xml:space="preserve">for all UEs configured with LTM. </w:t>
      </w:r>
    </w:p>
    <w:p w14:paraId="3A309DD3" w14:textId="7123A2F7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RAN1 is discussing solutions like </w:t>
      </w:r>
      <w:r w:rsidR="00783D53">
        <w:rPr>
          <w:rFonts w:ascii="Arial" w:hAnsi="Arial" w:cs="Arial"/>
        </w:rPr>
        <w:t xml:space="preserve">UE performing </w:t>
      </w:r>
      <w:r>
        <w:rPr>
          <w:rFonts w:ascii="Arial" w:hAnsi="Arial" w:cs="Arial"/>
        </w:rPr>
        <w:t>UL sync to the target cell before the serving cell change</w:t>
      </w:r>
      <w:r w:rsidR="002E471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delivering L1 measurements configured by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</w:t>
      </w:r>
      <w:r w:rsidR="002E471F">
        <w:rPr>
          <w:rFonts w:ascii="Arial" w:hAnsi="Arial" w:cs="Arial"/>
        </w:rPr>
        <w:t>with the objective of</w:t>
      </w:r>
      <w:r>
        <w:rPr>
          <w:rFonts w:ascii="Arial" w:hAnsi="Arial" w:cs="Arial"/>
        </w:rPr>
        <w:t xml:space="preserve"> reduc</w:t>
      </w:r>
      <w:r w:rsidR="002E471F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 latency and acquire </w:t>
      </w:r>
      <w:r w:rsidR="008246A1">
        <w:rPr>
          <w:rFonts w:ascii="Arial" w:hAnsi="Arial" w:cs="Arial"/>
        </w:rPr>
        <w:t>UE’s timing advance at the target cell.</w:t>
      </w:r>
    </w:p>
    <w:p w14:paraId="2940164E" w14:textId="7F2FE340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target cell.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target cell can be considered to indicate a likelihood of UE undergoing LTM HO to the given target cell.</w:t>
      </w:r>
    </w:p>
    <w:p w14:paraId="4FA16E25" w14:textId="7A77DCEF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target 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configured to </w:t>
      </w:r>
      <w:r>
        <w:rPr>
          <w:rFonts w:ascii="Arial" w:hAnsi="Arial" w:cs="Arial"/>
        </w:rPr>
        <w:t xml:space="preserve">either perform UL sync or </w:t>
      </w:r>
      <w:r w:rsidRPr="00052805">
        <w:rPr>
          <w:rFonts w:ascii="Arial" w:hAnsi="Arial" w:cs="Arial"/>
        </w:rPr>
        <w:t xml:space="preserve">send L1 measurement report </w:t>
      </w:r>
      <w:r>
        <w:rPr>
          <w:rFonts w:ascii="Arial" w:hAnsi="Arial" w:cs="Arial"/>
        </w:rPr>
        <w:t xml:space="preserve">directly </w:t>
      </w:r>
      <w:r w:rsidRPr="00052805">
        <w:rPr>
          <w:rFonts w:ascii="Arial" w:hAnsi="Arial" w:cs="Arial"/>
        </w:rPr>
        <w:t xml:space="preserve">to the target </w:t>
      </w:r>
      <w:proofErr w:type="spellStart"/>
      <w:r w:rsidR="00783D53">
        <w:rPr>
          <w:rFonts w:ascii="Arial" w:hAnsi="Arial" w:cs="Arial"/>
        </w:rPr>
        <w:t>gNB</w:t>
      </w:r>
      <w:proofErr w:type="spellEnd"/>
      <w:r w:rsidR="00783D53">
        <w:rPr>
          <w:rFonts w:ascii="Arial" w:hAnsi="Arial" w:cs="Arial"/>
        </w:rPr>
        <w:t>-</w:t>
      </w:r>
      <w:r w:rsidRPr="00052805">
        <w:rPr>
          <w:rFonts w:ascii="Arial" w:hAnsi="Arial" w:cs="Arial"/>
        </w:rPr>
        <w:t xml:space="preserve">DU.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 xml:space="preserve">immediately. At this time,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may also defer reserving other radio resources whose availability is limited.</w:t>
      </w:r>
      <w:r w:rsidR="00D22739">
        <w:rPr>
          <w:rFonts w:ascii="Arial" w:hAnsi="Arial" w:cs="Arial"/>
        </w:rPr>
        <w:t xml:space="preserve"> The UE can be configured with CFRA or CBRA depending on the resource situation at the target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-DU.</w:t>
      </w:r>
    </w:p>
    <w:p w14:paraId="724C443B" w14:textId="02DC185D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a UL sync operation </w:t>
      </w:r>
      <w:r w:rsidR="00F93165">
        <w:rPr>
          <w:rFonts w:ascii="Arial" w:hAnsi="Arial" w:cs="Arial"/>
        </w:rPr>
        <w:t xml:space="preserve">or based on the UE </w:t>
      </w:r>
      <w:r w:rsidR="009B259C">
        <w:rPr>
          <w:rFonts w:ascii="Arial" w:hAnsi="Arial" w:cs="Arial"/>
        </w:rPr>
        <w:t xml:space="preserve">L1 </w:t>
      </w:r>
      <w:r w:rsidR="00F93165">
        <w:rPr>
          <w:rFonts w:ascii="Arial" w:hAnsi="Arial" w:cs="Arial"/>
        </w:rPr>
        <w:t>measurement reports deliver</w:t>
      </w:r>
      <w:r w:rsidR="009B259C">
        <w:rPr>
          <w:rFonts w:ascii="Arial" w:hAnsi="Arial" w:cs="Arial"/>
        </w:rPr>
        <w:t>y</w:t>
      </w:r>
      <w:r w:rsidR="00F93165">
        <w:rPr>
          <w:rFonts w:ascii="Arial" w:hAnsi="Arial" w:cs="Arial"/>
        </w:rPr>
        <w:t xml:space="preserve"> to 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-DU, the 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handoff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>at the 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a </w:t>
      </w:r>
      <w:r w:rsidR="00D22739">
        <w:rPr>
          <w:rFonts w:ascii="Arial" w:hAnsi="Arial" w:cs="Arial"/>
        </w:rPr>
        <w:t xml:space="preserve">possible </w:t>
      </w:r>
      <w:r w:rsidR="00052805"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(</w:t>
      </w:r>
      <w:r w:rsidR="00D22739">
        <w:rPr>
          <w:rFonts w:ascii="Arial" w:hAnsi="Arial" w:cs="Arial"/>
        </w:rPr>
        <w:t>re-</w:t>
      </w:r>
      <w:r w:rsidR="002E471F">
        <w:rPr>
          <w:rFonts w:ascii="Arial" w:hAnsi="Arial" w:cs="Arial"/>
        </w:rPr>
        <w:t>)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 xml:space="preserve">beam/beam-group.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77777777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is performed very close to the LTM serving cell change and hence optimized as the likelihood of an LTM SCC is strong. This also prevents unnecessary blocking of resources for a longer duration in case of long lead times.</w:t>
      </w:r>
    </w:p>
    <w:p w14:paraId="77A7FE22" w14:textId="09BB04E3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9B259C">
        <w:rPr>
          <w:rFonts w:ascii="Arial" w:hAnsi="Arial" w:cs="Arial"/>
        </w:rPr>
        <w:t xml:space="preserve">for </w:t>
      </w:r>
      <w:r w:rsidRPr="00052805">
        <w:rPr>
          <w:rFonts w:ascii="Arial" w:hAnsi="Arial" w:cs="Arial"/>
        </w:rPr>
        <w:t xml:space="preserve">the UE is reserved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7DFCB165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L1 measurement report sent by UE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681A3EA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FA45BB">
        <w:rPr>
          <w:rFonts w:ascii="Arial" w:hAnsi="Arial" w:cs="Arial"/>
        </w:rPr>
        <w:t xml:space="preserve">newly reserved </w:t>
      </w:r>
      <w:r w:rsidRPr="00052805">
        <w:rPr>
          <w:rFonts w:ascii="Arial" w:hAnsi="Arial" w:cs="Arial"/>
        </w:rPr>
        <w:t xml:space="preserve">radio resources including the </w:t>
      </w:r>
      <w:r w:rsidR="009B259C">
        <w:rPr>
          <w:rFonts w:ascii="Arial" w:hAnsi="Arial" w:cs="Arial"/>
        </w:rPr>
        <w:t>new or modified P</w:t>
      </w:r>
      <w:r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, </w:t>
      </w:r>
      <w:r w:rsidR="00FA45BB">
        <w:rPr>
          <w:rFonts w:ascii="Arial" w:hAnsi="Arial" w:cs="Arial"/>
        </w:rPr>
        <w:t>resulting in a modified target cell configuration at the</w:t>
      </w:r>
      <w:r w:rsidRPr="00052805">
        <w:rPr>
          <w:rFonts w:ascii="Arial" w:hAnsi="Arial" w:cs="Arial"/>
        </w:rPr>
        <w:t xml:space="preserve">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38E9664" w14:textId="30C5AD82" w:rsidR="00406067" w:rsidRPr="00DB4189" w:rsidRDefault="00406067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07A26911" w14:textId="10EF5CA9" w:rsidR="00DB4189" w:rsidRDefault="00DB4189" w:rsidP="00DB4189">
      <w:pPr>
        <w:pStyle w:val="Heading2"/>
        <w:rPr>
          <w:rFonts w:cs="Arial"/>
        </w:rPr>
      </w:pPr>
      <w:r>
        <w:rPr>
          <w:rFonts w:cs="Arial"/>
        </w:rPr>
        <w:t>2.</w:t>
      </w:r>
      <w:r w:rsidR="00406067">
        <w:rPr>
          <w:rFonts w:cs="Arial"/>
        </w:rPr>
        <w:t>2</w:t>
      </w:r>
      <w:r>
        <w:rPr>
          <w:rFonts w:cs="Arial"/>
        </w:rPr>
        <w:t xml:space="preserve"> Prioritization of target cells for L1/L2 triggered mobility</w:t>
      </w:r>
    </w:p>
    <w:p w14:paraId="58D03317" w14:textId="486CCF7B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</w:t>
      </w:r>
      <w:r w:rsidR="005D26DE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agreements, a UE can be configured with multiple LTM target cells beforehand. These target cells could belong to the same or different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 within the same gNB</w:t>
      </w:r>
      <w:r w:rsidR="002E47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Each of these target cells may have </w:t>
      </w:r>
      <w:r w:rsidR="005D26DE">
        <w:rPr>
          <w:rFonts w:ascii="Arial" w:hAnsi="Arial" w:cs="Arial"/>
        </w:rPr>
        <w:t xml:space="preserve">been </w:t>
      </w:r>
      <w:r>
        <w:rPr>
          <w:rFonts w:ascii="Arial" w:hAnsi="Arial" w:cs="Arial"/>
        </w:rPr>
        <w:t xml:space="preserve">prepared </w:t>
      </w:r>
      <w:r w:rsidR="005D26DE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different configurations depending on the capability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resource availability at the time of target cell preparation, explicit </w:t>
      </w:r>
      <w:r w:rsidR="005D26DE">
        <w:rPr>
          <w:rFonts w:ascii="Arial" w:hAnsi="Arial" w:cs="Arial"/>
        </w:rPr>
        <w:t>indications</w:t>
      </w:r>
      <w:r>
        <w:rPr>
          <w:rFonts w:ascii="Arial" w:hAnsi="Arial" w:cs="Arial"/>
        </w:rPr>
        <w:t xml:space="preserve"> from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etc. </w:t>
      </w:r>
    </w:p>
    <w:p w14:paraId="502C7B26" w14:textId="4D31ADB3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>However, w</w:t>
      </w:r>
      <w:r w:rsidRPr="003C4F54">
        <w:rPr>
          <w:rFonts w:ascii="Arial" w:hAnsi="Arial" w:cs="Arial"/>
        </w:rPr>
        <w:t>henever</w:t>
      </w:r>
      <w:r>
        <w:rPr>
          <w:rFonts w:ascii="Arial" w:hAnsi="Arial" w:cs="Arial"/>
        </w:rPr>
        <w:t xml:space="preserve"> there are multiple target cells configured for a UE, there may be scenarios where more than one target cell is eligible for a LTM HO. For 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when at least two cells satisfy the </w:t>
      </w:r>
      <w:r w:rsidR="005D26DE">
        <w:rPr>
          <w:rFonts w:ascii="Arial" w:hAnsi="Arial" w:cs="Arial"/>
        </w:rPr>
        <w:t xml:space="preserve">LTM </w:t>
      </w:r>
      <w:r>
        <w:rPr>
          <w:rFonts w:ascii="Arial" w:hAnsi="Arial" w:cs="Arial"/>
        </w:rPr>
        <w:t xml:space="preserve">HO criteria. In such scenarios, </w:t>
      </w:r>
      <w:r w:rsidR="005D26DE">
        <w:rPr>
          <w:rFonts w:ascii="Arial" w:hAnsi="Arial" w:cs="Arial"/>
        </w:rPr>
        <w:t xml:space="preserve">the serving </w:t>
      </w:r>
      <w:proofErr w:type="spellStart"/>
      <w:r w:rsidR="005D26DE">
        <w:rPr>
          <w:rFonts w:ascii="Arial" w:hAnsi="Arial" w:cs="Arial"/>
        </w:rPr>
        <w:t>gNB</w:t>
      </w:r>
      <w:proofErr w:type="spellEnd"/>
      <w:r w:rsidR="005D26DE">
        <w:rPr>
          <w:rFonts w:ascii="Arial" w:hAnsi="Arial" w:cs="Arial"/>
        </w:rPr>
        <w:t xml:space="preserve">-DU has the prerogative to make the target cell </w:t>
      </w:r>
      <w:r w:rsidR="00783D53">
        <w:rPr>
          <w:rFonts w:ascii="Arial" w:hAnsi="Arial" w:cs="Arial"/>
        </w:rPr>
        <w:t xml:space="preserve">selection </w:t>
      </w:r>
      <w:r w:rsidR="005D26DE">
        <w:rPr>
          <w:rFonts w:ascii="Arial" w:hAnsi="Arial" w:cs="Arial"/>
        </w:rPr>
        <w:t xml:space="preserve">decision. For </w:t>
      </w:r>
      <w:proofErr w:type="spellStart"/>
      <w:r w:rsidR="005D26DE">
        <w:rPr>
          <w:rFonts w:ascii="Arial" w:hAnsi="Arial" w:cs="Arial"/>
        </w:rPr>
        <w:t>eg</w:t>
      </w:r>
      <w:proofErr w:type="spellEnd"/>
      <w:r w:rsidR="005D26DE">
        <w:rPr>
          <w:rFonts w:ascii="Arial" w:hAnsi="Arial" w:cs="Arial"/>
        </w:rPr>
        <w:t xml:space="preserve">, we may want to prioritize a </w:t>
      </w:r>
      <w:r w:rsidR="00406067">
        <w:rPr>
          <w:rFonts w:ascii="Arial" w:hAnsi="Arial" w:cs="Arial"/>
        </w:rPr>
        <w:t xml:space="preserve">target cell with </w:t>
      </w:r>
      <w:r w:rsidR="005D26DE">
        <w:rPr>
          <w:rFonts w:ascii="Arial" w:hAnsi="Arial" w:cs="Arial"/>
        </w:rPr>
        <w:t xml:space="preserve">RACH-less </w:t>
      </w:r>
      <w:r w:rsidR="00406067">
        <w:rPr>
          <w:rFonts w:ascii="Arial" w:hAnsi="Arial" w:cs="Arial"/>
        </w:rPr>
        <w:t>configuration</w:t>
      </w:r>
      <w:r w:rsidR="005D26DE">
        <w:rPr>
          <w:rFonts w:ascii="Arial" w:hAnsi="Arial" w:cs="Arial"/>
        </w:rPr>
        <w:t xml:space="preserve"> over </w:t>
      </w:r>
      <w:r w:rsidR="00406067">
        <w:rPr>
          <w:rFonts w:ascii="Arial" w:hAnsi="Arial" w:cs="Arial"/>
        </w:rPr>
        <w:t xml:space="preserve">another with </w:t>
      </w:r>
      <w:r w:rsidR="005D26DE">
        <w:rPr>
          <w:rFonts w:ascii="Arial" w:hAnsi="Arial" w:cs="Arial"/>
        </w:rPr>
        <w:t xml:space="preserve">RACH-based </w:t>
      </w:r>
      <w:r w:rsidR="00406067">
        <w:rPr>
          <w:rFonts w:ascii="Arial" w:hAnsi="Arial" w:cs="Arial"/>
        </w:rPr>
        <w:t>configuration</w:t>
      </w:r>
      <w:r w:rsidR="005D26DE">
        <w:rPr>
          <w:rFonts w:ascii="Arial" w:hAnsi="Arial" w:cs="Arial"/>
        </w:rPr>
        <w:t xml:space="preserve">. Without any assistance information from </w:t>
      </w:r>
      <w:proofErr w:type="spellStart"/>
      <w:r w:rsidR="002E471F">
        <w:rPr>
          <w:rFonts w:ascii="Arial" w:hAnsi="Arial" w:cs="Arial"/>
        </w:rPr>
        <w:t>gNB</w:t>
      </w:r>
      <w:proofErr w:type="spellEnd"/>
      <w:r w:rsidR="002E471F">
        <w:rPr>
          <w:rFonts w:ascii="Arial" w:hAnsi="Arial" w:cs="Arial"/>
        </w:rPr>
        <w:t>-</w:t>
      </w:r>
      <w:r w:rsidR="005D26DE">
        <w:rPr>
          <w:rFonts w:ascii="Arial" w:hAnsi="Arial" w:cs="Arial"/>
        </w:rPr>
        <w:t xml:space="preserve">CU to </w:t>
      </w:r>
      <w:proofErr w:type="spellStart"/>
      <w:r w:rsidR="002E471F">
        <w:rPr>
          <w:rFonts w:ascii="Arial" w:hAnsi="Arial" w:cs="Arial"/>
        </w:rPr>
        <w:t>gNB</w:t>
      </w:r>
      <w:proofErr w:type="spellEnd"/>
      <w:r w:rsidR="002E471F">
        <w:rPr>
          <w:rFonts w:ascii="Arial" w:hAnsi="Arial" w:cs="Arial"/>
        </w:rPr>
        <w:t>-</w:t>
      </w:r>
      <w:r w:rsidR="005D26DE">
        <w:rPr>
          <w:rFonts w:ascii="Arial" w:hAnsi="Arial" w:cs="Arial"/>
        </w:rPr>
        <w:t>DU, such a prioritization</w:t>
      </w:r>
      <w:r w:rsidR="00406067">
        <w:rPr>
          <w:rFonts w:ascii="Arial" w:hAnsi="Arial" w:cs="Arial"/>
        </w:rPr>
        <w:t xml:space="preserve"> is not feasible</w:t>
      </w:r>
      <w:r>
        <w:rPr>
          <w:rFonts w:ascii="Arial" w:hAnsi="Arial" w:cs="Arial"/>
        </w:rPr>
        <w:t xml:space="preserve">. </w:t>
      </w:r>
    </w:p>
    <w:p w14:paraId="557D4A61" w14:textId="77777777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fact, the same concept can be extended to other target cell configurable RRM aspects like slice re-mapping, DRB configuration, carrier configuration for carrier aggregation etc.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depending on the changes to cell configuration at the target DU compared to the serving 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could allocate different priorities for each target cell. This LTM HO priority could be delivered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and configured to be used whenever there are two or more target cells satisfying LTM HO criteria.</w:t>
      </w:r>
    </w:p>
    <w:p w14:paraId="429B4274" w14:textId="1F5EB38D" w:rsidR="00DB4189" w:rsidRPr="00CB492F" w:rsidRDefault="00CB492F" w:rsidP="00DB418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="007A0493">
        <w:rPr>
          <w:i/>
          <w:iCs/>
          <w:lang w:val="en-US"/>
        </w:rPr>
        <w:t xml:space="preserve">Priority allocation to </w:t>
      </w:r>
      <w:r>
        <w:rPr>
          <w:i/>
          <w:iCs/>
          <w:lang w:val="en-US"/>
        </w:rPr>
        <w:t xml:space="preserve">LTM 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59514676" w14:textId="6CF70FFD" w:rsidR="00DB4189" w:rsidRDefault="00DB4189" w:rsidP="00DB4189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lastRenderedPageBreak/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assigns LTM HO priority to each target cell and communicates it to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to be used when there are multiple target cells satisfying LTM HO criteria.</w:t>
      </w:r>
    </w:p>
    <w:p w14:paraId="2E0F8DAA" w14:textId="34437A42" w:rsidR="00406067" w:rsidRDefault="00406067" w:rsidP="00406067">
      <w:pPr>
        <w:pStyle w:val="Heading2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15E3B718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variants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>, ICBM with dynamic switching, LTM Serving cell change,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>. These variants are being discussed in RAN1 and RAN2. Each of these variants need different kind of resource reservation.</w:t>
      </w:r>
    </w:p>
    <w:p w14:paraId="1E1522BA" w14:textId="64463F0E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>LTM serving cell change could be considered as the primary form where the UE undergoes serving cell change by adopting the target cell configuration.</w:t>
      </w:r>
    </w:p>
    <w:p w14:paraId="5689A102" w14:textId="0CC9DD13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4CC240DC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gBN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3C62696D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>Since LTM is applicable to both</w:t>
      </w:r>
      <w:r w:rsidRPr="005C22D5">
        <w:rPr>
          <w:rFonts w:ascii="Arial" w:hAnsi="Arial" w:cs="Arial"/>
        </w:rPr>
        <w:t xml:space="preserve"> intra- DU and intra-CU inter-DU scenarios</w:t>
      </w:r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7097B712" w14:textId="167A27D8" w:rsidR="002C18D9" w:rsidRDefault="002C18D9" w:rsidP="002C18D9">
      <w:pPr>
        <w:rPr>
          <w:rFonts w:ascii="Arial" w:hAnsi="Arial" w:cs="Arial"/>
        </w:rPr>
      </w:pPr>
    </w:p>
    <w:p w14:paraId="6757548B" w14:textId="593AF6A7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current UE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1AE7EF03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target cell preparation</w:t>
      </w:r>
      <w:r w:rsidRPr="00052805">
        <w:rPr>
          <w:i/>
          <w:iCs/>
          <w:lang w:val="en-US"/>
        </w:rPr>
        <w:t>.</w:t>
      </w:r>
    </w:p>
    <w:p w14:paraId="366454C0" w14:textId="1AEEF6D7" w:rsidR="00782F4F" w:rsidRPr="002C18D9" w:rsidRDefault="00782F4F" w:rsidP="00782F4F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solutions to address the above-mentioned issues.</w:t>
      </w: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0E75C6DB" w14:textId="77777777" w:rsidR="002E471F" w:rsidRDefault="002E471F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7009A42C" w14:textId="575A8385" w:rsidR="0059031E" w:rsidRDefault="002E471F" w:rsidP="002E471F">
      <w:pPr>
        <w:rPr>
          <w:rFonts w:eastAsia="SimSun"/>
          <w:b/>
          <w:lang w:eastAsia="zh-CN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4C4E8755" w14:textId="58E4C716" w:rsidR="002E471F" w:rsidRPr="00CB492F" w:rsidRDefault="002E471F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>Priorit</w:t>
      </w:r>
      <w:r w:rsidR="007A0493">
        <w:rPr>
          <w:i/>
          <w:iCs/>
          <w:lang w:val="en-US"/>
        </w:rPr>
        <w:t>y allocation</w:t>
      </w:r>
      <w:r>
        <w:rPr>
          <w:i/>
          <w:iCs/>
          <w:lang w:val="en-US"/>
        </w:rPr>
        <w:t xml:space="preserve"> </w:t>
      </w:r>
      <w:r w:rsidR="007A0493">
        <w:rPr>
          <w:i/>
          <w:iCs/>
          <w:lang w:val="en-US"/>
        </w:rPr>
        <w:t>to</w:t>
      </w:r>
      <w:r>
        <w:rPr>
          <w:i/>
          <w:iCs/>
          <w:lang w:val="en-US"/>
        </w:rPr>
        <w:t xml:space="preserve"> LTM 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proofErr w:type="gramStart"/>
      <w:r>
        <w:rPr>
          <w:i/>
          <w:iCs/>
          <w:lang w:val="en-US"/>
        </w:rPr>
        <w:t>DU.</w:t>
      </w:r>
      <w:r w:rsidRPr="00052805">
        <w:rPr>
          <w:i/>
          <w:iCs/>
          <w:lang w:val="en-US"/>
        </w:rPr>
        <w:t>.</w:t>
      </w:r>
      <w:proofErr w:type="gramEnd"/>
    </w:p>
    <w:p w14:paraId="12B4C5F8" w14:textId="77777777" w:rsidR="002E471F" w:rsidRDefault="002E471F" w:rsidP="002E471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lastRenderedPageBreak/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assigns LTM HO priority to each target cell and communicates it to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to be used when there are multiple target cells satisfying LTM HO criteria.</w:t>
      </w:r>
    </w:p>
    <w:p w14:paraId="44D239EA" w14:textId="7EA4FD58" w:rsidR="00782F4F" w:rsidRPr="00CB492F" w:rsidRDefault="00AD47F8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="00782F4F" w:rsidRPr="00052805">
        <w:rPr>
          <w:i/>
          <w:iCs/>
          <w:lang w:val="en-US"/>
        </w:rPr>
        <w:t>.</w:t>
      </w:r>
    </w:p>
    <w:p w14:paraId="56B47952" w14:textId="5004AE88" w:rsidR="0059031E" w:rsidRPr="0059031E" w:rsidRDefault="00782F4F" w:rsidP="00782F4F">
      <w:pPr>
        <w:rPr>
          <w:rFonts w:eastAsia="SimSun"/>
          <w:lang w:eastAsia="zh-CN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solutions to address the above mentioned </w:t>
      </w:r>
      <w:proofErr w:type="gramStart"/>
      <w:r>
        <w:rPr>
          <w:rFonts w:ascii="Arial" w:hAnsi="Arial" w:cs="Arial"/>
          <w:b/>
          <w:bCs/>
        </w:rPr>
        <w:t>issues.</w:t>
      </w:r>
      <w:r w:rsidR="0059031E">
        <w:rPr>
          <w:rFonts w:eastAsia="SimSun"/>
          <w:b/>
          <w:lang w:eastAsia="zh-CN"/>
        </w:rPr>
        <w:t>.</w:t>
      </w:r>
      <w:proofErr w:type="gramEnd"/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8C629B8" w14:textId="77777777" w:rsidR="000C6F4A" w:rsidRPr="00D052E3" w:rsidRDefault="000C6F4A" w:rsidP="000C6F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Arial" w:hAnsi="Arial" w:cs="Arial"/>
        </w:rPr>
      </w:pPr>
      <w:r w:rsidRPr="000E6026">
        <w:rPr>
          <w:rFonts w:ascii="Arial" w:hAnsi="Arial" w:cs="Arial"/>
          <w:lang w:val="en-US"/>
        </w:rPr>
        <w:t>RP-2</w:t>
      </w:r>
      <w:r w:rsidRPr="000E6026">
        <w:rPr>
          <w:rFonts w:ascii="Arial" w:hAnsi="Arial" w:cs="Arial" w:hint="eastAsia"/>
          <w:lang w:val="en-US"/>
        </w:rPr>
        <w:t>2</w:t>
      </w:r>
      <w:r w:rsidRPr="000E6026">
        <w:rPr>
          <w:rFonts w:ascii="Arial" w:hAnsi="Arial" w:cs="Arial"/>
          <w:lang w:val="en-US"/>
        </w:rPr>
        <w:t>2332, “Revised WID on Further NR mobility enhancements,” MediaTek</w:t>
      </w: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A82D0" w14:textId="77777777" w:rsidR="00AB1707" w:rsidRDefault="00AB1707">
      <w:r>
        <w:separator/>
      </w:r>
    </w:p>
  </w:endnote>
  <w:endnote w:type="continuationSeparator" w:id="0">
    <w:p w14:paraId="2311A99D" w14:textId="77777777" w:rsidR="00AB1707" w:rsidRDefault="00AB1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+mj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44368" w14:textId="77777777" w:rsidR="00AB1707" w:rsidRDefault="00AB1707">
      <w:r>
        <w:separator/>
      </w:r>
    </w:p>
  </w:footnote>
  <w:footnote w:type="continuationSeparator" w:id="0">
    <w:p w14:paraId="0F6C5D78" w14:textId="77777777" w:rsidR="00AB1707" w:rsidRDefault="00AB1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8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5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4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6"/>
  </w:num>
  <w:num w:numId="36" w16cid:durableId="1976370776">
    <w:abstractNumId w:val="26"/>
  </w:num>
  <w:num w:numId="37" w16cid:durableId="598756540">
    <w:abstractNumId w:val="37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55EF"/>
    <w:rsid w:val="000667C1"/>
    <w:rsid w:val="00067AC9"/>
    <w:rsid w:val="00070CDD"/>
    <w:rsid w:val="00072EDF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C53"/>
    <w:rsid w:val="003C5549"/>
    <w:rsid w:val="003C578D"/>
    <w:rsid w:val="003C6D51"/>
    <w:rsid w:val="003C7216"/>
    <w:rsid w:val="003D042E"/>
    <w:rsid w:val="003D059B"/>
    <w:rsid w:val="003D0F1F"/>
    <w:rsid w:val="003D17A2"/>
    <w:rsid w:val="003D1A37"/>
    <w:rsid w:val="003D1BC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610E"/>
    <w:rsid w:val="006D6B98"/>
    <w:rsid w:val="006D6FC7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4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gNB-DU initiated re-configuration for LTM</vt:lpstr>
    </vt:vector>
  </TitlesOfParts>
  <Manager/>
  <Company>Rakuten Symphony Inc</Company>
  <LinksUpToDate>false</LinksUpToDate>
  <CharactersWithSpaces>10430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gNB-DU initiated re-configuration for LTM</dc:title>
  <dc:subject/>
  <dc:creator>Subramanya Chandrashekar</dc:creator>
  <cp:keywords/>
  <dc:description/>
  <cp:lastModifiedBy>C, Subramanya | RSI</cp:lastModifiedBy>
  <cp:revision>104</cp:revision>
  <cp:lastPrinted>2009-04-22T07:01:00Z</cp:lastPrinted>
  <dcterms:created xsi:type="dcterms:W3CDTF">2022-09-27T06:54:00Z</dcterms:created>
  <dcterms:modified xsi:type="dcterms:W3CDTF">2023-05-10T08:09:00Z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