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3388E1" w14:textId="203364AA" w:rsidR="0006447D" w:rsidRPr="00F6302A" w:rsidRDefault="0006447D" w:rsidP="0006447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2</w:t>
      </w:r>
      <w:r w:rsidRPr="00F6302A">
        <w:rPr>
          <w:lang w:val="en-US"/>
        </w:rPr>
        <w:t xml:space="preserve"> #</w:t>
      </w:r>
      <w:r>
        <w:rPr>
          <w:lang w:val="en-US"/>
        </w:rPr>
        <w:t>85-BIS</w:t>
      </w:r>
      <w:bookmarkStart w:id="0" w:name="_GoBack"/>
      <w:bookmarkEnd w:id="0"/>
      <w:r w:rsidRPr="00F6302A">
        <w:rPr>
          <w:lang w:val="en-US"/>
        </w:rPr>
        <w:tab/>
      </w:r>
      <w:r w:rsidR="00D34847" w:rsidRPr="00D34847">
        <w:rPr>
          <w:szCs w:val="32"/>
          <w:lang w:val="en-US"/>
        </w:rPr>
        <w:t>R2-141646</w:t>
      </w:r>
    </w:p>
    <w:p w14:paraId="0B3388E2" w14:textId="77777777" w:rsidR="0006447D" w:rsidRPr="00F6302A" w:rsidRDefault="0006447D" w:rsidP="0006447D">
      <w:pPr>
        <w:pStyle w:val="3GPPHeader"/>
        <w:rPr>
          <w:lang w:val="en-US"/>
        </w:rPr>
      </w:pPr>
      <w:r>
        <w:rPr>
          <w:lang w:val="en-US"/>
        </w:rPr>
        <w:t>Valencia, Spain</w:t>
      </w:r>
      <w:r w:rsidRPr="00293D26">
        <w:rPr>
          <w:lang w:val="en-US"/>
        </w:rPr>
        <w:t xml:space="preserve">, </w:t>
      </w:r>
      <w:r>
        <w:rPr>
          <w:lang w:val="en-US"/>
        </w:rPr>
        <w:t>31</w:t>
      </w:r>
      <w:r w:rsidRPr="00315F0F">
        <w:rPr>
          <w:vertAlign w:val="superscript"/>
          <w:lang w:val="en-US"/>
        </w:rPr>
        <w:t>st</w:t>
      </w:r>
      <w:r>
        <w:rPr>
          <w:lang w:val="en-US"/>
        </w:rPr>
        <w:t xml:space="preserve"> March</w:t>
      </w:r>
      <w:r w:rsidRPr="00293D26">
        <w:rPr>
          <w:lang w:val="en-US"/>
        </w:rPr>
        <w:t xml:space="preserve"> – </w:t>
      </w:r>
      <w:r>
        <w:rPr>
          <w:lang w:val="en-US"/>
        </w:rPr>
        <w:t>4</w:t>
      </w:r>
      <w:r w:rsidRPr="00D15509">
        <w:rPr>
          <w:vertAlign w:val="superscript"/>
          <w:lang w:val="en-US"/>
        </w:rPr>
        <w:t>th</w:t>
      </w:r>
      <w:r>
        <w:rPr>
          <w:lang w:val="en-US"/>
        </w:rPr>
        <w:t xml:space="preserve"> April</w:t>
      </w:r>
      <w:r w:rsidRPr="00293D26">
        <w:rPr>
          <w:lang w:val="en-US"/>
        </w:rPr>
        <w:t xml:space="preserve"> 20</w:t>
      </w:r>
      <w:r>
        <w:rPr>
          <w:lang w:val="en-US"/>
        </w:rPr>
        <w:t>14</w:t>
      </w:r>
    </w:p>
    <w:p w14:paraId="0B3388E3" w14:textId="77777777" w:rsidR="00E90E49" w:rsidRPr="00F6302A" w:rsidRDefault="00E90E49" w:rsidP="00357380">
      <w:pPr>
        <w:pStyle w:val="3GPPHeader"/>
        <w:rPr>
          <w:lang w:val="en-US"/>
        </w:rPr>
      </w:pPr>
    </w:p>
    <w:p w14:paraId="0B3388E4" w14:textId="433E368B"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Agenda Item:</w:t>
      </w:r>
      <w:r w:rsidRPr="00D66155">
        <w:rPr>
          <w:sz w:val="22"/>
          <w:szCs w:val="22"/>
          <w:lang w:val="en-US"/>
        </w:rPr>
        <w:tab/>
      </w:r>
      <w:r w:rsidR="00D34847" w:rsidRPr="00D34847">
        <w:rPr>
          <w:sz w:val="22"/>
          <w:szCs w:val="22"/>
          <w:lang w:val="en-US"/>
        </w:rPr>
        <w:t>10.1.2.2</w:t>
      </w:r>
    </w:p>
    <w:p w14:paraId="0B3388E5" w14:textId="77777777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9841F7">
        <w:rPr>
          <w:sz w:val="22"/>
          <w:szCs w:val="22"/>
          <w:lang w:val="en-US"/>
        </w:rPr>
        <w:t>Qualcomm</w:t>
      </w:r>
      <w:r w:rsidR="001776AB">
        <w:rPr>
          <w:sz w:val="22"/>
          <w:szCs w:val="22"/>
          <w:lang w:val="en-US"/>
        </w:rPr>
        <w:t xml:space="preserve"> Incorporated</w:t>
      </w:r>
    </w:p>
    <w:p w14:paraId="0B3388E6" w14:textId="79F47001"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D34847">
        <w:rPr>
          <w:sz w:val="22"/>
          <w:szCs w:val="22"/>
          <w:lang w:val="en-US"/>
        </w:rPr>
        <w:t>E</w:t>
      </w:r>
      <w:r w:rsidR="00FD440D">
        <w:rPr>
          <w:sz w:val="22"/>
          <w:szCs w:val="22"/>
          <w:lang w:val="en-US"/>
        </w:rPr>
        <w:t>nhanced TTI switching</w:t>
      </w:r>
    </w:p>
    <w:p w14:paraId="0B3388E7" w14:textId="77777777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776AB">
        <w:rPr>
          <w:sz w:val="22"/>
          <w:szCs w:val="22"/>
          <w:lang w:val="en-US"/>
        </w:rPr>
        <w:t>Discussion</w:t>
      </w:r>
    </w:p>
    <w:p w14:paraId="0B3388E8" w14:textId="77777777" w:rsidR="00E90E49" w:rsidRPr="00F6302A" w:rsidRDefault="000744A3" w:rsidP="000744A3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E90E49" w:rsidRPr="00F6302A">
        <w:rPr>
          <w:lang w:val="en-US"/>
        </w:rPr>
        <w:t>Introduction</w:t>
      </w:r>
    </w:p>
    <w:p w14:paraId="0B3388E9" w14:textId="77777777" w:rsidR="00EA2CE5" w:rsidRPr="00176171" w:rsidRDefault="002011EF" w:rsidP="0027144F">
      <w:pPr>
        <w:pStyle w:val="BodyText"/>
      </w:pPr>
      <w:r>
        <w:t>During RAN</w:t>
      </w:r>
      <w:r w:rsidR="00EA2CE5">
        <w:t>#</w:t>
      </w:r>
      <w:r w:rsidR="0038741B">
        <w:t>62</w:t>
      </w:r>
      <w:r w:rsidR="00EA2CE5">
        <w:t xml:space="preserve">, </w:t>
      </w:r>
      <w:r>
        <w:t xml:space="preserve">a Work Item on Further EUL enhancements was agreed. One of the objectives listed under the WID </w:t>
      </w:r>
      <w:r w:rsidR="009E440A">
        <w:fldChar w:fldCharType="begin"/>
      </w:r>
      <w:r w:rsidR="009E440A">
        <w:instrText xml:space="preserve"> REF _Ref377719135 \r </w:instrText>
      </w:r>
      <w:r w:rsidR="009E440A">
        <w:fldChar w:fldCharType="separate"/>
      </w:r>
      <w:r w:rsidR="00051232">
        <w:t>[1]</w:t>
      </w:r>
      <w:r w:rsidR="009E440A">
        <w:fldChar w:fldCharType="end"/>
      </w:r>
      <w:r>
        <w:t xml:space="preserve"> is to introduce coverage improvements by means of enhancements to the TTI switching mechanism:-</w:t>
      </w:r>
    </w:p>
    <w:p w14:paraId="0B3388EA" w14:textId="77777777" w:rsidR="002011EF" w:rsidRDefault="002011EF" w:rsidP="00201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>
        <w:t>- EUL coverage improvements for single and multi RAB, by means of TTI switching and UPH measurements improvements;</w:t>
      </w:r>
    </w:p>
    <w:p w14:paraId="0B3388EB" w14:textId="77777777" w:rsidR="009E440A" w:rsidRDefault="00235180" w:rsidP="006D4945">
      <w:pPr>
        <w:spacing w:after="200" w:line="276" w:lineRule="auto"/>
      </w:pPr>
      <w:r>
        <w:t>Related to the above, d</w:t>
      </w:r>
      <w:r w:rsidR="007E7FA6">
        <w:t>uring the last RAN2#85 meeting</w:t>
      </w:r>
      <w:r w:rsidR="002011EF">
        <w:t xml:space="preserve">, </w:t>
      </w:r>
      <w:r w:rsidR="00A43092">
        <w:t>some progress was made</w:t>
      </w:r>
      <w:r w:rsidR="009E440A">
        <w:t xml:space="preserve"> on an</w:t>
      </w:r>
      <w:r w:rsidR="002011EF">
        <w:t xml:space="preserve"> enhanced TTI switching mechanism</w:t>
      </w:r>
      <w:r w:rsidR="007E7FA6">
        <w:t xml:space="preserve"> and the following agreements were reached:-</w:t>
      </w:r>
      <w:r w:rsidR="009E440A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E7FA6" w14:paraId="0B3388F4" w14:textId="77777777" w:rsidTr="007E7FA6">
        <w:tc>
          <w:tcPr>
            <w:tcW w:w="9855" w:type="dxa"/>
            <w:shd w:val="clear" w:color="auto" w:fill="auto"/>
          </w:tcPr>
          <w:p w14:paraId="0B3388EC" w14:textId="77777777" w:rsidR="007E7FA6" w:rsidRDefault="007E7FA6" w:rsidP="00AE5300">
            <w:pPr>
              <w:pStyle w:val="Doc-text2"/>
              <w:ind w:left="0" w:firstLine="0"/>
            </w:pPr>
            <w:r>
              <w:t xml:space="preserve">Agreements </w:t>
            </w:r>
          </w:p>
          <w:p w14:paraId="0B3388ED" w14:textId="77777777" w:rsidR="007E7FA6" w:rsidRDefault="007E7FA6" w:rsidP="00AE5300">
            <w:pPr>
              <w:pStyle w:val="Doc-text2"/>
              <w:ind w:left="0" w:firstLine="0"/>
            </w:pPr>
          </w:p>
          <w:p w14:paraId="0B3388EE" w14:textId="77777777" w:rsidR="007E7FA6" w:rsidRPr="00282FF4" w:rsidRDefault="007E7FA6" w:rsidP="007E7FA6">
            <w:pPr>
              <w:pStyle w:val="Doc-text2"/>
              <w:numPr>
                <w:ilvl w:val="0"/>
                <w:numId w:val="25"/>
              </w:numPr>
              <w:tabs>
                <w:tab w:val="clear" w:pos="1622"/>
                <w:tab w:val="left" w:pos="720"/>
              </w:tabs>
            </w:pPr>
            <w:r w:rsidRPr="00282FF4">
              <w:t>The TTI switching solutions will apply to both 2ms to 10ms and 10ms to 2ms</w:t>
            </w:r>
          </w:p>
          <w:p w14:paraId="0B3388EF" w14:textId="77777777" w:rsidR="007E7FA6" w:rsidRDefault="007E7FA6" w:rsidP="007E7FA6">
            <w:pPr>
              <w:pStyle w:val="Doc-text2"/>
              <w:numPr>
                <w:ilvl w:val="0"/>
                <w:numId w:val="25"/>
              </w:numPr>
              <w:tabs>
                <w:tab w:val="clear" w:pos="1622"/>
                <w:tab w:val="left" w:pos="720"/>
              </w:tabs>
            </w:pPr>
            <w:r w:rsidRPr="00282FF4">
              <w:t xml:space="preserve">The NW can pre-configure the UE with additional information for a different TTI length.  The details of the configuration are FFS.  </w:t>
            </w:r>
          </w:p>
          <w:p w14:paraId="0B3388F0" w14:textId="77777777" w:rsidR="007E7FA6" w:rsidRDefault="007E7FA6" w:rsidP="007E7FA6">
            <w:pPr>
              <w:pStyle w:val="Doc-text2"/>
              <w:numPr>
                <w:ilvl w:val="0"/>
                <w:numId w:val="25"/>
              </w:numPr>
              <w:tabs>
                <w:tab w:val="clear" w:pos="1622"/>
                <w:tab w:val="left" w:pos="720"/>
              </w:tabs>
            </w:pPr>
            <w:r w:rsidRPr="00282FF4">
              <w:t>The decision to trigger the TTI switch can be taken autonomously by the serving Node B or by the RNC</w:t>
            </w:r>
          </w:p>
          <w:p w14:paraId="0B3388F1" w14:textId="77777777" w:rsidR="007E7FA6" w:rsidRPr="00282FF4" w:rsidRDefault="007E7FA6" w:rsidP="007E7FA6">
            <w:pPr>
              <w:pStyle w:val="Doc-text2"/>
              <w:numPr>
                <w:ilvl w:val="0"/>
                <w:numId w:val="25"/>
              </w:numPr>
              <w:tabs>
                <w:tab w:val="clear" w:pos="1622"/>
                <w:tab w:val="left" w:pos="720"/>
              </w:tabs>
            </w:pPr>
            <w:r w:rsidRPr="00282FF4">
              <w:t>In both cases, the serving Node B will inform the UE to perform the TTI switch via a Layer 1 HS-SCCH order.</w:t>
            </w:r>
          </w:p>
          <w:p w14:paraId="0B3388F2" w14:textId="77777777" w:rsidR="007E7FA6" w:rsidRPr="007E7FA6" w:rsidRDefault="007E7FA6" w:rsidP="007E7FA6">
            <w:pPr>
              <w:pStyle w:val="Doc-text2"/>
              <w:numPr>
                <w:ilvl w:val="0"/>
                <w:numId w:val="25"/>
              </w:numPr>
              <w:tabs>
                <w:tab w:val="clear" w:pos="1622"/>
                <w:tab w:val="left" w:pos="720"/>
              </w:tabs>
              <w:ind w:left="0" w:firstLine="0"/>
              <w:rPr>
                <w:highlight w:val="yellow"/>
              </w:rPr>
            </w:pPr>
            <w:r w:rsidRPr="007E7FA6">
              <w:rPr>
                <w:highlight w:val="yellow"/>
              </w:rPr>
              <w:t>It is FFS how the non-serving Node Bs are notified</w:t>
            </w:r>
          </w:p>
          <w:p w14:paraId="0B3388F3" w14:textId="77777777" w:rsidR="007E7FA6" w:rsidRPr="007E7FA6" w:rsidRDefault="007E7FA6" w:rsidP="00AE5300">
            <w:pPr>
              <w:pStyle w:val="Doc-text2"/>
              <w:ind w:left="0" w:firstLine="0"/>
              <w:rPr>
                <w:b/>
                <w:lang w:val="en-US" w:eastAsia="zh-CN"/>
              </w:rPr>
            </w:pPr>
            <w:r w:rsidRPr="001F39E9">
              <w:rPr>
                <w:b/>
                <w:lang w:val="en-US" w:eastAsia="zh-CN"/>
              </w:rPr>
              <w:t xml:space="preserve"> </w:t>
            </w:r>
          </w:p>
        </w:tc>
      </w:tr>
    </w:tbl>
    <w:p w14:paraId="0B3388F5" w14:textId="77777777" w:rsidR="007E7FA6" w:rsidRDefault="007E7FA6" w:rsidP="009E440A"/>
    <w:p w14:paraId="0B3388F6" w14:textId="77777777" w:rsidR="007E7FA6" w:rsidRDefault="007E7FA6" w:rsidP="009E440A">
      <w:r>
        <w:t xml:space="preserve">Since the TTI switching order is transmitted by the serving Node-B, a mechanism would be required to notify the non-serving NodeB(s) of an impending TTI switch </w:t>
      </w:r>
      <w:r w:rsidR="00463868">
        <w:t>event in case the UE is in Soft Handover (SHO)</w:t>
      </w:r>
      <w:r>
        <w:t xml:space="preserve">. As highlighted </w:t>
      </w:r>
      <w:r w:rsidR="00463868">
        <w:t>above</w:t>
      </w:r>
      <w:r>
        <w:t>, the procedure to inform the non-serving NodeB(s) was left FFS</w:t>
      </w:r>
      <w:r w:rsidR="00CA120B">
        <w:t>.</w:t>
      </w:r>
      <w:r w:rsidR="00824F35">
        <w:t xml:space="preserve"> We discuss this </w:t>
      </w:r>
      <w:r w:rsidR="00463868">
        <w:t xml:space="preserve">aspect </w:t>
      </w:r>
      <w:r w:rsidR="00824F35">
        <w:t>further in the next section.</w:t>
      </w:r>
    </w:p>
    <w:p w14:paraId="0B3388F7" w14:textId="77777777" w:rsidR="00B018FB" w:rsidRPr="008D75C5" w:rsidRDefault="000744A3" w:rsidP="008D75C5">
      <w:pPr>
        <w:pStyle w:val="Heading1"/>
        <w:numPr>
          <w:ilvl w:val="0"/>
          <w:numId w:val="0"/>
        </w:numPr>
        <w:rPr>
          <w:lang w:val="en-US"/>
        </w:rPr>
      </w:pPr>
      <w:bookmarkStart w:id="1" w:name="_Ref189046994"/>
      <w:r>
        <w:rPr>
          <w:lang w:val="en-US"/>
        </w:rPr>
        <w:t>2</w:t>
      </w:r>
      <w:r>
        <w:rPr>
          <w:lang w:val="en-US"/>
        </w:rPr>
        <w:tab/>
      </w:r>
      <w:bookmarkEnd w:id="1"/>
      <w:r w:rsidR="00F171CD">
        <w:rPr>
          <w:lang w:val="en-US"/>
        </w:rPr>
        <w:t>I</w:t>
      </w:r>
      <w:r w:rsidR="00AC7B99">
        <w:rPr>
          <w:lang w:val="en-US"/>
        </w:rPr>
        <w:t>ndicating</w:t>
      </w:r>
      <w:r w:rsidR="008D1DC0">
        <w:rPr>
          <w:lang w:val="en-US"/>
        </w:rPr>
        <w:t xml:space="preserve"> TTI switch</w:t>
      </w:r>
      <w:r w:rsidR="00AA2C95">
        <w:rPr>
          <w:lang w:val="en-US"/>
        </w:rPr>
        <w:t xml:space="preserve"> to </w:t>
      </w:r>
      <w:r w:rsidR="00AC7B99">
        <w:rPr>
          <w:lang w:val="en-US"/>
        </w:rPr>
        <w:t xml:space="preserve">non-serving </w:t>
      </w:r>
      <w:r w:rsidR="008D1CBC">
        <w:rPr>
          <w:lang w:val="en-US"/>
        </w:rPr>
        <w:t>NodeB</w:t>
      </w:r>
    </w:p>
    <w:p w14:paraId="0B3388F8" w14:textId="77777777" w:rsidR="003D4459" w:rsidRDefault="00965D2E" w:rsidP="00965D2E">
      <w:pPr>
        <w:pStyle w:val="Heading2"/>
        <w:numPr>
          <w:ilvl w:val="0"/>
          <w:numId w:val="0"/>
        </w:numPr>
      </w:pPr>
      <w:r>
        <w:t xml:space="preserve">2.1 </w:t>
      </w:r>
      <w:r w:rsidR="00F171CD">
        <w:t>UE</w:t>
      </w:r>
      <w:r>
        <w:t xml:space="preserve"> based indication</w:t>
      </w:r>
    </w:p>
    <w:p w14:paraId="0B3388F9" w14:textId="77777777" w:rsidR="00235180" w:rsidRDefault="00463868" w:rsidP="008D75C5">
      <w:r>
        <w:t>T</w:t>
      </w:r>
      <w:r w:rsidR="00407D36" w:rsidRPr="008D1DC0">
        <w:t xml:space="preserve">o ensure that both serving and non-serving Node B's switch </w:t>
      </w:r>
      <w:r w:rsidR="00407D36">
        <w:t>to the new TTI simultaneously</w:t>
      </w:r>
      <w:r>
        <w:t xml:space="preserve"> in SHO</w:t>
      </w:r>
      <w:r w:rsidR="00407D36">
        <w:t>, the UE could</w:t>
      </w:r>
      <w:r w:rsidR="00407D36" w:rsidRPr="008D1DC0">
        <w:t xml:space="preserve"> send </w:t>
      </w:r>
      <w:r w:rsidR="001424C3">
        <w:t>a</w:t>
      </w:r>
      <w:r>
        <w:t xml:space="preserve"> special</w:t>
      </w:r>
      <w:r w:rsidR="009863BA">
        <w:t xml:space="preserve"> E-</w:t>
      </w:r>
      <w:r w:rsidR="001424C3">
        <w:t>DPCCH</w:t>
      </w:r>
      <w:r>
        <w:t>, hereafter referred to as E-DPCCH</w:t>
      </w:r>
      <w:r w:rsidR="009863BA">
        <w:t xml:space="preserve"> order</w:t>
      </w:r>
      <w:r>
        <w:t>,</w:t>
      </w:r>
      <w:r w:rsidR="001424C3">
        <w:t xml:space="preserve"> </w:t>
      </w:r>
      <w:r w:rsidR="00AC7B99">
        <w:t>over the Uu interface</w:t>
      </w:r>
      <w:r w:rsidR="00407D36">
        <w:t>. It</w:t>
      </w:r>
      <w:r w:rsidR="00407D36" w:rsidRPr="008D1DC0">
        <w:t xml:space="preserve"> should </w:t>
      </w:r>
      <w:r w:rsidR="00407D36">
        <w:t xml:space="preserve">be </w:t>
      </w:r>
      <w:r w:rsidR="00407D36" w:rsidRPr="008D1DC0">
        <w:t>ensure</w:t>
      </w:r>
      <w:r w:rsidR="00407D36">
        <w:t>d, however,</w:t>
      </w:r>
      <w:r w:rsidR="00407D36" w:rsidRPr="008D1DC0">
        <w:t xml:space="preserve"> </w:t>
      </w:r>
      <w:r w:rsidR="00407D36">
        <w:t xml:space="preserve">that </w:t>
      </w:r>
      <w:r w:rsidR="00407D36" w:rsidRPr="008D1DC0">
        <w:t xml:space="preserve">the </w:t>
      </w:r>
      <w:r w:rsidR="00407D36">
        <w:t xml:space="preserve">serving and </w:t>
      </w:r>
      <w:r w:rsidR="00407D36" w:rsidRPr="008D1DC0">
        <w:t>non-serving Node B's</w:t>
      </w:r>
      <w:r w:rsidR="00407D36">
        <w:t xml:space="preserve"> can reliably decode </w:t>
      </w:r>
      <w:r w:rsidR="009863BA">
        <w:t>the E-DPCCH order</w:t>
      </w:r>
      <w:r w:rsidR="00A43092">
        <w:t xml:space="preserve"> from the UE </w:t>
      </w:r>
      <w:r w:rsidR="00407D36">
        <w:t>to prevent any out of sync behaviour</w:t>
      </w:r>
      <w:r w:rsidR="00407D36" w:rsidRPr="008D1DC0">
        <w:t xml:space="preserve">. </w:t>
      </w:r>
    </w:p>
    <w:p w14:paraId="0B3388FA" w14:textId="78AD0282" w:rsidR="00235180" w:rsidRDefault="00235180" w:rsidP="008D75C5">
      <w:r>
        <w:t xml:space="preserve">During the last RAN1#76 meeting, these aspects were discussed and associated LS </w:t>
      </w:r>
      <w:r>
        <w:fldChar w:fldCharType="begin"/>
      </w:r>
      <w:r>
        <w:instrText xml:space="preserve"> REF _Ref382917073 \r </w:instrText>
      </w:r>
      <w:r>
        <w:fldChar w:fldCharType="separate"/>
      </w:r>
      <w:r w:rsidR="00051232">
        <w:t>[2]</w:t>
      </w:r>
      <w:r>
        <w:fldChar w:fldCharType="end"/>
      </w:r>
      <w:r w:rsidR="00A43092">
        <w:t xml:space="preserve"> </w:t>
      </w:r>
      <w:r w:rsidR="00463868">
        <w:t>w</w:t>
      </w:r>
      <w:r>
        <w:t>as</w:t>
      </w:r>
      <w:r w:rsidR="00A43092">
        <w:t xml:space="preserve"> </w:t>
      </w:r>
      <w:r>
        <w:t>sent to RAN2, wherein it is stated:-</w:t>
      </w:r>
    </w:p>
    <w:p w14:paraId="0B3388FB" w14:textId="77777777" w:rsidR="009863BA" w:rsidRPr="00463868" w:rsidRDefault="009863BA" w:rsidP="00463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cs="Arial"/>
        </w:rPr>
        <w:t xml:space="preserve">RAN1 has discussed using E-DPCCH to perform this indication and is RAN1’s view that it is possible to use E-DPCCH to indicate a TTI </w:t>
      </w:r>
      <w:r w:rsidRPr="00251C3C">
        <w:rPr>
          <w:rFonts w:cs="Arial"/>
        </w:rPr>
        <w:t>switch to non-serving cells during SHO</w:t>
      </w:r>
      <w:r w:rsidR="00463868">
        <w:rPr>
          <w:rFonts w:cs="Arial"/>
        </w:rPr>
        <w:t xml:space="preserve"> </w:t>
      </w:r>
      <w:r>
        <w:rPr>
          <w:rFonts w:cs="Arial"/>
          <w:b/>
        </w:rPr>
        <w:t>…</w:t>
      </w:r>
    </w:p>
    <w:p w14:paraId="0B3388FC" w14:textId="77777777" w:rsidR="00235180" w:rsidRDefault="00235180" w:rsidP="00986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 w:hint="eastAsia"/>
          <w:b/>
        </w:rPr>
        <w:t xml:space="preserve"> RAN</w:t>
      </w:r>
      <w:r>
        <w:rPr>
          <w:rFonts w:cs="Arial"/>
          <w:b/>
        </w:rPr>
        <w:t>2</w:t>
      </w:r>
    </w:p>
    <w:p w14:paraId="0B3388FD" w14:textId="77777777" w:rsidR="00235180" w:rsidRDefault="00235180" w:rsidP="00986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hanging="993"/>
        <w:rPr>
          <w:rFonts w:cs="Arial"/>
        </w:rPr>
      </w:pPr>
      <w:r>
        <w:rPr>
          <w:rFonts w:cs="Arial"/>
          <w:b/>
        </w:rPr>
        <w:lastRenderedPageBreak/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</w:rPr>
        <w:t xml:space="preserve">RAN1 </w:t>
      </w:r>
      <w:r>
        <w:rPr>
          <w:rFonts w:cs="Arial"/>
        </w:rPr>
        <w:t xml:space="preserve">would like to inform RAN2 that E-DPCCH may be considered as an alternative to inform the non-serving cells of a TTI switch in SHO scenarios and asks RAN2 to take this information into account when determining the signalling procedures for TTI Switching. </w:t>
      </w:r>
    </w:p>
    <w:p w14:paraId="0B3388FE" w14:textId="77777777" w:rsidR="00B63AF6" w:rsidRDefault="00463868" w:rsidP="008D75C5">
      <w:r>
        <w:t>An alternative to E-DPCCH order would be for</w:t>
      </w:r>
      <w:r w:rsidRPr="00463868">
        <w:t xml:space="preserve"> </w:t>
      </w:r>
      <w:r>
        <w:t>the indication to be forwarded by the serving Node-B to the non-serving Node-B’s through the RNC.</w:t>
      </w:r>
      <w:r w:rsidR="00B63AF6">
        <w:t xml:space="preserve"> However, this would introduce delays in the TTI switching procedure as the indication would have to be transmitted over the Iub interface</w:t>
      </w:r>
      <w:r>
        <w:t xml:space="preserve"> </w:t>
      </w:r>
    </w:p>
    <w:p w14:paraId="0B3388FF" w14:textId="77777777" w:rsidR="00235180" w:rsidRDefault="00235180" w:rsidP="008D75C5">
      <w:r>
        <w:t xml:space="preserve">Keeping in mind </w:t>
      </w:r>
      <w:r w:rsidR="00C67B26">
        <w:t>the feasibility</w:t>
      </w:r>
      <w:r w:rsidR="00B63AF6">
        <w:t xml:space="preserve"> of an E-DPCCH based indication</w:t>
      </w:r>
      <w:r w:rsidR="00C67B26">
        <w:t xml:space="preserve"> as established by RAN1</w:t>
      </w:r>
      <w:r w:rsidR="00B63AF6">
        <w:t xml:space="preserve"> as well as the potential to minimize delays in the TTI switching procedure</w:t>
      </w:r>
      <w:r w:rsidR="00C67B26">
        <w:t>, it is proposed to introduce</w:t>
      </w:r>
      <w:r>
        <w:t xml:space="preserve"> </w:t>
      </w:r>
      <w:r w:rsidR="00C67B26">
        <w:t>such a mechanism.</w:t>
      </w:r>
    </w:p>
    <w:p w14:paraId="0B338900" w14:textId="77777777" w:rsidR="00C67B26" w:rsidRDefault="00C67B26" w:rsidP="008D75C5">
      <w:pPr>
        <w:rPr>
          <w:b/>
        </w:rPr>
      </w:pPr>
      <w:r w:rsidRPr="00C67B26">
        <w:rPr>
          <w:b/>
        </w:rPr>
        <w:t>Proposal</w:t>
      </w:r>
      <w:r>
        <w:rPr>
          <w:b/>
        </w:rPr>
        <w:t xml:space="preserve"> 1</w:t>
      </w:r>
      <w:r w:rsidRPr="00C67B26">
        <w:rPr>
          <w:b/>
        </w:rPr>
        <w:t xml:space="preserve">: Agree to introduce an E-DPCCH based indication to </w:t>
      </w:r>
      <w:r w:rsidR="009863BA">
        <w:rPr>
          <w:b/>
        </w:rPr>
        <w:t xml:space="preserve">inform the </w:t>
      </w:r>
      <w:r w:rsidRPr="00C67B26">
        <w:rPr>
          <w:b/>
        </w:rPr>
        <w:t>non-serving NodeBs of an upcoming TTI switch in SHO scenarios.</w:t>
      </w:r>
    </w:p>
    <w:p w14:paraId="0B338901" w14:textId="77777777" w:rsidR="00C67B26" w:rsidRDefault="00C67B26" w:rsidP="00C67B26">
      <w:pPr>
        <w:rPr>
          <w:b/>
        </w:rPr>
      </w:pPr>
      <w:r w:rsidRPr="00C67B26">
        <w:rPr>
          <w:b/>
        </w:rPr>
        <w:t>Proposal</w:t>
      </w:r>
      <w:r>
        <w:rPr>
          <w:b/>
        </w:rPr>
        <w:t xml:space="preserve"> 2</w:t>
      </w:r>
      <w:r w:rsidRPr="00C67B26">
        <w:rPr>
          <w:b/>
        </w:rPr>
        <w:t xml:space="preserve">: </w:t>
      </w:r>
      <w:r w:rsidR="001424C3">
        <w:rPr>
          <w:b/>
        </w:rPr>
        <w:t>If Proposal 1 is agreed,</w:t>
      </w:r>
      <w:r>
        <w:rPr>
          <w:b/>
        </w:rPr>
        <w:t xml:space="preserve"> </w:t>
      </w:r>
      <w:r w:rsidR="001424C3">
        <w:rPr>
          <w:b/>
        </w:rPr>
        <w:t>send LS to RAN1 conveying the same and requesting to work on the</w:t>
      </w:r>
      <w:r>
        <w:rPr>
          <w:b/>
        </w:rPr>
        <w:t xml:space="preserve"> </w:t>
      </w:r>
      <w:r w:rsidR="001424C3">
        <w:rPr>
          <w:b/>
        </w:rPr>
        <w:t>details of the E-DPCCH based indication</w:t>
      </w:r>
      <w:r w:rsidRPr="00C67B26">
        <w:rPr>
          <w:b/>
        </w:rPr>
        <w:t>.</w:t>
      </w:r>
    </w:p>
    <w:p w14:paraId="0B338902" w14:textId="77777777" w:rsidR="00965D2E" w:rsidRDefault="00965D2E" w:rsidP="00965D2E">
      <w:pPr>
        <w:pStyle w:val="Heading2"/>
        <w:numPr>
          <w:ilvl w:val="0"/>
          <w:numId w:val="0"/>
        </w:numPr>
      </w:pPr>
      <w:r>
        <w:t xml:space="preserve">2.2 </w:t>
      </w:r>
      <w:r w:rsidR="00F171CD">
        <w:t xml:space="preserve">RNC based </w:t>
      </w:r>
      <w:r w:rsidR="00B63AF6">
        <w:t>recovery</w:t>
      </w:r>
      <w:r w:rsidR="00824F35">
        <w:t xml:space="preserve"> mechanism</w:t>
      </w:r>
    </w:p>
    <w:p w14:paraId="0B338903" w14:textId="7CC1C3E7" w:rsidR="00CB5DBC" w:rsidRDefault="00CB5DBC" w:rsidP="00A43092">
      <w:r>
        <w:t>Due to the inherent unpredictability</w:t>
      </w:r>
      <w:r w:rsidR="00947639">
        <w:t xml:space="preserve"> and </w:t>
      </w:r>
      <w:r>
        <w:t>unreliab</w:t>
      </w:r>
      <w:r w:rsidR="00947639">
        <w:t>le nature</w:t>
      </w:r>
      <w:r>
        <w:t xml:space="preserve"> of a wireless link, there may be </w:t>
      </w:r>
      <w:r w:rsidR="00A43092">
        <w:t>c</w:t>
      </w:r>
      <w:r>
        <w:t xml:space="preserve">orner </w:t>
      </w:r>
      <w:r w:rsidR="00A43092">
        <w:t>cases</w:t>
      </w:r>
      <w:r>
        <w:t xml:space="preserve"> where one or more of the </w:t>
      </w:r>
      <w:r w:rsidR="00A43092">
        <w:t xml:space="preserve">non-serving </w:t>
      </w:r>
      <w:r>
        <w:t xml:space="preserve">NodeB(s) fails to decode the E-DPCCH order. Such an error would result in </w:t>
      </w:r>
      <w:r w:rsidR="00940D35">
        <w:t xml:space="preserve">an </w:t>
      </w:r>
      <w:r>
        <w:t>out of sync situation with respect to the E-DCH TTI value</w:t>
      </w:r>
      <w:r w:rsidR="00947639">
        <w:t xml:space="preserve"> and could eventually lead to a</w:t>
      </w:r>
      <w:r w:rsidR="00824F35">
        <w:t xml:space="preserve"> (HSUPA)</w:t>
      </w:r>
      <w:r>
        <w:t xml:space="preserve"> call drop.</w:t>
      </w:r>
      <w:r w:rsidRPr="006D4945">
        <w:t xml:space="preserve"> </w:t>
      </w:r>
    </w:p>
    <w:p w14:paraId="0B338904" w14:textId="77777777" w:rsidR="004A6118" w:rsidRDefault="00CB5DBC" w:rsidP="004A6118">
      <w:r>
        <w:t xml:space="preserve">In order </w:t>
      </w:r>
      <w:r w:rsidR="008929F3">
        <w:t xml:space="preserve">to overcome </w:t>
      </w:r>
      <w:r w:rsidR="00947639">
        <w:t xml:space="preserve">such </w:t>
      </w:r>
      <w:r w:rsidR="00AC7B99">
        <w:t>reliability issues</w:t>
      </w:r>
      <w:r w:rsidR="00A43092">
        <w:t>,</w:t>
      </w:r>
      <w:r w:rsidR="00947639">
        <w:t xml:space="preserve"> a back-up mechanism sh</w:t>
      </w:r>
      <w:r>
        <w:t>ould be introduced which would rely</w:t>
      </w:r>
      <w:r w:rsidR="00440222">
        <w:t xml:space="preserve"> on the RNC to </w:t>
      </w:r>
      <w:r w:rsidR="006D4945">
        <w:t xml:space="preserve">synchronize the </w:t>
      </w:r>
      <w:r>
        <w:t xml:space="preserve">TTI value between the </w:t>
      </w:r>
      <w:r w:rsidR="006D4945">
        <w:t xml:space="preserve">serving and non-serving </w:t>
      </w:r>
      <w:r w:rsidR="008D1CBC">
        <w:t>NodeB’s</w:t>
      </w:r>
      <w:r w:rsidR="00824F35">
        <w:t>. In such a</w:t>
      </w:r>
      <w:r w:rsidR="002F0CF3">
        <w:t xml:space="preserve"> mechanism, the</w:t>
      </w:r>
      <w:r w:rsidR="006D4945">
        <w:t xml:space="preserve"> </w:t>
      </w:r>
      <w:r w:rsidR="002F0CF3" w:rsidRPr="00AE5917">
        <w:t xml:space="preserve">NodeB </w:t>
      </w:r>
      <w:r w:rsidR="00824F35">
        <w:t xml:space="preserve">would </w:t>
      </w:r>
      <w:r w:rsidR="002F0CF3" w:rsidRPr="00AE5917">
        <w:t>inform</w:t>
      </w:r>
      <w:r w:rsidR="00947639">
        <w:t xml:space="preserve"> the RNC upon receiving an E-DPCCH order from the UE</w:t>
      </w:r>
      <w:r w:rsidR="00D02BCD">
        <w:t>.</w:t>
      </w:r>
      <w:r w:rsidR="00947639">
        <w:t xml:space="preserve"> The RNC </w:t>
      </w:r>
      <w:r w:rsidR="00824F35">
        <w:t xml:space="preserve">would </w:t>
      </w:r>
      <w:r w:rsidR="00947639">
        <w:t>then proceed to ensure that the other Node-B’s in the UE’s active set are aware of the TTI switch</w:t>
      </w:r>
      <w:r w:rsidR="00292ACC">
        <w:t xml:space="preserve"> event</w:t>
      </w:r>
      <w:r w:rsidR="00947639">
        <w:t xml:space="preserve"> even if no E-DPCCH orde</w:t>
      </w:r>
      <w:r w:rsidR="00824F35">
        <w:t>r was received by those Node-Bs, through signalling introduced over network interface(s).</w:t>
      </w:r>
    </w:p>
    <w:p w14:paraId="0B338905" w14:textId="20462AA4" w:rsidR="00AC7B99" w:rsidRDefault="00117C66" w:rsidP="00AC7B99">
      <w:pPr>
        <w:pStyle w:val="BodyText"/>
        <w:rPr>
          <w:b/>
        </w:rPr>
      </w:pPr>
      <w:r w:rsidRPr="00117C66">
        <w:rPr>
          <w:b/>
        </w:rPr>
        <w:t>Proposal</w:t>
      </w:r>
      <w:r w:rsidR="00AE4976">
        <w:rPr>
          <w:b/>
        </w:rPr>
        <w:t xml:space="preserve"> 3</w:t>
      </w:r>
      <w:r w:rsidRPr="00117C66">
        <w:rPr>
          <w:b/>
        </w:rPr>
        <w:t xml:space="preserve">: </w:t>
      </w:r>
      <w:r w:rsidR="00292ACC">
        <w:rPr>
          <w:b/>
        </w:rPr>
        <w:t>Introduce</w:t>
      </w:r>
      <w:r w:rsidR="00B63AF6">
        <w:rPr>
          <w:b/>
        </w:rPr>
        <w:t xml:space="preserve"> a </w:t>
      </w:r>
      <w:r w:rsidR="002D28F6">
        <w:rPr>
          <w:b/>
        </w:rPr>
        <w:t>fail safe</w:t>
      </w:r>
      <w:r w:rsidRPr="00117C66">
        <w:rPr>
          <w:b/>
        </w:rPr>
        <w:t xml:space="preserve"> mechanism based on RNC to synchronize the E-DCH TTI value between the serving and non-serving NodeB</w:t>
      </w:r>
      <w:r w:rsidR="00292ACC">
        <w:rPr>
          <w:b/>
        </w:rPr>
        <w:t>’s</w:t>
      </w:r>
      <w:r w:rsidR="008D3D1F" w:rsidRPr="00117C66">
        <w:rPr>
          <w:b/>
        </w:rPr>
        <w:t>.</w:t>
      </w:r>
    </w:p>
    <w:p w14:paraId="0B338906" w14:textId="3EDEA155" w:rsidR="00AE4976" w:rsidRPr="00117C66" w:rsidRDefault="00AE4976" w:rsidP="00AC7B99">
      <w:pPr>
        <w:pStyle w:val="BodyText"/>
        <w:rPr>
          <w:b/>
        </w:rPr>
      </w:pPr>
      <w:r>
        <w:rPr>
          <w:b/>
        </w:rPr>
        <w:t xml:space="preserve">Proposal 4: If Proposal 3 is agreed, send LS to RAN3 conveying the same and requesting to work on the details of the RNC based </w:t>
      </w:r>
      <w:r w:rsidR="002D28F6">
        <w:rPr>
          <w:b/>
        </w:rPr>
        <w:t>fail safe</w:t>
      </w:r>
      <w:r>
        <w:rPr>
          <w:b/>
        </w:rPr>
        <w:t xml:space="preserve"> </w:t>
      </w:r>
      <w:r w:rsidR="00B63AF6">
        <w:rPr>
          <w:b/>
        </w:rPr>
        <w:t>mechanism to</w:t>
      </w:r>
      <w:r>
        <w:rPr>
          <w:b/>
        </w:rPr>
        <w:t xml:space="preserve"> synchroniz</w:t>
      </w:r>
      <w:r w:rsidR="00B63AF6">
        <w:rPr>
          <w:b/>
        </w:rPr>
        <w:t>e</w:t>
      </w:r>
      <w:r>
        <w:rPr>
          <w:b/>
        </w:rPr>
        <w:t xml:space="preserve"> the E-DCH TTI value between serving and non-serving NodeB’s.</w:t>
      </w:r>
    </w:p>
    <w:p w14:paraId="0B338907" w14:textId="77777777" w:rsidR="00C01F33" w:rsidRPr="00F6302A" w:rsidRDefault="000744A3" w:rsidP="000744A3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C01F33" w:rsidRPr="00F6302A">
        <w:rPr>
          <w:lang w:val="en-US"/>
        </w:rPr>
        <w:t>Conclusion</w:t>
      </w:r>
    </w:p>
    <w:p w14:paraId="0B338908" w14:textId="77777777" w:rsidR="00AC7B99" w:rsidRDefault="00327330" w:rsidP="008D75C5">
      <w:pPr>
        <w:pStyle w:val="BodyText"/>
      </w:pPr>
      <w:r>
        <w:t xml:space="preserve">In this contribution, we have discussed </w:t>
      </w:r>
      <w:r w:rsidR="00824F35">
        <w:t>an E-DPCCH based mechanism for indication of an impending</w:t>
      </w:r>
      <w:r>
        <w:t xml:space="preserve"> TTI switch to non-serving </w:t>
      </w:r>
      <w:r w:rsidR="008D1CBC">
        <w:t>NodeB’s</w:t>
      </w:r>
      <w:r>
        <w:t xml:space="preserve">. </w:t>
      </w:r>
      <w:r w:rsidR="00824F35">
        <w:t>Based on LS</w:t>
      </w:r>
      <w:r w:rsidR="00051232">
        <w:t xml:space="preserve"> </w:t>
      </w:r>
      <w:r w:rsidR="00051232">
        <w:fldChar w:fldCharType="begin"/>
      </w:r>
      <w:r w:rsidR="00051232">
        <w:instrText xml:space="preserve"> REF _Ref382917073 \r </w:instrText>
      </w:r>
      <w:r w:rsidR="00051232">
        <w:fldChar w:fldCharType="separate"/>
      </w:r>
      <w:r w:rsidR="00051232">
        <w:t>[2]</w:t>
      </w:r>
      <w:r w:rsidR="00051232">
        <w:fldChar w:fldCharType="end"/>
      </w:r>
      <w:r w:rsidR="00051232">
        <w:t xml:space="preserve"> </w:t>
      </w:r>
      <w:r w:rsidR="00824F35">
        <w:t xml:space="preserve"> received from RAN1, this mechanism is deemed as a feasible indication</w:t>
      </w:r>
      <w:r>
        <w:t xml:space="preserve"> </w:t>
      </w:r>
      <w:r w:rsidR="00824F35">
        <w:t>for the same.</w:t>
      </w:r>
    </w:p>
    <w:p w14:paraId="0B338909" w14:textId="77777777" w:rsidR="008D75C5" w:rsidRDefault="00824F35" w:rsidP="008D75C5">
      <w:pPr>
        <w:pStyle w:val="BodyText"/>
      </w:pPr>
      <w:r>
        <w:t xml:space="preserve">Due to the inherent unpredictability and unreliable nature of a wireless link, we have </w:t>
      </w:r>
      <w:r w:rsidR="00C97B74">
        <w:t>discussed an RNC based</w:t>
      </w:r>
      <w:r>
        <w:t xml:space="preserve"> mechanism </w:t>
      </w:r>
      <w:r w:rsidR="00C97B74">
        <w:t>to recover from error scenarios where one or more of the non-serving NodeB(s) fail</w:t>
      </w:r>
      <w:r w:rsidR="00CB3294">
        <w:t>s</w:t>
      </w:r>
      <w:r w:rsidR="00C97B74">
        <w:t xml:space="preserve"> to decode the E-DPCCH order.</w:t>
      </w:r>
    </w:p>
    <w:p w14:paraId="0B33890A" w14:textId="77777777" w:rsidR="00C97B74" w:rsidRDefault="00C97B74" w:rsidP="008D75C5">
      <w:pPr>
        <w:pStyle w:val="BodyText"/>
      </w:pPr>
      <w:r>
        <w:t>The following proposals have been made:-</w:t>
      </w:r>
    </w:p>
    <w:p w14:paraId="0B33890B" w14:textId="77777777" w:rsidR="00B63AF6" w:rsidRDefault="00B63AF6" w:rsidP="00B63AF6">
      <w:pPr>
        <w:rPr>
          <w:b/>
        </w:rPr>
      </w:pPr>
      <w:r w:rsidRPr="00C67B26">
        <w:rPr>
          <w:b/>
        </w:rPr>
        <w:t>Proposal</w:t>
      </w:r>
      <w:r>
        <w:rPr>
          <w:b/>
        </w:rPr>
        <w:t xml:space="preserve"> 1</w:t>
      </w:r>
      <w:r w:rsidRPr="00C67B26">
        <w:rPr>
          <w:b/>
        </w:rPr>
        <w:t xml:space="preserve">: Agree to introduce an E-DPCCH based indication to </w:t>
      </w:r>
      <w:r>
        <w:rPr>
          <w:b/>
        </w:rPr>
        <w:t xml:space="preserve">inform the </w:t>
      </w:r>
      <w:r w:rsidRPr="00C67B26">
        <w:rPr>
          <w:b/>
        </w:rPr>
        <w:t>non-serving NodeBs of an upcoming TTI switch in SHO scenarios.</w:t>
      </w:r>
    </w:p>
    <w:p w14:paraId="0B33890C" w14:textId="77777777" w:rsidR="00B63AF6" w:rsidRDefault="00B63AF6" w:rsidP="00B63AF6">
      <w:pPr>
        <w:rPr>
          <w:b/>
        </w:rPr>
      </w:pPr>
      <w:r w:rsidRPr="00C67B26">
        <w:rPr>
          <w:b/>
        </w:rPr>
        <w:t>Proposal</w:t>
      </w:r>
      <w:r>
        <w:rPr>
          <w:b/>
        </w:rPr>
        <w:t xml:space="preserve"> 2</w:t>
      </w:r>
      <w:r w:rsidRPr="00C67B26">
        <w:rPr>
          <w:b/>
        </w:rPr>
        <w:t xml:space="preserve">: </w:t>
      </w:r>
      <w:r>
        <w:rPr>
          <w:b/>
        </w:rPr>
        <w:t>If Proposal 1 is agreed, send LS to RAN1 conveying the same and requesting to work on the details of the E-DPCCH based indication</w:t>
      </w:r>
      <w:r w:rsidRPr="00C67B26">
        <w:rPr>
          <w:b/>
        </w:rPr>
        <w:t>.</w:t>
      </w:r>
    </w:p>
    <w:p w14:paraId="0B33890D" w14:textId="7DE005DA" w:rsidR="00B63AF6" w:rsidRDefault="00B63AF6" w:rsidP="00B63AF6">
      <w:pPr>
        <w:pStyle w:val="BodyText"/>
        <w:rPr>
          <w:b/>
        </w:rPr>
      </w:pPr>
      <w:r w:rsidRPr="00117C66">
        <w:rPr>
          <w:b/>
        </w:rPr>
        <w:t>Proposal</w:t>
      </w:r>
      <w:r>
        <w:rPr>
          <w:b/>
        </w:rPr>
        <w:t xml:space="preserve"> 3</w:t>
      </w:r>
      <w:r w:rsidRPr="00117C66">
        <w:rPr>
          <w:b/>
        </w:rPr>
        <w:t xml:space="preserve">: </w:t>
      </w:r>
      <w:r>
        <w:rPr>
          <w:b/>
        </w:rPr>
        <w:t xml:space="preserve">Introduce a </w:t>
      </w:r>
      <w:r w:rsidR="00E908EF">
        <w:rPr>
          <w:b/>
        </w:rPr>
        <w:t>fail safe</w:t>
      </w:r>
      <w:r w:rsidRPr="00117C66">
        <w:rPr>
          <w:b/>
        </w:rPr>
        <w:t xml:space="preserve"> mechanism based on RNC to synchronize the E-DCH TTI value between the serving and non-serving NodeB</w:t>
      </w:r>
      <w:r>
        <w:rPr>
          <w:b/>
        </w:rPr>
        <w:t>’s</w:t>
      </w:r>
      <w:r w:rsidRPr="00117C66">
        <w:rPr>
          <w:b/>
        </w:rPr>
        <w:t>.</w:t>
      </w:r>
    </w:p>
    <w:p w14:paraId="0B33890E" w14:textId="164D8372" w:rsidR="00B63AF6" w:rsidRPr="00117C66" w:rsidRDefault="00B63AF6" w:rsidP="00B63AF6">
      <w:pPr>
        <w:pStyle w:val="BodyText"/>
        <w:rPr>
          <w:b/>
        </w:rPr>
      </w:pPr>
      <w:r>
        <w:rPr>
          <w:b/>
        </w:rPr>
        <w:t xml:space="preserve">Proposal 4: If Proposal 3 is agreed, send LS to RAN3 conveying the same and requesting to work on the details of the RNC based </w:t>
      </w:r>
      <w:r w:rsidR="00E908EF">
        <w:rPr>
          <w:b/>
        </w:rPr>
        <w:t>fail safe</w:t>
      </w:r>
      <w:r>
        <w:rPr>
          <w:b/>
        </w:rPr>
        <w:t xml:space="preserve"> mechanism to synchronize the E-DCH TTI value between serving and non-serving NodeB’s.</w:t>
      </w:r>
    </w:p>
    <w:p w14:paraId="0B33890F" w14:textId="77777777" w:rsidR="00C97B74" w:rsidRPr="00117C66" w:rsidRDefault="00C97B74" w:rsidP="00C97B74">
      <w:pPr>
        <w:pStyle w:val="BodyText"/>
        <w:rPr>
          <w:b/>
        </w:rPr>
      </w:pPr>
    </w:p>
    <w:p w14:paraId="0B338910" w14:textId="77777777" w:rsidR="00F507D1" w:rsidRPr="00F6302A" w:rsidRDefault="000744A3" w:rsidP="000744A3">
      <w:pPr>
        <w:pStyle w:val="Heading1"/>
        <w:numPr>
          <w:ilvl w:val="0"/>
          <w:numId w:val="0"/>
        </w:numPr>
        <w:rPr>
          <w:lang w:val="en-US"/>
        </w:rPr>
      </w:pPr>
      <w:bookmarkStart w:id="2" w:name="_In-sequence_SDU_delivery"/>
      <w:bookmarkEnd w:id="2"/>
      <w:r>
        <w:rPr>
          <w:lang w:val="en-US"/>
        </w:rPr>
        <w:lastRenderedPageBreak/>
        <w:t>4</w:t>
      </w:r>
      <w:r>
        <w:rPr>
          <w:lang w:val="en-US"/>
        </w:rPr>
        <w:tab/>
      </w:r>
      <w:r w:rsidR="00F507D1" w:rsidRPr="00F6302A">
        <w:rPr>
          <w:lang w:val="en-US"/>
        </w:rPr>
        <w:t>References</w:t>
      </w:r>
    </w:p>
    <w:p w14:paraId="0B338911" w14:textId="77777777" w:rsidR="002011EF" w:rsidRDefault="002011EF" w:rsidP="008D75C5">
      <w:pPr>
        <w:pStyle w:val="Reference"/>
      </w:pPr>
      <w:bookmarkStart w:id="3" w:name="_Ref377719135"/>
      <w:bookmarkStart w:id="4" w:name="_Ref363715463"/>
      <w:r>
        <w:t xml:space="preserve">RP-132078, </w:t>
      </w:r>
      <w:r w:rsidRPr="007D0FC0">
        <w:t>Further EUL Enhancements</w:t>
      </w:r>
      <w:r>
        <w:t xml:space="preserve"> Work Item Description</w:t>
      </w:r>
      <w:bookmarkEnd w:id="3"/>
    </w:p>
    <w:p w14:paraId="0B338912" w14:textId="77777777" w:rsidR="00235180" w:rsidRDefault="00235180" w:rsidP="0023510C">
      <w:pPr>
        <w:pStyle w:val="Reference"/>
      </w:pPr>
      <w:bookmarkStart w:id="5" w:name="_Ref382917073"/>
      <w:bookmarkEnd w:id="4"/>
      <w:r>
        <w:t xml:space="preserve">R2-1140904, </w:t>
      </w:r>
      <w:r>
        <w:rPr>
          <w:rFonts w:cs="Arial"/>
        </w:rPr>
        <w:t>E-DPCCH</w:t>
      </w:r>
      <w:r w:rsidRPr="00182FF5">
        <w:rPr>
          <w:rFonts w:cs="Arial"/>
        </w:rPr>
        <w:t xml:space="preserve"> to indicate TTI Switching</w:t>
      </w:r>
      <w:r>
        <w:rPr>
          <w:rFonts w:cs="Arial"/>
        </w:rPr>
        <w:t>, RANWG1</w:t>
      </w:r>
      <w:bookmarkEnd w:id="5"/>
    </w:p>
    <w:p w14:paraId="0B338913" w14:textId="77777777" w:rsidR="003A7EF3" w:rsidRPr="00F6302A" w:rsidRDefault="003A7EF3" w:rsidP="00311702">
      <w:pPr>
        <w:pStyle w:val="BodyText"/>
        <w:rPr>
          <w:lang w:val="en-US"/>
        </w:rPr>
      </w:pPr>
    </w:p>
    <w:sectPr w:rsidR="003A7EF3" w:rsidRPr="00F6302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A0CDA" w14:textId="77777777" w:rsidR="000D0406" w:rsidRDefault="000D0406">
      <w:r>
        <w:separator/>
      </w:r>
    </w:p>
  </w:endnote>
  <w:endnote w:type="continuationSeparator" w:id="0">
    <w:p w14:paraId="6E1F1DCC" w14:textId="77777777" w:rsidR="000D0406" w:rsidRDefault="000D0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38919" w14:textId="77777777" w:rsidR="003600A3" w:rsidRDefault="003600A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484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484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E0D701" w14:textId="77777777" w:rsidR="000D0406" w:rsidRDefault="000D0406">
      <w:r>
        <w:separator/>
      </w:r>
    </w:p>
  </w:footnote>
  <w:footnote w:type="continuationSeparator" w:id="0">
    <w:p w14:paraId="6F2638B2" w14:textId="77777777" w:rsidR="000D0406" w:rsidRDefault="000D0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38918" w14:textId="2C5E1E7E" w:rsidR="003600A3" w:rsidRPr="00D34847" w:rsidRDefault="003600A3" w:rsidP="00D348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657E01"/>
    <w:multiLevelType w:val="hybridMultilevel"/>
    <w:tmpl w:val="A8A2D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60C99"/>
    <w:multiLevelType w:val="multilevel"/>
    <w:tmpl w:val="14FA2C14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B950B9E"/>
    <w:multiLevelType w:val="multilevel"/>
    <w:tmpl w:val="B386C9B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5854C83"/>
    <w:multiLevelType w:val="hybridMultilevel"/>
    <w:tmpl w:val="1F124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C1849"/>
    <w:multiLevelType w:val="hybridMultilevel"/>
    <w:tmpl w:val="CC8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4B58AB"/>
    <w:multiLevelType w:val="multilevel"/>
    <w:tmpl w:val="B81EC6AE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3C7F60"/>
    <w:multiLevelType w:val="hybridMultilevel"/>
    <w:tmpl w:val="9CE23758"/>
    <w:lvl w:ilvl="0" w:tplc="1CA695A2">
      <w:start w:val="2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637D1D"/>
    <w:multiLevelType w:val="hybridMultilevel"/>
    <w:tmpl w:val="FD52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DF2A21"/>
    <w:multiLevelType w:val="hybridMultilevel"/>
    <w:tmpl w:val="CD62E7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E436A0"/>
    <w:multiLevelType w:val="hybridMultilevel"/>
    <w:tmpl w:val="0400B6B0"/>
    <w:lvl w:ilvl="0" w:tplc="1CA695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2B5680"/>
    <w:multiLevelType w:val="hybridMultilevel"/>
    <w:tmpl w:val="4E1A9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9"/>
  </w:num>
  <w:num w:numId="13">
    <w:abstractNumId w:val="5"/>
  </w:num>
  <w:num w:numId="14">
    <w:abstractNumId w:val="20"/>
  </w:num>
  <w:num w:numId="15">
    <w:abstractNumId w:val="2"/>
  </w:num>
  <w:num w:numId="16">
    <w:abstractNumId w:val="1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4"/>
  </w:num>
  <w:num w:numId="20">
    <w:abstractNumId w:val="3"/>
  </w:num>
  <w:num w:numId="21">
    <w:abstractNumId w:val="8"/>
  </w:num>
  <w:num w:numId="22">
    <w:abstractNumId w:val="1"/>
  </w:num>
  <w:num w:numId="23">
    <w:abstractNumId w:val="6"/>
  </w:num>
  <w:num w:numId="24">
    <w:abstractNumId w:val="16"/>
  </w:num>
  <w:num w:numId="25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171"/>
    <w:rsid w:val="000006E1"/>
    <w:rsid w:val="00002A37"/>
    <w:rsid w:val="00003E48"/>
    <w:rsid w:val="00006446"/>
    <w:rsid w:val="00006896"/>
    <w:rsid w:val="00007CDC"/>
    <w:rsid w:val="00011B28"/>
    <w:rsid w:val="00015D15"/>
    <w:rsid w:val="00021D40"/>
    <w:rsid w:val="0002564D"/>
    <w:rsid w:val="00025ECA"/>
    <w:rsid w:val="000325B8"/>
    <w:rsid w:val="0003477A"/>
    <w:rsid w:val="00034C15"/>
    <w:rsid w:val="00035945"/>
    <w:rsid w:val="00036BA1"/>
    <w:rsid w:val="000422E2"/>
    <w:rsid w:val="00042F22"/>
    <w:rsid w:val="00043A7D"/>
    <w:rsid w:val="000444EF"/>
    <w:rsid w:val="0004473F"/>
    <w:rsid w:val="00050332"/>
    <w:rsid w:val="00050CFD"/>
    <w:rsid w:val="00051232"/>
    <w:rsid w:val="00052A07"/>
    <w:rsid w:val="000534E3"/>
    <w:rsid w:val="0005606A"/>
    <w:rsid w:val="00057117"/>
    <w:rsid w:val="000616E7"/>
    <w:rsid w:val="00061E56"/>
    <w:rsid w:val="0006447D"/>
    <w:rsid w:val="0006487E"/>
    <w:rsid w:val="00065E1A"/>
    <w:rsid w:val="000744A3"/>
    <w:rsid w:val="0007597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AE3"/>
    <w:rsid w:val="000B2719"/>
    <w:rsid w:val="000B3A8F"/>
    <w:rsid w:val="000B4AB9"/>
    <w:rsid w:val="000B4D2E"/>
    <w:rsid w:val="000B58C3"/>
    <w:rsid w:val="000B61E9"/>
    <w:rsid w:val="000C1068"/>
    <w:rsid w:val="000C165A"/>
    <w:rsid w:val="000C2E19"/>
    <w:rsid w:val="000C3015"/>
    <w:rsid w:val="000C3253"/>
    <w:rsid w:val="000D0406"/>
    <w:rsid w:val="000D0D07"/>
    <w:rsid w:val="000D4797"/>
    <w:rsid w:val="000D6992"/>
    <w:rsid w:val="000E0527"/>
    <w:rsid w:val="000E06DA"/>
    <w:rsid w:val="000E1E92"/>
    <w:rsid w:val="000E52FC"/>
    <w:rsid w:val="000F06D6"/>
    <w:rsid w:val="000F0EB1"/>
    <w:rsid w:val="000F1106"/>
    <w:rsid w:val="000F3BE9"/>
    <w:rsid w:val="000F3F6C"/>
    <w:rsid w:val="000F6904"/>
    <w:rsid w:val="000F6DF3"/>
    <w:rsid w:val="001005FF"/>
    <w:rsid w:val="00100942"/>
    <w:rsid w:val="001062FB"/>
    <w:rsid w:val="001063E6"/>
    <w:rsid w:val="00113CF4"/>
    <w:rsid w:val="001153EA"/>
    <w:rsid w:val="00115643"/>
    <w:rsid w:val="00116765"/>
    <w:rsid w:val="00117C66"/>
    <w:rsid w:val="001219F5"/>
    <w:rsid w:val="00121A20"/>
    <w:rsid w:val="0012377F"/>
    <w:rsid w:val="00124314"/>
    <w:rsid w:val="00124DDD"/>
    <w:rsid w:val="001265D3"/>
    <w:rsid w:val="00126B4A"/>
    <w:rsid w:val="00132FD0"/>
    <w:rsid w:val="001344C0"/>
    <w:rsid w:val="001346FA"/>
    <w:rsid w:val="00135252"/>
    <w:rsid w:val="00137AB5"/>
    <w:rsid w:val="00137F0B"/>
    <w:rsid w:val="001424C3"/>
    <w:rsid w:val="00142FE3"/>
    <w:rsid w:val="00151E23"/>
    <w:rsid w:val="001526E0"/>
    <w:rsid w:val="001551B5"/>
    <w:rsid w:val="001659C1"/>
    <w:rsid w:val="00167208"/>
    <w:rsid w:val="00172163"/>
    <w:rsid w:val="00173A8E"/>
    <w:rsid w:val="00175B97"/>
    <w:rsid w:val="00176171"/>
    <w:rsid w:val="001776AB"/>
    <w:rsid w:val="00177CF0"/>
    <w:rsid w:val="0018050A"/>
    <w:rsid w:val="0018143F"/>
    <w:rsid w:val="0018151A"/>
    <w:rsid w:val="00182E86"/>
    <w:rsid w:val="00190AC1"/>
    <w:rsid w:val="0019341A"/>
    <w:rsid w:val="00197DF9"/>
    <w:rsid w:val="001A1987"/>
    <w:rsid w:val="001A2564"/>
    <w:rsid w:val="001A6173"/>
    <w:rsid w:val="001A6CBA"/>
    <w:rsid w:val="001B0D97"/>
    <w:rsid w:val="001B2B69"/>
    <w:rsid w:val="001B5A5D"/>
    <w:rsid w:val="001B5E77"/>
    <w:rsid w:val="001C1CE5"/>
    <w:rsid w:val="001C3D2A"/>
    <w:rsid w:val="001D2F2A"/>
    <w:rsid w:val="001D51BA"/>
    <w:rsid w:val="001D6342"/>
    <w:rsid w:val="001D6D53"/>
    <w:rsid w:val="001E114F"/>
    <w:rsid w:val="001E58E2"/>
    <w:rsid w:val="001E7AED"/>
    <w:rsid w:val="001F3916"/>
    <w:rsid w:val="001F54C5"/>
    <w:rsid w:val="001F662C"/>
    <w:rsid w:val="001F7074"/>
    <w:rsid w:val="00200490"/>
    <w:rsid w:val="002011EF"/>
    <w:rsid w:val="00201F3A"/>
    <w:rsid w:val="00202684"/>
    <w:rsid w:val="00203F96"/>
    <w:rsid w:val="002069B2"/>
    <w:rsid w:val="0020781F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AE2"/>
    <w:rsid w:val="00230765"/>
    <w:rsid w:val="002319E4"/>
    <w:rsid w:val="0023510C"/>
    <w:rsid w:val="00235180"/>
    <w:rsid w:val="00235632"/>
    <w:rsid w:val="00235872"/>
    <w:rsid w:val="00241559"/>
    <w:rsid w:val="002435B3"/>
    <w:rsid w:val="002458EB"/>
    <w:rsid w:val="002500C8"/>
    <w:rsid w:val="0025611C"/>
    <w:rsid w:val="00257543"/>
    <w:rsid w:val="002617E7"/>
    <w:rsid w:val="00264228"/>
    <w:rsid w:val="00264334"/>
    <w:rsid w:val="0026473E"/>
    <w:rsid w:val="00265992"/>
    <w:rsid w:val="00266214"/>
    <w:rsid w:val="00267C83"/>
    <w:rsid w:val="0027144F"/>
    <w:rsid w:val="00271F3A"/>
    <w:rsid w:val="00272DE7"/>
    <w:rsid w:val="00273278"/>
    <w:rsid w:val="002737F4"/>
    <w:rsid w:val="00274613"/>
    <w:rsid w:val="002805F5"/>
    <w:rsid w:val="00280751"/>
    <w:rsid w:val="0028280A"/>
    <w:rsid w:val="00286ACD"/>
    <w:rsid w:val="00287838"/>
    <w:rsid w:val="002907B5"/>
    <w:rsid w:val="002915B0"/>
    <w:rsid w:val="00292888"/>
    <w:rsid w:val="00292ACC"/>
    <w:rsid w:val="00292EB7"/>
    <w:rsid w:val="00293D2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8F6"/>
    <w:rsid w:val="002D34B2"/>
    <w:rsid w:val="002D5E24"/>
    <w:rsid w:val="002D7637"/>
    <w:rsid w:val="002E17F2"/>
    <w:rsid w:val="002E7CAE"/>
    <w:rsid w:val="002F0CF3"/>
    <w:rsid w:val="002F2771"/>
    <w:rsid w:val="002F37A9"/>
    <w:rsid w:val="00301CE6"/>
    <w:rsid w:val="0030256B"/>
    <w:rsid w:val="0030501F"/>
    <w:rsid w:val="003050D2"/>
    <w:rsid w:val="00307BA1"/>
    <w:rsid w:val="00311702"/>
    <w:rsid w:val="00311E82"/>
    <w:rsid w:val="00313FD6"/>
    <w:rsid w:val="003143BD"/>
    <w:rsid w:val="003203ED"/>
    <w:rsid w:val="00322C9F"/>
    <w:rsid w:val="00324D23"/>
    <w:rsid w:val="003271D2"/>
    <w:rsid w:val="00327330"/>
    <w:rsid w:val="00331751"/>
    <w:rsid w:val="00334579"/>
    <w:rsid w:val="00335858"/>
    <w:rsid w:val="00336BDA"/>
    <w:rsid w:val="0034025C"/>
    <w:rsid w:val="00342BD7"/>
    <w:rsid w:val="003465E5"/>
    <w:rsid w:val="00346DB5"/>
    <w:rsid w:val="003477B1"/>
    <w:rsid w:val="00357380"/>
    <w:rsid w:val="003600A3"/>
    <w:rsid w:val="003602D9"/>
    <w:rsid w:val="003604CE"/>
    <w:rsid w:val="00370E47"/>
    <w:rsid w:val="003742AC"/>
    <w:rsid w:val="00377CE1"/>
    <w:rsid w:val="003832B6"/>
    <w:rsid w:val="00385BF0"/>
    <w:rsid w:val="0038741B"/>
    <w:rsid w:val="0039269F"/>
    <w:rsid w:val="003939FF"/>
    <w:rsid w:val="003A2223"/>
    <w:rsid w:val="003A2A0F"/>
    <w:rsid w:val="003A45A1"/>
    <w:rsid w:val="003A5B0A"/>
    <w:rsid w:val="003A671F"/>
    <w:rsid w:val="003A6BAC"/>
    <w:rsid w:val="003A7EF3"/>
    <w:rsid w:val="003B159C"/>
    <w:rsid w:val="003B369F"/>
    <w:rsid w:val="003B36A3"/>
    <w:rsid w:val="003B7FE5"/>
    <w:rsid w:val="003C11C8"/>
    <w:rsid w:val="003C2702"/>
    <w:rsid w:val="003C5DB2"/>
    <w:rsid w:val="003C7806"/>
    <w:rsid w:val="003D109F"/>
    <w:rsid w:val="003D2478"/>
    <w:rsid w:val="003D292B"/>
    <w:rsid w:val="003D4459"/>
    <w:rsid w:val="003D5B1F"/>
    <w:rsid w:val="003D6B27"/>
    <w:rsid w:val="003E15FA"/>
    <w:rsid w:val="003E55E4"/>
    <w:rsid w:val="003E74E3"/>
    <w:rsid w:val="003F05C7"/>
    <w:rsid w:val="003F2CD4"/>
    <w:rsid w:val="003F6BBE"/>
    <w:rsid w:val="004000E8"/>
    <w:rsid w:val="00401681"/>
    <w:rsid w:val="00402E2B"/>
    <w:rsid w:val="0040512B"/>
    <w:rsid w:val="00405CA5"/>
    <w:rsid w:val="00407CD3"/>
    <w:rsid w:val="00407D36"/>
    <w:rsid w:val="00410134"/>
    <w:rsid w:val="00410B72"/>
    <w:rsid w:val="00410F18"/>
    <w:rsid w:val="0041263E"/>
    <w:rsid w:val="00413AAC"/>
    <w:rsid w:val="00420C41"/>
    <w:rsid w:val="00421105"/>
    <w:rsid w:val="00423ACF"/>
    <w:rsid w:val="004242F4"/>
    <w:rsid w:val="00427248"/>
    <w:rsid w:val="004345D0"/>
    <w:rsid w:val="00437447"/>
    <w:rsid w:val="00440222"/>
    <w:rsid w:val="00441A92"/>
    <w:rsid w:val="00444F56"/>
    <w:rsid w:val="00446488"/>
    <w:rsid w:val="00450DC4"/>
    <w:rsid w:val="004517AA"/>
    <w:rsid w:val="00452CAC"/>
    <w:rsid w:val="00454A0A"/>
    <w:rsid w:val="00457565"/>
    <w:rsid w:val="00457B71"/>
    <w:rsid w:val="00460AC7"/>
    <w:rsid w:val="00463868"/>
    <w:rsid w:val="004669E2"/>
    <w:rsid w:val="00470C31"/>
    <w:rsid w:val="004734D0"/>
    <w:rsid w:val="0047556B"/>
    <w:rsid w:val="00477768"/>
    <w:rsid w:val="00480E7C"/>
    <w:rsid w:val="004848B7"/>
    <w:rsid w:val="00492BC5"/>
    <w:rsid w:val="004955D2"/>
    <w:rsid w:val="004964F1"/>
    <w:rsid w:val="004A16BC"/>
    <w:rsid w:val="004A2B94"/>
    <w:rsid w:val="004A6118"/>
    <w:rsid w:val="004A6B85"/>
    <w:rsid w:val="004B7C0C"/>
    <w:rsid w:val="004C3898"/>
    <w:rsid w:val="004D36B1"/>
    <w:rsid w:val="004D6C3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6B3"/>
    <w:rsid w:val="005153A7"/>
    <w:rsid w:val="00515AF9"/>
    <w:rsid w:val="0051611D"/>
    <w:rsid w:val="005219CF"/>
    <w:rsid w:val="00534B59"/>
    <w:rsid w:val="00536759"/>
    <w:rsid w:val="00537C62"/>
    <w:rsid w:val="00545AA4"/>
    <w:rsid w:val="00546970"/>
    <w:rsid w:val="00554E19"/>
    <w:rsid w:val="00557793"/>
    <w:rsid w:val="0056121F"/>
    <w:rsid w:val="00572505"/>
    <w:rsid w:val="00582809"/>
    <w:rsid w:val="0058798C"/>
    <w:rsid w:val="005900FA"/>
    <w:rsid w:val="005935A4"/>
    <w:rsid w:val="005948C2"/>
    <w:rsid w:val="00594967"/>
    <w:rsid w:val="0059566D"/>
    <w:rsid w:val="00595DCA"/>
    <w:rsid w:val="0059779B"/>
    <w:rsid w:val="005A016D"/>
    <w:rsid w:val="005A209A"/>
    <w:rsid w:val="005A2FE2"/>
    <w:rsid w:val="005A662D"/>
    <w:rsid w:val="005B35D7"/>
    <w:rsid w:val="005B392A"/>
    <w:rsid w:val="005B3AA3"/>
    <w:rsid w:val="005B6F83"/>
    <w:rsid w:val="005C74FB"/>
    <w:rsid w:val="005D1602"/>
    <w:rsid w:val="005E0239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143A7"/>
    <w:rsid w:val="00614BE6"/>
    <w:rsid w:val="00620A71"/>
    <w:rsid w:val="00620D80"/>
    <w:rsid w:val="006222C5"/>
    <w:rsid w:val="006234A6"/>
    <w:rsid w:val="00630001"/>
    <w:rsid w:val="006311B3"/>
    <w:rsid w:val="0063284C"/>
    <w:rsid w:val="00635CD8"/>
    <w:rsid w:val="00636398"/>
    <w:rsid w:val="006368D3"/>
    <w:rsid w:val="006377EC"/>
    <w:rsid w:val="0064151F"/>
    <w:rsid w:val="00641533"/>
    <w:rsid w:val="0064208D"/>
    <w:rsid w:val="00643475"/>
    <w:rsid w:val="0064366A"/>
    <w:rsid w:val="0064396A"/>
    <w:rsid w:val="0064624E"/>
    <w:rsid w:val="00650AB9"/>
    <w:rsid w:val="00655733"/>
    <w:rsid w:val="00655ACD"/>
    <w:rsid w:val="00656A92"/>
    <w:rsid w:val="00656DDE"/>
    <w:rsid w:val="00657BEF"/>
    <w:rsid w:val="0066011D"/>
    <w:rsid w:val="006607C0"/>
    <w:rsid w:val="006613A6"/>
    <w:rsid w:val="006627A2"/>
    <w:rsid w:val="006634E6"/>
    <w:rsid w:val="006655EE"/>
    <w:rsid w:val="0066708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A5B"/>
    <w:rsid w:val="00695FC2"/>
    <w:rsid w:val="00696949"/>
    <w:rsid w:val="00697052"/>
    <w:rsid w:val="006A109B"/>
    <w:rsid w:val="006A1A22"/>
    <w:rsid w:val="006A46FB"/>
    <w:rsid w:val="006A5E28"/>
    <w:rsid w:val="006A697B"/>
    <w:rsid w:val="006A7AFF"/>
    <w:rsid w:val="006B1816"/>
    <w:rsid w:val="006B2099"/>
    <w:rsid w:val="006B50CF"/>
    <w:rsid w:val="006C03B8"/>
    <w:rsid w:val="006C533E"/>
    <w:rsid w:val="006C5EC9"/>
    <w:rsid w:val="006C6059"/>
    <w:rsid w:val="006C7522"/>
    <w:rsid w:val="006D1B7C"/>
    <w:rsid w:val="006D39D0"/>
    <w:rsid w:val="006D4945"/>
    <w:rsid w:val="006D580B"/>
    <w:rsid w:val="006D6F08"/>
    <w:rsid w:val="006E062C"/>
    <w:rsid w:val="006E28B7"/>
    <w:rsid w:val="006E3310"/>
    <w:rsid w:val="006E4B9B"/>
    <w:rsid w:val="006E4E39"/>
    <w:rsid w:val="006E565E"/>
    <w:rsid w:val="006E584D"/>
    <w:rsid w:val="006E5AB3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7B5"/>
    <w:rsid w:val="007148D3"/>
    <w:rsid w:val="00715B9A"/>
    <w:rsid w:val="00715E03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561"/>
    <w:rsid w:val="00761879"/>
    <w:rsid w:val="00765281"/>
    <w:rsid w:val="00766BAD"/>
    <w:rsid w:val="007755F2"/>
    <w:rsid w:val="00776971"/>
    <w:rsid w:val="0078177E"/>
    <w:rsid w:val="0078304C"/>
    <w:rsid w:val="00783673"/>
    <w:rsid w:val="00785490"/>
    <w:rsid w:val="0078566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95E"/>
    <w:rsid w:val="007D4D93"/>
    <w:rsid w:val="007D5901"/>
    <w:rsid w:val="007D5C5E"/>
    <w:rsid w:val="007D7526"/>
    <w:rsid w:val="007E4610"/>
    <w:rsid w:val="007E4715"/>
    <w:rsid w:val="007E505B"/>
    <w:rsid w:val="007E7091"/>
    <w:rsid w:val="007E7FA6"/>
    <w:rsid w:val="007F680C"/>
    <w:rsid w:val="00802D2E"/>
    <w:rsid w:val="00803FAE"/>
    <w:rsid w:val="0080605F"/>
    <w:rsid w:val="00807786"/>
    <w:rsid w:val="00811FCB"/>
    <w:rsid w:val="008158D6"/>
    <w:rsid w:val="00817196"/>
    <w:rsid w:val="008235DB"/>
    <w:rsid w:val="00824AB4"/>
    <w:rsid w:val="00824F35"/>
    <w:rsid w:val="00825C42"/>
    <w:rsid w:val="00825D25"/>
    <w:rsid w:val="008271F6"/>
    <w:rsid w:val="00827D6F"/>
    <w:rsid w:val="00834FC1"/>
    <w:rsid w:val="008363D4"/>
    <w:rsid w:val="008376AC"/>
    <w:rsid w:val="008444E8"/>
    <w:rsid w:val="00844E80"/>
    <w:rsid w:val="00846FE7"/>
    <w:rsid w:val="00856911"/>
    <w:rsid w:val="00862E3A"/>
    <w:rsid w:val="008677FD"/>
    <w:rsid w:val="008706D4"/>
    <w:rsid w:val="00870F8A"/>
    <w:rsid w:val="008719A4"/>
    <w:rsid w:val="00871D23"/>
    <w:rsid w:val="008737C6"/>
    <w:rsid w:val="00874312"/>
    <w:rsid w:val="0087437C"/>
    <w:rsid w:val="00875085"/>
    <w:rsid w:val="00875CD7"/>
    <w:rsid w:val="00876B4D"/>
    <w:rsid w:val="00877F18"/>
    <w:rsid w:val="008929F3"/>
    <w:rsid w:val="00892DBC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A84"/>
    <w:rsid w:val="008C4B1E"/>
    <w:rsid w:val="008C4BAA"/>
    <w:rsid w:val="008C6AE8"/>
    <w:rsid w:val="008C7573"/>
    <w:rsid w:val="008D1CBC"/>
    <w:rsid w:val="008D1DC0"/>
    <w:rsid w:val="008D255B"/>
    <w:rsid w:val="008D34F1"/>
    <w:rsid w:val="008D39D8"/>
    <w:rsid w:val="008D3D1F"/>
    <w:rsid w:val="008D6D1A"/>
    <w:rsid w:val="008D75C5"/>
    <w:rsid w:val="008E0927"/>
    <w:rsid w:val="008E1909"/>
    <w:rsid w:val="008F1EAB"/>
    <w:rsid w:val="008F33DC"/>
    <w:rsid w:val="008F477F"/>
    <w:rsid w:val="008F5337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201"/>
    <w:rsid w:val="00920BF2"/>
    <w:rsid w:val="00922010"/>
    <w:rsid w:val="00922CDF"/>
    <w:rsid w:val="00931BD9"/>
    <w:rsid w:val="009368F3"/>
    <w:rsid w:val="009409E1"/>
    <w:rsid w:val="00940D35"/>
    <w:rsid w:val="00941636"/>
    <w:rsid w:val="00943742"/>
    <w:rsid w:val="00945C05"/>
    <w:rsid w:val="00946945"/>
    <w:rsid w:val="00947639"/>
    <w:rsid w:val="00947713"/>
    <w:rsid w:val="00950DE7"/>
    <w:rsid w:val="00952A2C"/>
    <w:rsid w:val="00953920"/>
    <w:rsid w:val="00953D47"/>
    <w:rsid w:val="0095681E"/>
    <w:rsid w:val="009572D4"/>
    <w:rsid w:val="00961921"/>
    <w:rsid w:val="0096430A"/>
    <w:rsid w:val="0096554B"/>
    <w:rsid w:val="0096584A"/>
    <w:rsid w:val="00965D2E"/>
    <w:rsid w:val="00971747"/>
    <w:rsid w:val="00971F08"/>
    <w:rsid w:val="0097603D"/>
    <w:rsid w:val="00976949"/>
    <w:rsid w:val="00980477"/>
    <w:rsid w:val="009841F7"/>
    <w:rsid w:val="00985253"/>
    <w:rsid w:val="009853B3"/>
    <w:rsid w:val="009863BA"/>
    <w:rsid w:val="00990630"/>
    <w:rsid w:val="00991761"/>
    <w:rsid w:val="00994DCA"/>
    <w:rsid w:val="009960EC"/>
    <w:rsid w:val="009970DD"/>
    <w:rsid w:val="009A0FBA"/>
    <w:rsid w:val="009A1601"/>
    <w:rsid w:val="009A3E3A"/>
    <w:rsid w:val="009A462D"/>
    <w:rsid w:val="009A5CBA"/>
    <w:rsid w:val="009A6EB8"/>
    <w:rsid w:val="009B1F30"/>
    <w:rsid w:val="009B3AC2"/>
    <w:rsid w:val="009B4DF4"/>
    <w:rsid w:val="009B564E"/>
    <w:rsid w:val="009B6548"/>
    <w:rsid w:val="009B7E87"/>
    <w:rsid w:val="009C403E"/>
    <w:rsid w:val="009D4FF0"/>
    <w:rsid w:val="009D703C"/>
    <w:rsid w:val="009D718F"/>
    <w:rsid w:val="009E068F"/>
    <w:rsid w:val="009E14E0"/>
    <w:rsid w:val="009E35DB"/>
    <w:rsid w:val="009E3AA5"/>
    <w:rsid w:val="009E440A"/>
    <w:rsid w:val="009E47A3"/>
    <w:rsid w:val="009F08F3"/>
    <w:rsid w:val="009F344F"/>
    <w:rsid w:val="00A048A8"/>
    <w:rsid w:val="00A13E54"/>
    <w:rsid w:val="00A14200"/>
    <w:rsid w:val="00A1444F"/>
    <w:rsid w:val="00A14E8E"/>
    <w:rsid w:val="00A17C71"/>
    <w:rsid w:val="00A17F63"/>
    <w:rsid w:val="00A2193B"/>
    <w:rsid w:val="00A229C1"/>
    <w:rsid w:val="00A2351A"/>
    <w:rsid w:val="00A264A9"/>
    <w:rsid w:val="00A26BC8"/>
    <w:rsid w:val="00A27785"/>
    <w:rsid w:val="00A30187"/>
    <w:rsid w:val="00A31262"/>
    <w:rsid w:val="00A3448A"/>
    <w:rsid w:val="00A36297"/>
    <w:rsid w:val="00A41E2B"/>
    <w:rsid w:val="00A422BF"/>
    <w:rsid w:val="00A43092"/>
    <w:rsid w:val="00A457AC"/>
    <w:rsid w:val="00A45B74"/>
    <w:rsid w:val="00A461B9"/>
    <w:rsid w:val="00A52E1D"/>
    <w:rsid w:val="00A60A6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16E9"/>
    <w:rsid w:val="00A92879"/>
    <w:rsid w:val="00A9442A"/>
    <w:rsid w:val="00AA016F"/>
    <w:rsid w:val="00AA1ED6"/>
    <w:rsid w:val="00AA2C95"/>
    <w:rsid w:val="00AA51D6"/>
    <w:rsid w:val="00AB0BC8"/>
    <w:rsid w:val="00AB11CA"/>
    <w:rsid w:val="00AB14D9"/>
    <w:rsid w:val="00AB4AB8"/>
    <w:rsid w:val="00AB655E"/>
    <w:rsid w:val="00AC007F"/>
    <w:rsid w:val="00AC144B"/>
    <w:rsid w:val="00AC1EEE"/>
    <w:rsid w:val="00AC2ECD"/>
    <w:rsid w:val="00AC3119"/>
    <w:rsid w:val="00AC49FB"/>
    <w:rsid w:val="00AC5A10"/>
    <w:rsid w:val="00AC7B99"/>
    <w:rsid w:val="00AD0AA3"/>
    <w:rsid w:val="00AD3F94"/>
    <w:rsid w:val="00AD4A5A"/>
    <w:rsid w:val="00AE1A7F"/>
    <w:rsid w:val="00AE27AC"/>
    <w:rsid w:val="00AE40E0"/>
    <w:rsid w:val="00AE4976"/>
    <w:rsid w:val="00AE4DBA"/>
    <w:rsid w:val="00AE4F07"/>
    <w:rsid w:val="00AE5300"/>
    <w:rsid w:val="00AE6885"/>
    <w:rsid w:val="00AF1C5D"/>
    <w:rsid w:val="00AF42D7"/>
    <w:rsid w:val="00B0004C"/>
    <w:rsid w:val="00B006FE"/>
    <w:rsid w:val="00B007CB"/>
    <w:rsid w:val="00B018FB"/>
    <w:rsid w:val="00B02AA9"/>
    <w:rsid w:val="00B02FA3"/>
    <w:rsid w:val="00B05084"/>
    <w:rsid w:val="00B157F9"/>
    <w:rsid w:val="00B16F8C"/>
    <w:rsid w:val="00B20256"/>
    <w:rsid w:val="00B20D09"/>
    <w:rsid w:val="00B24E33"/>
    <w:rsid w:val="00B2763F"/>
    <w:rsid w:val="00B27AAC"/>
    <w:rsid w:val="00B3089C"/>
    <w:rsid w:val="00B30929"/>
    <w:rsid w:val="00B372AA"/>
    <w:rsid w:val="00B40445"/>
    <w:rsid w:val="00B41888"/>
    <w:rsid w:val="00B45A52"/>
    <w:rsid w:val="00B46175"/>
    <w:rsid w:val="00B5339D"/>
    <w:rsid w:val="00B57C69"/>
    <w:rsid w:val="00B61A02"/>
    <w:rsid w:val="00B63AF6"/>
    <w:rsid w:val="00B664C7"/>
    <w:rsid w:val="00B739F6"/>
    <w:rsid w:val="00B81A6C"/>
    <w:rsid w:val="00B85DE5"/>
    <w:rsid w:val="00B90F73"/>
    <w:rsid w:val="00B936A8"/>
    <w:rsid w:val="00B93B59"/>
    <w:rsid w:val="00B9406A"/>
    <w:rsid w:val="00BA2280"/>
    <w:rsid w:val="00BA2A08"/>
    <w:rsid w:val="00BA56D2"/>
    <w:rsid w:val="00BA76E0"/>
    <w:rsid w:val="00BB2A25"/>
    <w:rsid w:val="00BB30B2"/>
    <w:rsid w:val="00BB51E9"/>
    <w:rsid w:val="00BC0FDC"/>
    <w:rsid w:val="00BC3053"/>
    <w:rsid w:val="00BC4D2E"/>
    <w:rsid w:val="00BC588D"/>
    <w:rsid w:val="00BD48AC"/>
    <w:rsid w:val="00BD5F1A"/>
    <w:rsid w:val="00BD6470"/>
    <w:rsid w:val="00BE1234"/>
    <w:rsid w:val="00BE2FA6"/>
    <w:rsid w:val="00BE333F"/>
    <w:rsid w:val="00BE7406"/>
    <w:rsid w:val="00BE7555"/>
    <w:rsid w:val="00BE7603"/>
    <w:rsid w:val="00BF3279"/>
    <w:rsid w:val="00BF74C7"/>
    <w:rsid w:val="00C015F1"/>
    <w:rsid w:val="00C01F33"/>
    <w:rsid w:val="00C02CC6"/>
    <w:rsid w:val="00C040F7"/>
    <w:rsid w:val="00C043EF"/>
    <w:rsid w:val="00C044AB"/>
    <w:rsid w:val="00C05415"/>
    <w:rsid w:val="00C05706"/>
    <w:rsid w:val="00C07377"/>
    <w:rsid w:val="00C076B1"/>
    <w:rsid w:val="00C10478"/>
    <w:rsid w:val="00C12107"/>
    <w:rsid w:val="00C14D4B"/>
    <w:rsid w:val="00C154BB"/>
    <w:rsid w:val="00C161F1"/>
    <w:rsid w:val="00C2055C"/>
    <w:rsid w:val="00C21A21"/>
    <w:rsid w:val="00C279B5"/>
    <w:rsid w:val="00C27C45"/>
    <w:rsid w:val="00C3719D"/>
    <w:rsid w:val="00C54995"/>
    <w:rsid w:val="00C54D41"/>
    <w:rsid w:val="00C568CC"/>
    <w:rsid w:val="00C60783"/>
    <w:rsid w:val="00C64672"/>
    <w:rsid w:val="00C67B26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B74"/>
    <w:rsid w:val="00CA120B"/>
    <w:rsid w:val="00CA1ED8"/>
    <w:rsid w:val="00CA77D2"/>
    <w:rsid w:val="00CB1F63"/>
    <w:rsid w:val="00CB3294"/>
    <w:rsid w:val="00CB5DBC"/>
    <w:rsid w:val="00CB7170"/>
    <w:rsid w:val="00CB7CBD"/>
    <w:rsid w:val="00CC040E"/>
    <w:rsid w:val="00CC0982"/>
    <w:rsid w:val="00CC111F"/>
    <w:rsid w:val="00CC2011"/>
    <w:rsid w:val="00CC2675"/>
    <w:rsid w:val="00CC3EA0"/>
    <w:rsid w:val="00CC7B45"/>
    <w:rsid w:val="00CD1188"/>
    <w:rsid w:val="00CD2ED1"/>
    <w:rsid w:val="00CD337B"/>
    <w:rsid w:val="00CE021D"/>
    <w:rsid w:val="00CE7155"/>
    <w:rsid w:val="00CE7561"/>
    <w:rsid w:val="00CF1354"/>
    <w:rsid w:val="00CF3B1F"/>
    <w:rsid w:val="00CF3BF6"/>
    <w:rsid w:val="00CF5AE7"/>
    <w:rsid w:val="00CF625B"/>
    <w:rsid w:val="00CF687E"/>
    <w:rsid w:val="00D02BCD"/>
    <w:rsid w:val="00D0349B"/>
    <w:rsid w:val="00D10249"/>
    <w:rsid w:val="00D115C3"/>
    <w:rsid w:val="00D11897"/>
    <w:rsid w:val="00D13135"/>
    <w:rsid w:val="00D13E4E"/>
    <w:rsid w:val="00D239A7"/>
    <w:rsid w:val="00D23F47"/>
    <w:rsid w:val="00D34847"/>
    <w:rsid w:val="00D36E71"/>
    <w:rsid w:val="00D37707"/>
    <w:rsid w:val="00D37D87"/>
    <w:rsid w:val="00D40B33"/>
    <w:rsid w:val="00D4318F"/>
    <w:rsid w:val="00D438BF"/>
    <w:rsid w:val="00D440F8"/>
    <w:rsid w:val="00D50189"/>
    <w:rsid w:val="00D5037A"/>
    <w:rsid w:val="00D50943"/>
    <w:rsid w:val="00D546FF"/>
    <w:rsid w:val="00D55AD5"/>
    <w:rsid w:val="00D561D2"/>
    <w:rsid w:val="00D576CA"/>
    <w:rsid w:val="00D57FAF"/>
    <w:rsid w:val="00D61AF5"/>
    <w:rsid w:val="00D652B5"/>
    <w:rsid w:val="00D66155"/>
    <w:rsid w:val="00D708B0"/>
    <w:rsid w:val="00D70EBB"/>
    <w:rsid w:val="00D77B1D"/>
    <w:rsid w:val="00D8021F"/>
    <w:rsid w:val="00D80383"/>
    <w:rsid w:val="00D80ABB"/>
    <w:rsid w:val="00D823C6"/>
    <w:rsid w:val="00D82685"/>
    <w:rsid w:val="00D86CA3"/>
    <w:rsid w:val="00D871CE"/>
    <w:rsid w:val="00D9196D"/>
    <w:rsid w:val="00D91FC5"/>
    <w:rsid w:val="00D92982"/>
    <w:rsid w:val="00DA305E"/>
    <w:rsid w:val="00DA5417"/>
    <w:rsid w:val="00DA56E8"/>
    <w:rsid w:val="00DB377D"/>
    <w:rsid w:val="00DC2D36"/>
    <w:rsid w:val="00DC53EF"/>
    <w:rsid w:val="00DD33C7"/>
    <w:rsid w:val="00DD6F4D"/>
    <w:rsid w:val="00DE5608"/>
    <w:rsid w:val="00DE58D0"/>
    <w:rsid w:val="00DE654F"/>
    <w:rsid w:val="00DF0B6E"/>
    <w:rsid w:val="00DF15E0"/>
    <w:rsid w:val="00DF37A0"/>
    <w:rsid w:val="00E10F92"/>
    <w:rsid w:val="00E110E7"/>
    <w:rsid w:val="00E11B20"/>
    <w:rsid w:val="00E17FA2"/>
    <w:rsid w:val="00E21768"/>
    <w:rsid w:val="00E22330"/>
    <w:rsid w:val="00E30B5A"/>
    <w:rsid w:val="00E3123D"/>
    <w:rsid w:val="00E31461"/>
    <w:rsid w:val="00E31D43"/>
    <w:rsid w:val="00E32608"/>
    <w:rsid w:val="00E34188"/>
    <w:rsid w:val="00E341FD"/>
    <w:rsid w:val="00E34B6E"/>
    <w:rsid w:val="00E35559"/>
    <w:rsid w:val="00E3723A"/>
    <w:rsid w:val="00E37860"/>
    <w:rsid w:val="00E37EB4"/>
    <w:rsid w:val="00E446F1"/>
    <w:rsid w:val="00E46886"/>
    <w:rsid w:val="00E47AEF"/>
    <w:rsid w:val="00E50715"/>
    <w:rsid w:val="00E53B75"/>
    <w:rsid w:val="00E54E3B"/>
    <w:rsid w:val="00E57565"/>
    <w:rsid w:val="00E63838"/>
    <w:rsid w:val="00E64434"/>
    <w:rsid w:val="00E67C51"/>
    <w:rsid w:val="00E72168"/>
    <w:rsid w:val="00E72EFC"/>
    <w:rsid w:val="00E758EC"/>
    <w:rsid w:val="00E8234C"/>
    <w:rsid w:val="00E83AA9"/>
    <w:rsid w:val="00E85928"/>
    <w:rsid w:val="00E87822"/>
    <w:rsid w:val="00E90395"/>
    <w:rsid w:val="00E908EF"/>
    <w:rsid w:val="00E90E49"/>
    <w:rsid w:val="00E917F9"/>
    <w:rsid w:val="00E9263B"/>
    <w:rsid w:val="00E9291C"/>
    <w:rsid w:val="00E93FFE"/>
    <w:rsid w:val="00E94F8A"/>
    <w:rsid w:val="00E963C8"/>
    <w:rsid w:val="00EA2B2F"/>
    <w:rsid w:val="00EA2CE5"/>
    <w:rsid w:val="00EA7A41"/>
    <w:rsid w:val="00EB077B"/>
    <w:rsid w:val="00EB2973"/>
    <w:rsid w:val="00EB4EA2"/>
    <w:rsid w:val="00EB57F9"/>
    <w:rsid w:val="00EC27C6"/>
    <w:rsid w:val="00EC4207"/>
    <w:rsid w:val="00EC5653"/>
    <w:rsid w:val="00EC6118"/>
    <w:rsid w:val="00EC71CE"/>
    <w:rsid w:val="00ED1006"/>
    <w:rsid w:val="00EF109C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1CD"/>
    <w:rsid w:val="00F209B7"/>
    <w:rsid w:val="00F2376F"/>
    <w:rsid w:val="00F243D8"/>
    <w:rsid w:val="00F303F8"/>
    <w:rsid w:val="00F30828"/>
    <w:rsid w:val="00F313D6"/>
    <w:rsid w:val="00F31511"/>
    <w:rsid w:val="00F40F0C"/>
    <w:rsid w:val="00F4766C"/>
    <w:rsid w:val="00F476E7"/>
    <w:rsid w:val="00F507D1"/>
    <w:rsid w:val="00F519CE"/>
    <w:rsid w:val="00F51ADA"/>
    <w:rsid w:val="00F57628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06F"/>
    <w:rsid w:val="00F804BE"/>
    <w:rsid w:val="00F817CE"/>
    <w:rsid w:val="00F8456C"/>
    <w:rsid w:val="00F859D8"/>
    <w:rsid w:val="00F8681D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053"/>
    <w:rsid w:val="00FC72DE"/>
    <w:rsid w:val="00FC7429"/>
    <w:rsid w:val="00FD07F6"/>
    <w:rsid w:val="00FD1EC8"/>
    <w:rsid w:val="00FD440D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21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3388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0F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10F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10F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10F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10F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10F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0F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0F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0F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0F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10F92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E10F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E10F9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0F92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E10F92"/>
    <w:pPr>
      <w:ind w:left="1701" w:hanging="1701"/>
    </w:pPr>
  </w:style>
  <w:style w:type="paragraph" w:styleId="TOC4">
    <w:name w:val="toc 4"/>
    <w:basedOn w:val="TOC3"/>
    <w:semiHidden/>
    <w:rsid w:val="00E10F92"/>
    <w:pPr>
      <w:ind w:left="1418" w:hanging="1418"/>
    </w:pPr>
  </w:style>
  <w:style w:type="paragraph" w:styleId="TOC3">
    <w:name w:val="toc 3"/>
    <w:basedOn w:val="TOC2"/>
    <w:semiHidden/>
    <w:rsid w:val="00E10F92"/>
    <w:pPr>
      <w:ind w:left="1134" w:hanging="1134"/>
    </w:pPr>
  </w:style>
  <w:style w:type="paragraph" w:styleId="TOC2">
    <w:name w:val="toc 2"/>
    <w:basedOn w:val="TOC1"/>
    <w:semiHidden/>
    <w:rsid w:val="00E10F92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E10F92"/>
    <w:pPr>
      <w:ind w:left="284"/>
    </w:pPr>
  </w:style>
  <w:style w:type="paragraph" w:styleId="Index1">
    <w:name w:val="index 1"/>
    <w:basedOn w:val="Normal"/>
    <w:semiHidden/>
    <w:rsid w:val="00E10F92"/>
    <w:pPr>
      <w:keepLines/>
      <w:spacing w:after="0"/>
    </w:pPr>
  </w:style>
  <w:style w:type="paragraph" w:styleId="DocumentMap">
    <w:name w:val="Document Map"/>
    <w:basedOn w:val="Normal"/>
    <w:semiHidden/>
    <w:rsid w:val="00E10F9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0F92"/>
    <w:pPr>
      <w:ind w:left="851"/>
    </w:pPr>
  </w:style>
  <w:style w:type="paragraph" w:styleId="ListNumber">
    <w:name w:val="List Number"/>
    <w:basedOn w:val="List"/>
    <w:rsid w:val="00E10F92"/>
  </w:style>
  <w:style w:type="paragraph" w:styleId="List">
    <w:name w:val="List"/>
    <w:basedOn w:val="Normal"/>
    <w:rsid w:val="00E10F92"/>
    <w:pPr>
      <w:ind w:left="568" w:hanging="284"/>
    </w:pPr>
  </w:style>
  <w:style w:type="paragraph" w:styleId="Header">
    <w:name w:val="header"/>
    <w:rsid w:val="00E10F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0F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0F9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10F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10F92"/>
    <w:pPr>
      <w:ind w:left="1418" w:hanging="1418"/>
    </w:pPr>
  </w:style>
  <w:style w:type="paragraph" w:styleId="TOC6">
    <w:name w:val="toc 6"/>
    <w:basedOn w:val="TOC5"/>
    <w:next w:val="Normal"/>
    <w:semiHidden/>
    <w:rsid w:val="00E10F92"/>
    <w:pPr>
      <w:ind w:left="1985" w:hanging="1985"/>
    </w:pPr>
  </w:style>
  <w:style w:type="paragraph" w:styleId="TOC7">
    <w:name w:val="toc 7"/>
    <w:basedOn w:val="TOC6"/>
    <w:next w:val="Normal"/>
    <w:semiHidden/>
    <w:rsid w:val="00E10F92"/>
    <w:pPr>
      <w:ind w:left="2268" w:hanging="2268"/>
    </w:pPr>
  </w:style>
  <w:style w:type="paragraph" w:styleId="ListBullet2">
    <w:name w:val="List Bullet 2"/>
    <w:basedOn w:val="ListBullet"/>
    <w:rsid w:val="00E10F92"/>
    <w:pPr>
      <w:numPr>
        <w:numId w:val="6"/>
      </w:numPr>
    </w:pPr>
  </w:style>
  <w:style w:type="paragraph" w:styleId="ListBullet">
    <w:name w:val="List Bullet"/>
    <w:basedOn w:val="BodyText"/>
    <w:rsid w:val="00E10F92"/>
    <w:pPr>
      <w:numPr>
        <w:numId w:val="5"/>
      </w:numPr>
    </w:pPr>
  </w:style>
  <w:style w:type="paragraph" w:styleId="ListBullet3">
    <w:name w:val="List Bullet 3"/>
    <w:basedOn w:val="ListBullet2"/>
    <w:rsid w:val="00E10F92"/>
    <w:pPr>
      <w:numPr>
        <w:numId w:val="7"/>
      </w:numPr>
    </w:pPr>
  </w:style>
  <w:style w:type="paragraph" w:customStyle="1" w:styleId="EQ">
    <w:name w:val="EQ"/>
    <w:basedOn w:val="Normal"/>
    <w:next w:val="Normal"/>
    <w:rsid w:val="00E10F9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10F92"/>
    <w:pPr>
      <w:ind w:left="851"/>
    </w:pPr>
  </w:style>
  <w:style w:type="paragraph" w:styleId="List3">
    <w:name w:val="List 3"/>
    <w:basedOn w:val="List2"/>
    <w:rsid w:val="00E10F92"/>
    <w:pPr>
      <w:ind w:left="1135"/>
    </w:pPr>
  </w:style>
  <w:style w:type="paragraph" w:styleId="List4">
    <w:name w:val="List 4"/>
    <w:basedOn w:val="List3"/>
    <w:rsid w:val="00E10F92"/>
    <w:pPr>
      <w:ind w:left="1418"/>
    </w:pPr>
  </w:style>
  <w:style w:type="paragraph" w:styleId="List5">
    <w:name w:val="List 5"/>
    <w:basedOn w:val="List4"/>
    <w:rsid w:val="00E10F92"/>
    <w:pPr>
      <w:ind w:left="1702"/>
    </w:pPr>
  </w:style>
  <w:style w:type="paragraph" w:customStyle="1" w:styleId="EditorsNote">
    <w:name w:val="Editor's Note"/>
    <w:basedOn w:val="Normal"/>
    <w:rsid w:val="00E10F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10F92"/>
    <w:pPr>
      <w:numPr>
        <w:numId w:val="8"/>
      </w:numPr>
    </w:pPr>
  </w:style>
  <w:style w:type="paragraph" w:styleId="ListBullet5">
    <w:name w:val="List Bullet 5"/>
    <w:basedOn w:val="ListBullet4"/>
    <w:rsid w:val="00E10F92"/>
    <w:pPr>
      <w:numPr>
        <w:numId w:val="4"/>
      </w:numPr>
    </w:pPr>
  </w:style>
  <w:style w:type="paragraph" w:styleId="Footer">
    <w:name w:val="footer"/>
    <w:basedOn w:val="Header"/>
    <w:semiHidden/>
    <w:rsid w:val="00E10F9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10F92"/>
    <w:pPr>
      <w:numPr>
        <w:numId w:val="2"/>
      </w:numPr>
    </w:pPr>
  </w:style>
  <w:style w:type="paragraph" w:styleId="BalloonText">
    <w:name w:val="Balloon Text"/>
    <w:basedOn w:val="Normal"/>
    <w:semiHidden/>
    <w:rsid w:val="00E10F92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E10F92"/>
  </w:style>
  <w:style w:type="paragraph" w:styleId="BodyText">
    <w:name w:val="Body Text"/>
    <w:basedOn w:val="Normal"/>
    <w:link w:val="BodyTextChar"/>
    <w:rsid w:val="00E10F92"/>
  </w:style>
  <w:style w:type="character" w:styleId="Hyperlink">
    <w:name w:val="Hyperlink"/>
    <w:rsid w:val="00E10F92"/>
    <w:rPr>
      <w:color w:val="0000FF"/>
      <w:u w:val="single"/>
    </w:rPr>
  </w:style>
  <w:style w:type="character" w:styleId="FollowedHyperlink">
    <w:name w:val="FollowedHyperlink"/>
    <w:semiHidden/>
    <w:rsid w:val="00E10F92"/>
    <w:rPr>
      <w:color w:val="FF0000"/>
      <w:u w:val="single"/>
    </w:rPr>
  </w:style>
  <w:style w:type="character" w:styleId="CommentReference">
    <w:name w:val="annotation reference"/>
    <w:uiPriority w:val="99"/>
    <w:semiHidden/>
    <w:rsid w:val="00E10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10F92"/>
  </w:style>
  <w:style w:type="paragraph" w:styleId="CommentSubject">
    <w:name w:val="annotation subject"/>
    <w:basedOn w:val="CommentText"/>
    <w:next w:val="CommentText"/>
    <w:semiHidden/>
    <w:rsid w:val="00E10F92"/>
    <w:rPr>
      <w:b/>
      <w:bCs/>
    </w:rPr>
  </w:style>
  <w:style w:type="character" w:customStyle="1" w:styleId="Heading1Char">
    <w:name w:val="Heading 1 Char"/>
    <w:link w:val="Heading1"/>
    <w:rsid w:val="00E10F9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E10F9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10F9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10F9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10F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10F9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E10F9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10F9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10F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10F92"/>
    <w:pPr>
      <w:spacing w:after="0"/>
    </w:pPr>
  </w:style>
  <w:style w:type="paragraph" w:customStyle="1" w:styleId="TAL">
    <w:name w:val="TAL"/>
    <w:basedOn w:val="Normal"/>
    <w:rsid w:val="00E10F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10F92"/>
    <w:pPr>
      <w:jc w:val="center"/>
    </w:pPr>
  </w:style>
  <w:style w:type="paragraph" w:customStyle="1" w:styleId="TAH">
    <w:name w:val="TAH"/>
    <w:basedOn w:val="TAC"/>
    <w:rsid w:val="00E10F92"/>
    <w:rPr>
      <w:b/>
    </w:rPr>
  </w:style>
  <w:style w:type="paragraph" w:customStyle="1" w:styleId="TAN">
    <w:name w:val="TAN"/>
    <w:basedOn w:val="TAL"/>
    <w:rsid w:val="00E10F92"/>
    <w:pPr>
      <w:ind w:left="851" w:hanging="851"/>
    </w:pPr>
  </w:style>
  <w:style w:type="paragraph" w:customStyle="1" w:styleId="TAR">
    <w:name w:val="TAR"/>
    <w:basedOn w:val="TAL"/>
    <w:rsid w:val="00E10F92"/>
    <w:pPr>
      <w:jc w:val="right"/>
    </w:pPr>
  </w:style>
  <w:style w:type="paragraph" w:customStyle="1" w:styleId="TH">
    <w:name w:val="TH"/>
    <w:basedOn w:val="Normal"/>
    <w:rsid w:val="00E10F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10F9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0F9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0F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0F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0F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0F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0F92"/>
  </w:style>
  <w:style w:type="paragraph" w:customStyle="1" w:styleId="ZH">
    <w:name w:val="ZH"/>
    <w:rsid w:val="00E10F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0F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0F9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0F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0F92"/>
    <w:pPr>
      <w:framePr w:wrap="notBeside" w:y="16161"/>
    </w:pPr>
  </w:style>
  <w:style w:type="paragraph" w:customStyle="1" w:styleId="FP">
    <w:name w:val="FP"/>
    <w:basedOn w:val="Normal"/>
    <w:rsid w:val="00E10F92"/>
    <w:pPr>
      <w:spacing w:after="0"/>
      <w:jc w:val="left"/>
    </w:pPr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17617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TableofFigures">
    <w:name w:val="table of figures"/>
    <w:basedOn w:val="Normal"/>
    <w:next w:val="Normal"/>
    <w:semiHidden/>
    <w:rsid w:val="00E10F92"/>
    <w:pPr>
      <w:ind w:left="1418" w:hanging="1418"/>
      <w:jc w:val="left"/>
    </w:pPr>
    <w:rPr>
      <w:b/>
    </w:rPr>
  </w:style>
  <w:style w:type="character" w:customStyle="1" w:styleId="Doc-text2Char">
    <w:name w:val="Doc-text2 Char"/>
    <w:link w:val="Doc-text2"/>
    <w:rsid w:val="00176171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6171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176171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uiPriority w:val="99"/>
    <w:semiHidden/>
    <w:rsid w:val="009409E1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E341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0F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10F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10F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10F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10F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10F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0F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0F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0F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0F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10F92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E10F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E10F9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0F92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E10F92"/>
    <w:pPr>
      <w:ind w:left="1701" w:hanging="1701"/>
    </w:pPr>
  </w:style>
  <w:style w:type="paragraph" w:styleId="TOC4">
    <w:name w:val="toc 4"/>
    <w:basedOn w:val="TOC3"/>
    <w:semiHidden/>
    <w:rsid w:val="00E10F92"/>
    <w:pPr>
      <w:ind w:left="1418" w:hanging="1418"/>
    </w:pPr>
  </w:style>
  <w:style w:type="paragraph" w:styleId="TOC3">
    <w:name w:val="toc 3"/>
    <w:basedOn w:val="TOC2"/>
    <w:semiHidden/>
    <w:rsid w:val="00E10F92"/>
    <w:pPr>
      <w:ind w:left="1134" w:hanging="1134"/>
    </w:pPr>
  </w:style>
  <w:style w:type="paragraph" w:styleId="TOC2">
    <w:name w:val="toc 2"/>
    <w:basedOn w:val="TOC1"/>
    <w:semiHidden/>
    <w:rsid w:val="00E10F92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E10F92"/>
    <w:pPr>
      <w:ind w:left="284"/>
    </w:pPr>
  </w:style>
  <w:style w:type="paragraph" w:styleId="Index1">
    <w:name w:val="index 1"/>
    <w:basedOn w:val="Normal"/>
    <w:semiHidden/>
    <w:rsid w:val="00E10F92"/>
    <w:pPr>
      <w:keepLines/>
      <w:spacing w:after="0"/>
    </w:pPr>
  </w:style>
  <w:style w:type="paragraph" w:styleId="DocumentMap">
    <w:name w:val="Document Map"/>
    <w:basedOn w:val="Normal"/>
    <w:semiHidden/>
    <w:rsid w:val="00E10F9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0F92"/>
    <w:pPr>
      <w:ind w:left="851"/>
    </w:pPr>
  </w:style>
  <w:style w:type="paragraph" w:styleId="ListNumber">
    <w:name w:val="List Number"/>
    <w:basedOn w:val="List"/>
    <w:rsid w:val="00E10F92"/>
  </w:style>
  <w:style w:type="paragraph" w:styleId="List">
    <w:name w:val="List"/>
    <w:basedOn w:val="Normal"/>
    <w:rsid w:val="00E10F92"/>
    <w:pPr>
      <w:ind w:left="568" w:hanging="284"/>
    </w:pPr>
  </w:style>
  <w:style w:type="paragraph" w:styleId="Header">
    <w:name w:val="header"/>
    <w:rsid w:val="00E10F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0F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0F9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10F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10F92"/>
    <w:pPr>
      <w:ind w:left="1418" w:hanging="1418"/>
    </w:pPr>
  </w:style>
  <w:style w:type="paragraph" w:styleId="TOC6">
    <w:name w:val="toc 6"/>
    <w:basedOn w:val="TOC5"/>
    <w:next w:val="Normal"/>
    <w:semiHidden/>
    <w:rsid w:val="00E10F92"/>
    <w:pPr>
      <w:ind w:left="1985" w:hanging="1985"/>
    </w:pPr>
  </w:style>
  <w:style w:type="paragraph" w:styleId="TOC7">
    <w:name w:val="toc 7"/>
    <w:basedOn w:val="TOC6"/>
    <w:next w:val="Normal"/>
    <w:semiHidden/>
    <w:rsid w:val="00E10F92"/>
    <w:pPr>
      <w:ind w:left="2268" w:hanging="2268"/>
    </w:pPr>
  </w:style>
  <w:style w:type="paragraph" w:styleId="ListBullet2">
    <w:name w:val="List Bullet 2"/>
    <w:basedOn w:val="ListBullet"/>
    <w:rsid w:val="00E10F92"/>
    <w:pPr>
      <w:numPr>
        <w:numId w:val="6"/>
      </w:numPr>
    </w:pPr>
  </w:style>
  <w:style w:type="paragraph" w:styleId="ListBullet">
    <w:name w:val="List Bullet"/>
    <w:basedOn w:val="BodyText"/>
    <w:rsid w:val="00E10F92"/>
    <w:pPr>
      <w:numPr>
        <w:numId w:val="5"/>
      </w:numPr>
    </w:pPr>
  </w:style>
  <w:style w:type="paragraph" w:styleId="ListBullet3">
    <w:name w:val="List Bullet 3"/>
    <w:basedOn w:val="ListBullet2"/>
    <w:rsid w:val="00E10F92"/>
    <w:pPr>
      <w:numPr>
        <w:numId w:val="7"/>
      </w:numPr>
    </w:pPr>
  </w:style>
  <w:style w:type="paragraph" w:customStyle="1" w:styleId="EQ">
    <w:name w:val="EQ"/>
    <w:basedOn w:val="Normal"/>
    <w:next w:val="Normal"/>
    <w:rsid w:val="00E10F9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10F92"/>
    <w:pPr>
      <w:ind w:left="851"/>
    </w:pPr>
  </w:style>
  <w:style w:type="paragraph" w:styleId="List3">
    <w:name w:val="List 3"/>
    <w:basedOn w:val="List2"/>
    <w:rsid w:val="00E10F92"/>
    <w:pPr>
      <w:ind w:left="1135"/>
    </w:pPr>
  </w:style>
  <w:style w:type="paragraph" w:styleId="List4">
    <w:name w:val="List 4"/>
    <w:basedOn w:val="List3"/>
    <w:rsid w:val="00E10F92"/>
    <w:pPr>
      <w:ind w:left="1418"/>
    </w:pPr>
  </w:style>
  <w:style w:type="paragraph" w:styleId="List5">
    <w:name w:val="List 5"/>
    <w:basedOn w:val="List4"/>
    <w:rsid w:val="00E10F92"/>
    <w:pPr>
      <w:ind w:left="1702"/>
    </w:pPr>
  </w:style>
  <w:style w:type="paragraph" w:customStyle="1" w:styleId="EditorsNote">
    <w:name w:val="Editor's Note"/>
    <w:basedOn w:val="Normal"/>
    <w:rsid w:val="00E10F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10F92"/>
    <w:pPr>
      <w:numPr>
        <w:numId w:val="8"/>
      </w:numPr>
    </w:pPr>
  </w:style>
  <w:style w:type="paragraph" w:styleId="ListBullet5">
    <w:name w:val="List Bullet 5"/>
    <w:basedOn w:val="ListBullet4"/>
    <w:rsid w:val="00E10F92"/>
    <w:pPr>
      <w:numPr>
        <w:numId w:val="4"/>
      </w:numPr>
    </w:pPr>
  </w:style>
  <w:style w:type="paragraph" w:styleId="Footer">
    <w:name w:val="footer"/>
    <w:basedOn w:val="Header"/>
    <w:semiHidden/>
    <w:rsid w:val="00E10F9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10F92"/>
    <w:pPr>
      <w:numPr>
        <w:numId w:val="2"/>
      </w:numPr>
    </w:pPr>
  </w:style>
  <w:style w:type="paragraph" w:styleId="BalloonText">
    <w:name w:val="Balloon Text"/>
    <w:basedOn w:val="Normal"/>
    <w:semiHidden/>
    <w:rsid w:val="00E10F92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E10F92"/>
  </w:style>
  <w:style w:type="paragraph" w:styleId="BodyText">
    <w:name w:val="Body Text"/>
    <w:basedOn w:val="Normal"/>
    <w:link w:val="BodyTextChar"/>
    <w:rsid w:val="00E10F92"/>
  </w:style>
  <w:style w:type="character" w:styleId="Hyperlink">
    <w:name w:val="Hyperlink"/>
    <w:rsid w:val="00E10F92"/>
    <w:rPr>
      <w:color w:val="0000FF"/>
      <w:u w:val="single"/>
    </w:rPr>
  </w:style>
  <w:style w:type="character" w:styleId="FollowedHyperlink">
    <w:name w:val="FollowedHyperlink"/>
    <w:semiHidden/>
    <w:rsid w:val="00E10F92"/>
    <w:rPr>
      <w:color w:val="FF0000"/>
      <w:u w:val="single"/>
    </w:rPr>
  </w:style>
  <w:style w:type="character" w:styleId="CommentReference">
    <w:name w:val="annotation reference"/>
    <w:uiPriority w:val="99"/>
    <w:semiHidden/>
    <w:rsid w:val="00E10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10F92"/>
  </w:style>
  <w:style w:type="paragraph" w:styleId="CommentSubject">
    <w:name w:val="annotation subject"/>
    <w:basedOn w:val="CommentText"/>
    <w:next w:val="CommentText"/>
    <w:semiHidden/>
    <w:rsid w:val="00E10F92"/>
    <w:rPr>
      <w:b/>
      <w:bCs/>
    </w:rPr>
  </w:style>
  <w:style w:type="character" w:customStyle="1" w:styleId="Heading1Char">
    <w:name w:val="Heading 1 Char"/>
    <w:link w:val="Heading1"/>
    <w:rsid w:val="00E10F9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E10F9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10F9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10F9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10F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10F9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E10F9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10F9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10F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10F92"/>
    <w:pPr>
      <w:spacing w:after="0"/>
    </w:pPr>
  </w:style>
  <w:style w:type="paragraph" w:customStyle="1" w:styleId="TAL">
    <w:name w:val="TAL"/>
    <w:basedOn w:val="Normal"/>
    <w:rsid w:val="00E10F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10F92"/>
    <w:pPr>
      <w:jc w:val="center"/>
    </w:pPr>
  </w:style>
  <w:style w:type="paragraph" w:customStyle="1" w:styleId="TAH">
    <w:name w:val="TAH"/>
    <w:basedOn w:val="TAC"/>
    <w:rsid w:val="00E10F92"/>
    <w:rPr>
      <w:b/>
    </w:rPr>
  </w:style>
  <w:style w:type="paragraph" w:customStyle="1" w:styleId="TAN">
    <w:name w:val="TAN"/>
    <w:basedOn w:val="TAL"/>
    <w:rsid w:val="00E10F92"/>
    <w:pPr>
      <w:ind w:left="851" w:hanging="851"/>
    </w:pPr>
  </w:style>
  <w:style w:type="paragraph" w:customStyle="1" w:styleId="TAR">
    <w:name w:val="TAR"/>
    <w:basedOn w:val="TAL"/>
    <w:rsid w:val="00E10F92"/>
    <w:pPr>
      <w:jc w:val="right"/>
    </w:pPr>
  </w:style>
  <w:style w:type="paragraph" w:customStyle="1" w:styleId="TH">
    <w:name w:val="TH"/>
    <w:basedOn w:val="Normal"/>
    <w:rsid w:val="00E10F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10F9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0F9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0F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0F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0F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0F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0F92"/>
  </w:style>
  <w:style w:type="paragraph" w:customStyle="1" w:styleId="ZH">
    <w:name w:val="ZH"/>
    <w:rsid w:val="00E10F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0F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0F9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0F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0F92"/>
    <w:pPr>
      <w:framePr w:wrap="notBeside" w:y="16161"/>
    </w:pPr>
  </w:style>
  <w:style w:type="paragraph" w:customStyle="1" w:styleId="FP">
    <w:name w:val="FP"/>
    <w:basedOn w:val="Normal"/>
    <w:rsid w:val="00E10F92"/>
    <w:pPr>
      <w:spacing w:after="0"/>
      <w:jc w:val="left"/>
    </w:pPr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17617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TableofFigures">
    <w:name w:val="table of figures"/>
    <w:basedOn w:val="Normal"/>
    <w:next w:val="Normal"/>
    <w:semiHidden/>
    <w:rsid w:val="00E10F92"/>
    <w:pPr>
      <w:ind w:left="1418" w:hanging="1418"/>
      <w:jc w:val="left"/>
    </w:pPr>
    <w:rPr>
      <w:b/>
    </w:rPr>
  </w:style>
  <w:style w:type="character" w:customStyle="1" w:styleId="Doc-text2Char">
    <w:name w:val="Doc-text2 Char"/>
    <w:link w:val="Doc-text2"/>
    <w:rsid w:val="00176171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6171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176171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uiPriority w:val="99"/>
    <w:semiHidden/>
    <w:rsid w:val="009409E1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E341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9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3_Barcelona\Email_discussion_TR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F719D6DFDD24DAE53F79E2EC6FF3D" ma:contentTypeVersion="0" ma:contentTypeDescription="Create a new document." ma:contentTypeScope="" ma:versionID="fb3ea1713f32da8e0e10e72cede4f39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F8CE-5F9F-4E01-9B3E-C73A08DA4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E5DF4B-ECAC-4FCB-A06E-ACC485A7F9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F12EA0-9EAD-4F22-B03C-65424274C6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808196-55EC-4CED-865D-B071430CD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</dc:creator>
  <cp:lastModifiedBy>Qualcomm</cp:lastModifiedBy>
  <cp:revision>3</cp:revision>
  <cp:lastPrinted>2008-01-31T15:09:00Z</cp:lastPrinted>
  <dcterms:created xsi:type="dcterms:W3CDTF">2014-03-22T02:58:00Z</dcterms:created>
  <dcterms:modified xsi:type="dcterms:W3CDTF">2014-03-22T05:45:00Z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AdHocReviewCycleID">
    <vt:i4>-629387922</vt:i4>
  </property>
  <property fmtid="{D5CDD505-2E9C-101B-9397-08002B2CF9AE}" pid="4" name="_NewReviewCycle">
    <vt:lpwstr/>
  </property>
  <property fmtid="{D5CDD505-2E9C-101B-9397-08002B2CF9AE}" pid="5" name="_EmailSubject">
    <vt:lpwstr>TP on UL data compression ( was RE: Results for the UL data compression )</vt:lpwstr>
  </property>
  <property fmtid="{D5CDD505-2E9C-101B-9397-08002B2CF9AE}" pid="6" name="_AuthorEmail">
    <vt:lpwstr>venkatar@qti.qualcomm.com</vt:lpwstr>
  </property>
  <property fmtid="{D5CDD505-2E9C-101B-9397-08002B2CF9AE}" pid="7" name="_AuthorEmailDisplayName">
    <vt:lpwstr>Venkatachalam Jayara, Venkat</vt:lpwstr>
  </property>
  <property fmtid="{D5CDD505-2E9C-101B-9397-08002B2CF9AE}" pid="8" name="_ReviewingToolsShownOnce">
    <vt:lpwstr/>
  </property>
  <property fmtid="{D5CDD505-2E9C-101B-9397-08002B2CF9AE}" pid="9" name="ContentTypeId">
    <vt:lpwstr>0x010100545F719D6DFDD24DAE53F79E2EC6FF3D</vt:lpwstr>
  </property>
</Properties>
</file>