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ACBA6" w14:textId="11D204A0" w:rsidR="00A45E07" w:rsidRPr="00B266B0" w:rsidRDefault="00A45E07" w:rsidP="00A45E0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#129</w:t>
      </w:r>
      <w:r w:rsidR="00B54311">
        <w:rPr>
          <w:bCs/>
          <w:noProof w:val="0"/>
          <w:sz w:val="24"/>
          <w:szCs w:val="24"/>
        </w:rPr>
        <w:t>bis</w:t>
      </w:r>
      <w:r w:rsidRPr="00B266B0">
        <w:rPr>
          <w:bCs/>
          <w:noProof w:val="0"/>
          <w:sz w:val="24"/>
          <w:szCs w:val="24"/>
        </w:rPr>
        <w:tab/>
      </w:r>
      <w:r w:rsidRPr="003D7CA7">
        <w:rPr>
          <w:bCs/>
          <w:noProof w:val="0"/>
          <w:sz w:val="24"/>
          <w:szCs w:val="24"/>
        </w:rPr>
        <w:t>R2-250</w:t>
      </w:r>
      <w:r w:rsidR="00540667">
        <w:rPr>
          <w:bCs/>
          <w:noProof w:val="0"/>
          <w:sz w:val="24"/>
          <w:szCs w:val="24"/>
        </w:rPr>
        <w:t>2763</w:t>
      </w:r>
    </w:p>
    <w:p w14:paraId="75A36057" w14:textId="203EEE3F" w:rsidR="00A45E07" w:rsidRPr="00E437B1" w:rsidRDefault="00FF37F5" w:rsidP="00A45E07">
      <w:pPr>
        <w:pStyle w:val="Header"/>
        <w:tabs>
          <w:tab w:val="right" w:pos="9641"/>
        </w:tabs>
        <w:rPr>
          <w:sz w:val="24"/>
        </w:rPr>
      </w:pPr>
      <w:r>
        <w:rPr>
          <w:sz w:val="24"/>
        </w:rPr>
        <w:t>Wuhan</w:t>
      </w:r>
      <w:r w:rsidR="00A45E07" w:rsidRPr="00E437B1">
        <w:rPr>
          <w:sz w:val="24"/>
        </w:rPr>
        <w:t xml:space="preserve">, </w:t>
      </w:r>
      <w:r>
        <w:rPr>
          <w:sz w:val="24"/>
        </w:rPr>
        <w:t>China</w:t>
      </w:r>
      <w:r w:rsidR="00A45E07" w:rsidRPr="00E437B1">
        <w:rPr>
          <w:sz w:val="24"/>
        </w:rPr>
        <w:t>,</w:t>
      </w:r>
      <w:r>
        <w:rPr>
          <w:sz w:val="24"/>
        </w:rPr>
        <w:t>7</w:t>
      </w:r>
      <w:r w:rsidR="00800F03" w:rsidRPr="00A13518">
        <w:rPr>
          <w:sz w:val="24"/>
          <w:vertAlign w:val="superscript"/>
        </w:rPr>
        <w:t>th</w:t>
      </w:r>
      <w:r w:rsidR="00800F03">
        <w:rPr>
          <w:sz w:val="24"/>
        </w:rPr>
        <w:t xml:space="preserve"> </w:t>
      </w:r>
      <w:r w:rsidR="00A45E07" w:rsidRPr="00E437B1">
        <w:rPr>
          <w:sz w:val="24"/>
        </w:rPr>
        <w:t xml:space="preserve"> – </w:t>
      </w:r>
      <w:r>
        <w:rPr>
          <w:sz w:val="24"/>
        </w:rPr>
        <w:t>1</w:t>
      </w:r>
      <w:r w:rsidR="00A45E07" w:rsidRPr="00E437B1">
        <w:rPr>
          <w:sz w:val="24"/>
        </w:rPr>
        <w:t>1</w:t>
      </w:r>
      <w:r w:rsidR="00800F03" w:rsidRPr="00A13518">
        <w:rPr>
          <w:sz w:val="24"/>
          <w:vertAlign w:val="superscript"/>
        </w:rPr>
        <w:t>th</w:t>
      </w:r>
      <w:r w:rsidR="00800F03">
        <w:rPr>
          <w:sz w:val="24"/>
        </w:rPr>
        <w:t xml:space="preserve"> </w:t>
      </w:r>
      <w:r w:rsidR="00A45E07" w:rsidRPr="00E437B1">
        <w:rPr>
          <w:sz w:val="24"/>
        </w:rPr>
        <w:t xml:space="preserve"> </w:t>
      </w:r>
      <w:r>
        <w:rPr>
          <w:sz w:val="24"/>
        </w:rPr>
        <w:t>April</w:t>
      </w:r>
      <w:r w:rsidR="00800F03">
        <w:rPr>
          <w:sz w:val="24"/>
        </w:rPr>
        <w:t xml:space="preserve">, </w:t>
      </w:r>
      <w:r w:rsidR="00A45E07" w:rsidRPr="00E437B1">
        <w:rPr>
          <w:sz w:val="24"/>
        </w:rPr>
        <w:t xml:space="preserve"> 2025</w:t>
      </w:r>
      <w:r w:rsidR="00A45E07" w:rsidRPr="00E437B1">
        <w:rPr>
          <w:sz w:val="24"/>
        </w:rPr>
        <w:tab/>
      </w:r>
    </w:p>
    <w:p w14:paraId="17B3DCEC" w14:textId="77777777" w:rsidR="00A45E07" w:rsidRPr="00E437B1" w:rsidRDefault="00A45E07" w:rsidP="00A45E07">
      <w:pPr>
        <w:pStyle w:val="Header"/>
        <w:rPr>
          <w:sz w:val="24"/>
        </w:rPr>
      </w:pPr>
    </w:p>
    <w:p w14:paraId="6A2F1230" w14:textId="77777777" w:rsidR="00A45E07" w:rsidRPr="00E437B1" w:rsidRDefault="00A45E07" w:rsidP="00A45E07">
      <w:pPr>
        <w:pStyle w:val="CRCoverPage"/>
        <w:tabs>
          <w:tab w:val="left" w:pos="1985"/>
        </w:tabs>
        <w:rPr>
          <w:rFonts w:cs="Arial"/>
          <w:b/>
          <w:sz w:val="24"/>
          <w:lang w:eastAsia="ja-JP"/>
        </w:rPr>
      </w:pPr>
      <w:r w:rsidRPr="00E437B1">
        <w:rPr>
          <w:rFonts w:cs="Arial"/>
          <w:b/>
          <w:sz w:val="24"/>
        </w:rPr>
        <w:t>Agenda item:</w:t>
      </w:r>
      <w:r w:rsidRPr="00E437B1">
        <w:rPr>
          <w:rFonts w:cs="Arial"/>
          <w:b/>
          <w:sz w:val="24"/>
        </w:rPr>
        <w:tab/>
      </w:r>
      <w:r w:rsidRPr="00E437B1">
        <w:rPr>
          <w:rFonts w:cs="Arial"/>
          <w:b/>
          <w:sz w:val="24"/>
          <w:lang w:eastAsia="ja-JP"/>
        </w:rPr>
        <w:t>8.1.2.2</w:t>
      </w:r>
    </w:p>
    <w:p w14:paraId="2AD9AE14" w14:textId="77777777" w:rsidR="00A45E07" w:rsidRPr="00B266B0" w:rsidRDefault="00A45E07" w:rsidP="00A45E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BF80BA8" w14:textId="77777777" w:rsidR="00A45E07" w:rsidRDefault="00A45E07" w:rsidP="00A45E0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LCM for UE-side Beam Management</w:t>
      </w:r>
    </w:p>
    <w:p w14:paraId="75E4166D" w14:textId="77777777" w:rsidR="00A45E07" w:rsidRPr="00B266B0" w:rsidRDefault="00A45E07" w:rsidP="00A45E07">
      <w:pPr>
        <w:ind w:left="1985" w:hanging="1985"/>
        <w:rPr>
          <w:rFonts w:ascii="Arial" w:hAnsi="Arial" w:cs="Arial"/>
          <w:b/>
          <w:bCs/>
          <w:sz w:val="24"/>
        </w:rPr>
      </w:pPr>
      <w:r>
        <w:rPr>
          <w:rFonts w:ascii="Arial" w:hAnsi="Arial" w:cs="Arial"/>
          <w:b/>
          <w:bCs/>
          <w:sz w:val="24"/>
        </w:rPr>
        <w:t>WID/SID:</w:t>
      </w:r>
      <w:r>
        <w:rPr>
          <w:rFonts w:ascii="Arial" w:hAnsi="Arial" w:cs="Arial"/>
          <w:b/>
          <w:bCs/>
          <w:sz w:val="24"/>
        </w:rPr>
        <w:tab/>
        <w:t>NR_AIML_air-Core</w:t>
      </w:r>
      <w:r w:rsidRPr="00112F1A">
        <w:rPr>
          <w:rFonts w:ascii="Arial" w:hAnsi="Arial" w:cs="Arial"/>
          <w:b/>
          <w:bCs/>
          <w:sz w:val="24"/>
        </w:rPr>
        <w:t xml:space="preserve"> </w:t>
      </w:r>
      <w:r>
        <w:rPr>
          <w:rFonts w:ascii="Arial" w:hAnsi="Arial" w:cs="Arial"/>
          <w:b/>
          <w:bCs/>
          <w:sz w:val="24"/>
        </w:rPr>
        <w:t>- Release 19</w:t>
      </w:r>
    </w:p>
    <w:p w14:paraId="4A3D511A" w14:textId="77777777" w:rsidR="00A45E07" w:rsidRPr="00B266B0" w:rsidRDefault="00A45E07" w:rsidP="00A45E0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D5D35E0" w14:textId="77777777" w:rsidR="00A45E07" w:rsidRDefault="00A45E07" w:rsidP="006F7715">
      <w:pPr>
        <w:pStyle w:val="Heading1"/>
      </w:pPr>
      <w:r w:rsidRPr="006E13D1">
        <w:t>1</w:t>
      </w:r>
      <w:r w:rsidRPr="006E13D1">
        <w:tab/>
      </w:r>
      <w:r w:rsidRPr="00294CCF">
        <w:t>Introduction</w:t>
      </w:r>
    </w:p>
    <w:p w14:paraId="6BE8ADA3" w14:textId="6C94D468" w:rsidR="00A45E07" w:rsidRDefault="00A45E07" w:rsidP="00A45E07">
      <w:pPr>
        <w:jc w:val="both"/>
      </w:pPr>
      <w:r>
        <w:t xml:space="preserve">In this paper, we </w:t>
      </w:r>
      <w:r w:rsidR="00F46BBA">
        <w:t>discuss</w:t>
      </w:r>
      <w:r>
        <w:t xml:space="preserve"> issues related to functionality-based LCM for UE-side AI/ML beam management. </w:t>
      </w:r>
      <w:r w:rsidR="00C954AC">
        <w:t xml:space="preserve">First, </w:t>
      </w:r>
      <w:r w:rsidR="008C4C02">
        <w:t>w</w:t>
      </w:r>
      <w:r>
        <w:t xml:space="preserve">e discuss features concerning </w:t>
      </w:r>
      <w:r w:rsidR="00B31EEB">
        <w:t xml:space="preserve">the configuration of </w:t>
      </w:r>
      <w:r w:rsidR="00CC64EB">
        <w:t>inference-related parameters</w:t>
      </w:r>
      <w:r w:rsidR="00507972">
        <w:t>.</w:t>
      </w:r>
      <w:r w:rsidR="00607B6F">
        <w:t xml:space="preserve"> </w:t>
      </w:r>
      <w:r>
        <w:t xml:space="preserve">Then, we discuss the </w:t>
      </w:r>
      <w:r w:rsidR="0072070B">
        <w:t xml:space="preserve">remaining issues concerning </w:t>
      </w:r>
      <w:r w:rsidR="0098645F">
        <w:t>applicability</w:t>
      </w:r>
      <w:r w:rsidR="00F5235C">
        <w:t xml:space="preserve"> such as</w:t>
      </w:r>
      <w:r w:rsidR="0072070B">
        <w:t xml:space="preserve"> </w:t>
      </w:r>
      <w:r w:rsidR="0098645F">
        <w:t>reporting structure</w:t>
      </w:r>
      <w:r w:rsidR="00073185">
        <w:t xml:space="preserve">, </w:t>
      </w:r>
      <w:r w:rsidR="00893A6D">
        <w:t xml:space="preserve">reconfiguration due to </w:t>
      </w:r>
      <w:r w:rsidR="005B6867">
        <w:t>poor performance</w:t>
      </w:r>
      <w:r w:rsidR="00EF3E78">
        <w:t xml:space="preserve"> and handling </w:t>
      </w:r>
      <w:r w:rsidR="00DD4037">
        <w:t xml:space="preserve">the case when an active </w:t>
      </w:r>
      <w:r w:rsidR="00707906">
        <w:t>applicable configuration</w:t>
      </w:r>
      <w:r w:rsidR="00EA4391">
        <w:t xml:space="preserve"> </w:t>
      </w:r>
      <w:r w:rsidR="00DD4037">
        <w:t>for periodic beam prediction</w:t>
      </w:r>
      <w:r w:rsidR="00DF598E">
        <w:t xml:space="preserve"> </w:t>
      </w:r>
      <w:r w:rsidR="00EA4391">
        <w:t>becomes inapplicable</w:t>
      </w:r>
      <w:r>
        <w:t xml:space="preserve">. Next, we discuss </w:t>
      </w:r>
      <w:r w:rsidR="00425F63">
        <w:t xml:space="preserve">fallback </w:t>
      </w:r>
      <w:r w:rsidR="00E27A9E">
        <w:t>configurations</w:t>
      </w:r>
      <w:r w:rsidR="00914AFE">
        <w:t xml:space="preserve">. This </w:t>
      </w:r>
      <w:r w:rsidR="00FE515F">
        <w:t xml:space="preserve">document </w:t>
      </w:r>
      <w:r w:rsidR="00AD15CC">
        <w:t>concludes with</w:t>
      </w:r>
      <w:r w:rsidR="00A76367">
        <w:t xml:space="preserve"> our </w:t>
      </w:r>
      <w:r w:rsidR="00F11898">
        <w:t xml:space="preserve">Stage 2 </w:t>
      </w:r>
      <w:r w:rsidR="0015612D">
        <w:t xml:space="preserve">text proposals </w:t>
      </w:r>
      <w:r w:rsidR="00850190">
        <w:t xml:space="preserve">concerning Applicability Reporting </w:t>
      </w:r>
      <w:r w:rsidR="00A31117">
        <w:t>Clause detailed</w:t>
      </w:r>
      <w:r w:rsidR="00114200">
        <w:t xml:space="preserve"> in Section 7.</w:t>
      </w:r>
    </w:p>
    <w:p w14:paraId="7C456465" w14:textId="53EF8FDB" w:rsidR="00A45E07" w:rsidRDefault="00A45E07" w:rsidP="00A13518">
      <w:pPr>
        <w:pStyle w:val="Heading1"/>
      </w:pPr>
      <w:r>
        <w:t>2</w:t>
      </w:r>
      <w:r>
        <w:tab/>
      </w:r>
      <w:r w:rsidR="006336E9">
        <w:t>C</w:t>
      </w:r>
      <w:r w:rsidR="004C6368">
        <w:t xml:space="preserve">onfiguration </w:t>
      </w:r>
      <w:r w:rsidR="006336E9">
        <w:t xml:space="preserve">for </w:t>
      </w:r>
      <w:r>
        <w:t>Inference-Related Parameters</w:t>
      </w:r>
    </w:p>
    <w:p w14:paraId="0D296E81" w14:textId="286EAC30" w:rsidR="00A45E07" w:rsidRPr="00E437B1" w:rsidRDefault="00A45E07" w:rsidP="00A13518">
      <w:pPr>
        <w:jc w:val="both"/>
      </w:pPr>
      <w:r>
        <w:t>The NW can provide</w:t>
      </w:r>
      <w:r w:rsidRPr="00E437B1">
        <w:t xml:space="preserve"> the UE </w:t>
      </w:r>
      <w:r>
        <w:t>with</w:t>
      </w:r>
      <w:r w:rsidRPr="00E437B1">
        <w:t xml:space="preserve"> one or more sets of inference-related parameters to be evaluated for applicability. These sets of inference-related parameters are not sufficient on their own to configure the UE for inference rather require that the gNB further configures the UE after determining applicability. </w:t>
      </w:r>
    </w:p>
    <w:p w14:paraId="09810F6D" w14:textId="77777777" w:rsidR="00A45E07" w:rsidRDefault="00A45E07" w:rsidP="00A13518">
      <w:pPr>
        <w:jc w:val="both"/>
      </w:pPr>
      <w:r w:rsidRPr="00E437B1">
        <w:t xml:space="preserve">Because the inference-related parameters proposed by RAN1 can be found in </w:t>
      </w:r>
      <w:r w:rsidRPr="00E437B1">
        <w:rPr>
          <w:i/>
        </w:rPr>
        <w:t>CSI-ReportConfig</w:t>
      </w:r>
      <w:r w:rsidRPr="00E437B1">
        <w:t xml:space="preserve">, we propose that the inference-related parameters are provided in </w:t>
      </w:r>
      <w:r w:rsidRPr="00E437B1">
        <w:rPr>
          <w:i/>
        </w:rPr>
        <w:t>CSI-ReportConfigs</w:t>
      </w:r>
      <w:r w:rsidRPr="00E437B1">
        <w:t>. Because the UE’s behaviour is different depending on</w:t>
      </w:r>
      <w:r>
        <w:t xml:space="preserve"> whether it is provided a full inference configuration or a set of inference-related parameters, a flag should be included to indicate that a </w:t>
      </w:r>
      <w:r>
        <w:rPr>
          <w:i/>
          <w:iCs/>
        </w:rPr>
        <w:t>CSI-ReportConfig</w:t>
      </w:r>
      <w:r>
        <w:t xml:space="preserve"> corresponds to inference-related parameters instead of a full inference configuration. With the flag differentiating the two, the inference-related parameters can also be placed in </w:t>
      </w:r>
      <w:r>
        <w:rPr>
          <w:i/>
          <w:iCs/>
        </w:rPr>
        <w:t>csi-ReportConfigToAddModList</w:t>
      </w:r>
      <w:r>
        <w:t xml:space="preserve"> in </w:t>
      </w:r>
      <w:r>
        <w:rPr>
          <w:i/>
          <w:iCs/>
        </w:rPr>
        <w:t>CSI-MeasConfig</w:t>
      </w:r>
      <w:r>
        <w:t>.</w:t>
      </w:r>
    </w:p>
    <w:p w14:paraId="373983CB" w14:textId="38D068EE" w:rsidR="00A45E07" w:rsidRPr="00E437B1" w:rsidRDefault="00A45E07" w:rsidP="00A13518">
      <w:pPr>
        <w:jc w:val="both"/>
        <w:rPr>
          <w:b/>
        </w:rPr>
      </w:pPr>
      <w:r w:rsidRPr="00E437B1">
        <w:rPr>
          <w:b/>
        </w:rPr>
        <w:t>Observation</w:t>
      </w:r>
      <w:r w:rsidR="00147717">
        <w:rPr>
          <w:b/>
        </w:rPr>
        <w:t xml:space="preserve"> 1</w:t>
      </w:r>
      <w:r w:rsidRPr="00E437B1">
        <w:rPr>
          <w:b/>
        </w:rPr>
        <w:t>: The inference-related parameters suggested by RAN1, including any</w:t>
      </w:r>
      <w:r w:rsidR="00F863C5">
        <w:rPr>
          <w:b/>
        </w:rPr>
        <w:t xml:space="preserve"> configurations</w:t>
      </w:r>
      <w:r w:rsidRPr="00E437B1">
        <w:rPr>
          <w:b/>
        </w:rPr>
        <w:t xml:space="preserve"> that will be added for </w:t>
      </w:r>
      <w:r w:rsidR="00EE2A8B">
        <w:rPr>
          <w:b/>
        </w:rPr>
        <w:t>beam prediction</w:t>
      </w:r>
      <w:r w:rsidRPr="00E437B1">
        <w:rPr>
          <w:b/>
        </w:rPr>
        <w:t xml:space="preserve">, will be </w:t>
      </w:r>
      <w:r w:rsidR="00C24ED8">
        <w:rPr>
          <w:b/>
        </w:rPr>
        <w:t>included</w:t>
      </w:r>
      <w:r w:rsidRPr="00E437B1">
        <w:rPr>
          <w:b/>
        </w:rPr>
        <w:t xml:space="preserve"> in </w:t>
      </w:r>
      <w:r w:rsidRPr="00E437B1">
        <w:rPr>
          <w:b/>
          <w:i/>
        </w:rPr>
        <w:t>CSI-ReportConfig</w:t>
      </w:r>
      <w:r w:rsidRPr="00E437B1">
        <w:rPr>
          <w:b/>
        </w:rPr>
        <w:t>.</w:t>
      </w:r>
    </w:p>
    <w:p w14:paraId="3481C941" w14:textId="2E5654D8" w:rsidR="00A45E07" w:rsidRPr="000B6897" w:rsidRDefault="00A45E07" w:rsidP="00A13518">
      <w:pPr>
        <w:jc w:val="both"/>
        <w:rPr>
          <w:b/>
          <w:bCs/>
        </w:rPr>
      </w:pPr>
      <w:r w:rsidRPr="000B6897">
        <w:rPr>
          <w:b/>
          <w:bCs/>
        </w:rPr>
        <w:t>Proposal</w:t>
      </w:r>
      <w:r w:rsidR="00147717">
        <w:rPr>
          <w:b/>
          <w:bCs/>
        </w:rPr>
        <w:t xml:space="preserve"> 1</w:t>
      </w:r>
      <w:r w:rsidRPr="000B6897">
        <w:rPr>
          <w:b/>
          <w:bCs/>
        </w:rPr>
        <w:t xml:space="preserve">: </w:t>
      </w:r>
      <w:r w:rsidRPr="000B6897">
        <w:rPr>
          <w:b/>
          <w:i/>
        </w:rPr>
        <w:t>CSI-ReportConfig</w:t>
      </w:r>
      <w:r>
        <w:rPr>
          <w:b/>
          <w:bCs/>
        </w:rPr>
        <w:t xml:space="preserve">, </w:t>
      </w:r>
      <w:r w:rsidR="0044266F">
        <w:rPr>
          <w:b/>
          <w:bCs/>
        </w:rPr>
        <w:t>included</w:t>
      </w:r>
      <w:r>
        <w:rPr>
          <w:b/>
          <w:bCs/>
        </w:rPr>
        <w:t xml:space="preserve"> in </w:t>
      </w:r>
      <w:r>
        <w:rPr>
          <w:b/>
          <w:bCs/>
          <w:i/>
          <w:iCs/>
        </w:rPr>
        <w:t xml:space="preserve">CSI-MeasConfig </w:t>
      </w:r>
      <w:r>
        <w:rPr>
          <w:b/>
          <w:bCs/>
        </w:rPr>
        <w:t xml:space="preserve">-&gt; </w:t>
      </w:r>
      <w:r>
        <w:rPr>
          <w:b/>
          <w:bCs/>
          <w:i/>
          <w:iCs/>
        </w:rPr>
        <w:t>csi-ReportConfigToAddModList</w:t>
      </w:r>
      <w:r>
        <w:rPr>
          <w:b/>
          <w:bCs/>
        </w:rPr>
        <w:t>,</w:t>
      </w:r>
      <w:r w:rsidRPr="000B6897">
        <w:rPr>
          <w:b/>
          <w:bCs/>
        </w:rPr>
        <w:t xml:space="preserve"> is used to transmit </w:t>
      </w:r>
      <w:r w:rsidR="00CD583F">
        <w:rPr>
          <w:b/>
          <w:bCs/>
        </w:rPr>
        <w:t xml:space="preserve">one or multiple sets </w:t>
      </w:r>
      <w:r w:rsidRPr="000B6897">
        <w:rPr>
          <w:b/>
          <w:bCs/>
        </w:rPr>
        <w:t>inference-related parameters for beam prediction.</w:t>
      </w:r>
    </w:p>
    <w:p w14:paraId="72129987" w14:textId="77777777" w:rsidR="00A45E07" w:rsidRDefault="00A45E07" w:rsidP="00A13518">
      <w:pPr>
        <w:jc w:val="both"/>
      </w:pPr>
      <w:r>
        <w:t>To differentiate between a full configuration and a set of inference-related parameters, a field would be necessary, which at least could be one of the following, including options to make it obvious or non-obvious that this is about ML.</w:t>
      </w:r>
    </w:p>
    <w:p w14:paraId="4E98C4DB" w14:textId="77777777" w:rsidR="00A45E07" w:rsidRDefault="00A45E07" w:rsidP="00A13518">
      <w:pPr>
        <w:pStyle w:val="ListParagraph"/>
        <w:numPr>
          <w:ilvl w:val="0"/>
          <w:numId w:val="36"/>
        </w:numPr>
        <w:jc w:val="both"/>
      </w:pPr>
      <w:r>
        <w:t>infererenceRelatedParameters or relatedParameters</w:t>
      </w:r>
      <w:r>
        <w:tab/>
      </w:r>
      <w:r>
        <w:tab/>
        <w:t>ENUMERATED {true} OPTIONAL</w:t>
      </w:r>
    </w:p>
    <w:p w14:paraId="55C4E64A" w14:textId="4101A8E7" w:rsidR="00A45E07" w:rsidRDefault="00A45E07" w:rsidP="00A13518">
      <w:pPr>
        <w:pStyle w:val="ListParagraph"/>
        <w:numPr>
          <w:ilvl w:val="0"/>
          <w:numId w:val="36"/>
        </w:numPr>
        <w:jc w:val="both"/>
      </w:pPr>
      <w:r>
        <w:t>applicabilityConfig</w:t>
      </w:r>
      <w:r>
        <w:tab/>
      </w:r>
      <w:r>
        <w:tab/>
      </w:r>
      <w:r>
        <w:tab/>
      </w:r>
      <w:r>
        <w:tab/>
      </w:r>
      <w:r>
        <w:tab/>
      </w:r>
      <w:r>
        <w:tab/>
      </w:r>
      <w:r>
        <w:tab/>
      </w:r>
      <w:r>
        <w:tab/>
      </w:r>
      <w:r>
        <w:tab/>
      </w:r>
      <w:r>
        <w:tab/>
        <w:t xml:space="preserve">ENUMERATED {full, </w:t>
      </w:r>
      <w:r w:rsidR="009404D4">
        <w:t>inference-set</w:t>
      </w:r>
      <w:r>
        <w:t>} OPTIONAL</w:t>
      </w:r>
    </w:p>
    <w:p w14:paraId="7DC391D3" w14:textId="77B975DD" w:rsidR="00A45E07" w:rsidRPr="000B6897" w:rsidRDefault="00A45E07" w:rsidP="00A45E07">
      <w:pPr>
        <w:rPr>
          <w:b/>
          <w:bCs/>
        </w:rPr>
      </w:pPr>
      <w:r w:rsidRPr="000B6897">
        <w:rPr>
          <w:b/>
          <w:bCs/>
        </w:rPr>
        <w:t>Proposal</w:t>
      </w:r>
      <w:r w:rsidR="00147717">
        <w:rPr>
          <w:b/>
          <w:bCs/>
        </w:rPr>
        <w:t xml:space="preserve"> 2</w:t>
      </w:r>
      <w:r w:rsidRPr="000B6897">
        <w:rPr>
          <w:b/>
          <w:bCs/>
        </w:rPr>
        <w:t xml:space="preserve">: Add a flag to </w:t>
      </w:r>
      <w:r w:rsidRPr="000B6897">
        <w:rPr>
          <w:b/>
          <w:bCs/>
          <w:i/>
          <w:iCs/>
        </w:rPr>
        <w:t>CSI-ReportConfig</w:t>
      </w:r>
      <w:r w:rsidRPr="000B6897">
        <w:rPr>
          <w:b/>
          <w:bCs/>
        </w:rPr>
        <w:t xml:space="preserve"> to indicate that a configuration contains</w:t>
      </w:r>
      <w:r w:rsidR="00A32F49">
        <w:rPr>
          <w:b/>
          <w:bCs/>
        </w:rPr>
        <w:t xml:space="preserve"> one or multiple sets of</w:t>
      </w:r>
      <w:r w:rsidRPr="000B6897">
        <w:rPr>
          <w:b/>
          <w:bCs/>
        </w:rPr>
        <w:t xml:space="preserve"> inference-related parameters instead of a full configuration. This flag could </w:t>
      </w:r>
      <w:r w:rsidR="00045CA1">
        <w:rPr>
          <w:b/>
          <w:bCs/>
        </w:rPr>
        <w:t>also</w:t>
      </w:r>
      <w:r w:rsidRPr="000B6897">
        <w:rPr>
          <w:b/>
          <w:bCs/>
        </w:rPr>
        <w:t xml:space="preserve"> </w:t>
      </w:r>
      <w:r w:rsidR="001444CB">
        <w:rPr>
          <w:b/>
          <w:bCs/>
        </w:rPr>
        <w:t>be</w:t>
      </w:r>
      <w:r w:rsidR="00353558">
        <w:rPr>
          <w:b/>
          <w:bCs/>
        </w:rPr>
        <w:t xml:space="preserve"> used </w:t>
      </w:r>
      <w:r w:rsidRPr="000B6897">
        <w:rPr>
          <w:b/>
          <w:bCs/>
        </w:rPr>
        <w:t xml:space="preserve"> as an indication that the configuration is subject to the applicability determination procedure.</w:t>
      </w:r>
    </w:p>
    <w:p w14:paraId="52BE4FE6" w14:textId="77777777" w:rsidR="00A45E07" w:rsidRPr="00A83D50" w:rsidRDefault="00A45E07" w:rsidP="00A13518">
      <w:pPr>
        <w:jc w:val="both"/>
        <w:rPr>
          <w:iCs/>
        </w:rPr>
      </w:pPr>
      <w:r>
        <w:t xml:space="preserve">Alternatively, inference-related parameters could be provided in </w:t>
      </w:r>
      <w:r>
        <w:rPr>
          <w:i/>
          <w:iCs/>
        </w:rPr>
        <w:t>CSI-MeasConfig</w:t>
      </w:r>
      <w:r>
        <w:t xml:space="preserve">, in a new SEQUENCE which stores configurations of inference-related parameters. To aid in the indexing of the </w:t>
      </w:r>
      <w:r>
        <w:rPr>
          <w:i/>
          <w:iCs/>
        </w:rPr>
        <w:t>CSI-ReportConfigIds</w:t>
      </w:r>
      <w:r>
        <w:t xml:space="preserve">, we could discuss whether to share </w:t>
      </w:r>
      <w:r>
        <w:rPr>
          <w:i/>
        </w:rPr>
        <w:t>CSI-ReportConfigIds</w:t>
      </w:r>
      <w:r>
        <w:rPr>
          <w:iCs/>
        </w:rPr>
        <w:t xml:space="preserve"> between the lists such that they do not overlap. That way the applicability report can simply contain </w:t>
      </w:r>
      <w:r>
        <w:rPr>
          <w:i/>
        </w:rPr>
        <w:t>CSI-ReportConfigIds</w:t>
      </w:r>
      <w:r>
        <w:rPr>
          <w:iCs/>
        </w:rPr>
        <w:t xml:space="preserve"> without any further specification of whether the </w:t>
      </w:r>
      <w:r>
        <w:rPr>
          <w:i/>
        </w:rPr>
        <w:t xml:space="preserve">CSI-ReportConfigId </w:t>
      </w:r>
      <w:r>
        <w:rPr>
          <w:iCs/>
        </w:rPr>
        <w:t>corresponds to a full configuration or to inference-related parameters. An example is shown below in Figure 2.1-1.</w:t>
      </w:r>
    </w:p>
    <w:p w14:paraId="6A0C1B52" w14:textId="77777777" w:rsidR="00A45E07" w:rsidRPr="0023760B"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CSI-MeasConfig</w:t>
      </w:r>
      <w:r w:rsidRPr="0023760B">
        <w:rPr>
          <w:rFonts w:ascii="Courier New" w:eastAsia="Yu Mincho" w:hAnsi="Courier New"/>
          <w:noProof/>
          <w:sz w:val="16"/>
          <w:lang w:eastAsia="en-GB"/>
        </w:rPr>
        <w:t xml:space="preserve"> ::=           </w:t>
      </w:r>
      <w:r w:rsidRPr="0023760B">
        <w:rPr>
          <w:rFonts w:ascii="Courier New" w:eastAsia="Yu Mincho" w:hAnsi="Courier New"/>
          <w:noProof/>
          <w:color w:val="993366"/>
          <w:sz w:val="16"/>
          <w:lang w:eastAsia="en-GB"/>
        </w:rPr>
        <w:t>SEQUENCE</w:t>
      </w:r>
      <w:r w:rsidRPr="0023760B">
        <w:rPr>
          <w:rFonts w:ascii="Courier New" w:eastAsia="Yu Mincho" w:hAnsi="Courier New"/>
          <w:noProof/>
          <w:sz w:val="16"/>
          <w:lang w:eastAsia="en-GB"/>
        </w:rPr>
        <w:t xml:space="preserve"> {</w:t>
      </w:r>
    </w:p>
    <w:p w14:paraId="6D8100C9" w14:textId="77777777" w:rsidR="00A45E07" w:rsidRPr="000B689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noProof/>
          <w:sz w:val="16"/>
          <w:lang w:eastAsia="en-GB"/>
        </w:rPr>
      </w:pPr>
      <w:r>
        <w:rPr>
          <w:rFonts w:ascii="Courier New" w:hAnsi="Courier New"/>
          <w:noProof/>
          <w:sz w:val="16"/>
          <w:lang w:eastAsia="en-GB"/>
        </w:rPr>
        <w:t xml:space="preserve">    </w:t>
      </w:r>
      <w:r w:rsidRPr="000B6897">
        <w:rPr>
          <w:rFonts w:ascii="Courier New" w:hAnsi="Courier New"/>
          <w:b/>
          <w:bCs/>
          <w:noProof/>
          <w:sz w:val="16"/>
          <w:lang w:eastAsia="en-GB"/>
        </w:rPr>
        <w:t>&lt;removed&gt;</w:t>
      </w:r>
    </w:p>
    <w:p w14:paraId="090823B9"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993366"/>
          <w:sz w:val="16"/>
          <w:lang w:eastAsia="en-GB"/>
        </w:rPr>
      </w:pPr>
      <w:r>
        <w:rPr>
          <w:rFonts w:ascii="Courier New" w:hAnsi="Courier New"/>
          <w:noProof/>
          <w:sz w:val="16"/>
          <w:lang w:eastAsia="en-GB"/>
        </w:rPr>
        <w:tab/>
        <w:t xml:space="preserve">csi-ReportConfigToAddModList  </w:t>
      </w:r>
      <w:r w:rsidRPr="0023760B">
        <w:rPr>
          <w:rFonts w:ascii="Courier New" w:eastAsia="Yu Mincho" w:hAnsi="Courier New"/>
          <w:noProof/>
          <w:color w:val="993366"/>
          <w:sz w:val="16"/>
          <w:lang w:eastAsia="en-GB"/>
        </w:rPr>
        <w:t>SEQUENCE</w:t>
      </w:r>
      <w:r>
        <w:rPr>
          <w:rFonts w:ascii="Courier New" w:hAnsi="Courier New"/>
          <w:noProof/>
          <w:sz w:val="16"/>
          <w:lang w:eastAsia="en-GB"/>
        </w:rPr>
        <w:t xml:space="preserve"> </w:t>
      </w:r>
      <w:r>
        <w:rPr>
          <w:rFonts w:ascii="Courier New" w:eastAsia="Yu Mincho" w:hAnsi="Courier New"/>
          <w:noProof/>
          <w:color w:val="993366"/>
          <w:sz w:val="16"/>
          <w:lang w:eastAsia="en-GB"/>
        </w:rPr>
        <w:t>SIZE</w:t>
      </w:r>
      <w:r>
        <w:rPr>
          <w:rFonts w:ascii="Courier New" w:eastAsia="Yu Mincho" w:hAnsi="Courier New"/>
          <w:noProof/>
          <w:sz w:val="16"/>
          <w:lang w:eastAsia="en-GB"/>
        </w:rPr>
        <w:t xml:space="preserve">(1..maxNrOfCSI-ReportConfigurations) </w:t>
      </w:r>
      <w:r>
        <w:rPr>
          <w:rFonts w:ascii="Courier New" w:eastAsia="Yu Mincho" w:hAnsi="Courier New"/>
          <w:noProof/>
          <w:color w:val="993366"/>
          <w:sz w:val="16"/>
          <w:lang w:eastAsia="en-GB"/>
        </w:rPr>
        <w:t>OF</w:t>
      </w:r>
    </w:p>
    <w:p w14:paraId="184F17B2"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noProof/>
          <w:color w:val="993366"/>
          <w:sz w:val="16"/>
          <w:lang w:eastAsia="en-GB"/>
        </w:rPr>
        <w:tab/>
      </w:r>
      <w:r>
        <w:rPr>
          <w:rFonts w:ascii="Courier New" w:eastAsia="Yu Mincho" w:hAnsi="Courier New"/>
          <w:noProof/>
          <w:color w:val="993366"/>
          <w:sz w:val="16"/>
          <w:lang w:eastAsia="en-GB"/>
        </w:rPr>
        <w:tab/>
      </w:r>
      <w:r w:rsidRPr="000B6897">
        <w:rPr>
          <w:rFonts w:ascii="Courier New" w:eastAsia="Yu Mincho" w:hAnsi="Courier New"/>
          <w:noProof/>
          <w:sz w:val="16"/>
          <w:lang w:eastAsia="en-GB"/>
        </w:rPr>
        <w:t xml:space="preserve">CSI-ReportConfig </w:t>
      </w:r>
      <w:r>
        <w:rPr>
          <w:rFonts w:ascii="Courier New" w:eastAsia="Yu Mincho" w:hAnsi="Courier New"/>
          <w:noProof/>
          <w:color w:val="993366"/>
          <w:sz w:val="16"/>
          <w:lang w:eastAsia="en-GB"/>
        </w:rPr>
        <w:t>OPTIONAL</w:t>
      </w:r>
      <w:r>
        <w:rPr>
          <w:rFonts w:ascii="Courier New" w:eastAsia="Yu Mincho" w:hAnsi="Courier New"/>
          <w:noProof/>
          <w:sz w:val="16"/>
          <w:lang w:eastAsia="en-GB"/>
        </w:rPr>
        <w:t>,</w:t>
      </w:r>
    </w:p>
    <w:p w14:paraId="2D4CD6F1"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993366"/>
          <w:sz w:val="16"/>
          <w:lang w:eastAsia="en-GB"/>
        </w:rPr>
      </w:pPr>
      <w:r>
        <w:rPr>
          <w:rFonts w:ascii="Courier New" w:eastAsia="Yu Mincho" w:hAnsi="Courier New"/>
          <w:noProof/>
          <w:sz w:val="16"/>
          <w:lang w:eastAsia="en-GB"/>
        </w:rPr>
        <w:tab/>
        <w:t xml:space="preserve">csi-ReportConfigToReleaseList </w:t>
      </w:r>
      <w:r w:rsidRPr="0023760B">
        <w:rPr>
          <w:rFonts w:ascii="Courier New" w:eastAsia="Yu Mincho" w:hAnsi="Courier New"/>
          <w:noProof/>
          <w:color w:val="993366"/>
          <w:sz w:val="16"/>
          <w:lang w:eastAsia="en-GB"/>
        </w:rPr>
        <w:t>SEQUENCE</w:t>
      </w:r>
      <w:r>
        <w:rPr>
          <w:rFonts w:ascii="Courier New" w:hAnsi="Courier New"/>
          <w:noProof/>
          <w:sz w:val="16"/>
          <w:lang w:eastAsia="en-GB"/>
        </w:rPr>
        <w:t xml:space="preserve"> </w:t>
      </w:r>
      <w:r>
        <w:rPr>
          <w:rFonts w:ascii="Courier New" w:eastAsia="Yu Mincho" w:hAnsi="Courier New"/>
          <w:noProof/>
          <w:color w:val="993366"/>
          <w:sz w:val="16"/>
          <w:lang w:eastAsia="en-GB"/>
        </w:rPr>
        <w:t>SIZE</w:t>
      </w:r>
      <w:r>
        <w:rPr>
          <w:rFonts w:ascii="Courier New" w:eastAsia="Yu Mincho" w:hAnsi="Courier New"/>
          <w:noProof/>
          <w:sz w:val="16"/>
          <w:lang w:eastAsia="en-GB"/>
        </w:rPr>
        <w:t xml:space="preserve">(1..maxNrOfCSI-ReportConfigurations) </w:t>
      </w:r>
      <w:r>
        <w:rPr>
          <w:rFonts w:ascii="Courier New" w:eastAsia="Yu Mincho" w:hAnsi="Courier New"/>
          <w:noProof/>
          <w:color w:val="993366"/>
          <w:sz w:val="16"/>
          <w:lang w:eastAsia="en-GB"/>
        </w:rPr>
        <w:t>OF</w:t>
      </w:r>
    </w:p>
    <w:p w14:paraId="77DE95C4"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color w:val="993366"/>
          <w:sz w:val="16"/>
          <w:lang w:eastAsia="en-GB"/>
        </w:rPr>
        <w:lastRenderedPageBreak/>
        <w:tab/>
      </w:r>
      <w:r>
        <w:rPr>
          <w:rFonts w:ascii="Courier New" w:eastAsia="Yu Mincho" w:hAnsi="Courier New"/>
          <w:noProof/>
          <w:color w:val="993366"/>
          <w:sz w:val="16"/>
          <w:lang w:eastAsia="en-GB"/>
        </w:rPr>
        <w:tab/>
      </w:r>
      <w:r w:rsidRPr="00A95F1D">
        <w:rPr>
          <w:rFonts w:ascii="Courier New" w:eastAsia="Yu Mincho" w:hAnsi="Courier New"/>
          <w:noProof/>
          <w:sz w:val="16"/>
          <w:lang w:eastAsia="en-GB"/>
        </w:rPr>
        <w:t>CSI-ReportConfig</w:t>
      </w:r>
      <w:r>
        <w:rPr>
          <w:rFonts w:ascii="Courier New" w:eastAsia="Yu Mincho" w:hAnsi="Courier New"/>
          <w:noProof/>
          <w:sz w:val="16"/>
          <w:lang w:eastAsia="en-GB"/>
        </w:rPr>
        <w:t>Id</w:t>
      </w:r>
      <w:r w:rsidRPr="00A95F1D">
        <w:rPr>
          <w:rFonts w:ascii="Courier New" w:eastAsia="Yu Mincho" w:hAnsi="Courier New"/>
          <w:noProof/>
          <w:sz w:val="16"/>
          <w:lang w:eastAsia="en-GB"/>
        </w:rPr>
        <w:t xml:space="preserve"> </w:t>
      </w:r>
      <w:r>
        <w:rPr>
          <w:rFonts w:ascii="Courier New" w:eastAsia="Yu Mincho" w:hAnsi="Courier New"/>
          <w:noProof/>
          <w:color w:val="993366"/>
          <w:sz w:val="16"/>
          <w:lang w:eastAsia="en-GB"/>
        </w:rPr>
        <w:t>OPTIONAL</w:t>
      </w:r>
    </w:p>
    <w:p w14:paraId="31248594" w14:textId="77777777" w:rsidR="00A45E07" w:rsidRPr="000B689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noProof/>
          <w:sz w:val="16"/>
          <w:lang w:eastAsia="en-GB"/>
        </w:rPr>
      </w:pPr>
      <w:r>
        <w:rPr>
          <w:rFonts w:ascii="Courier New" w:hAnsi="Courier New"/>
          <w:noProof/>
          <w:sz w:val="16"/>
          <w:lang w:eastAsia="en-GB"/>
        </w:rPr>
        <w:t xml:space="preserve">    </w:t>
      </w:r>
      <w:r>
        <w:rPr>
          <w:rFonts w:ascii="Courier New" w:hAnsi="Courier New"/>
          <w:b/>
          <w:bCs/>
          <w:noProof/>
          <w:sz w:val="16"/>
          <w:lang w:eastAsia="en-GB"/>
        </w:rPr>
        <w:t>&lt;removed&gt;</w:t>
      </w:r>
      <w:r>
        <w:rPr>
          <w:rFonts w:ascii="Courier New" w:hAnsi="Courier New"/>
          <w:noProof/>
          <w:sz w:val="16"/>
          <w:lang w:eastAsia="en-GB"/>
        </w:rPr>
        <w:br/>
      </w:r>
      <w:r w:rsidRPr="000B6897">
        <w:rPr>
          <w:rFonts w:ascii="Courier New" w:hAnsi="Courier New"/>
          <w:b/>
          <w:bCs/>
          <w:noProof/>
          <w:sz w:val="16"/>
          <w:highlight w:val="yellow"/>
          <w:lang w:eastAsia="en-GB"/>
        </w:rPr>
        <w:t>&lt;for inference-related parameters&gt;</w:t>
      </w:r>
    </w:p>
    <w:p w14:paraId="440497EB"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F44D98D" w14:textId="4B67B8C4"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993366"/>
          <w:sz w:val="16"/>
          <w:lang w:eastAsia="en-GB"/>
        </w:rPr>
      </w:pPr>
      <w:r>
        <w:rPr>
          <w:rFonts w:ascii="Courier New" w:hAnsi="Courier New"/>
          <w:noProof/>
          <w:sz w:val="16"/>
          <w:lang w:eastAsia="en-GB"/>
        </w:rPr>
        <w:tab/>
        <w:t>csi-ReportConfigRelatedToAddModList</w:t>
      </w:r>
      <w:r w:rsidR="000018FA">
        <w:rPr>
          <w:rFonts w:ascii="Courier New" w:hAnsi="Courier New"/>
          <w:noProof/>
          <w:sz w:val="16"/>
          <w:lang w:eastAsia="en-GB"/>
        </w:rPr>
        <w:t>-r19</w:t>
      </w:r>
      <w:r>
        <w:rPr>
          <w:rFonts w:ascii="Courier New" w:hAnsi="Courier New"/>
          <w:noProof/>
          <w:sz w:val="16"/>
          <w:lang w:eastAsia="en-GB"/>
        </w:rPr>
        <w:t xml:space="preserve">  </w:t>
      </w:r>
      <w:r w:rsidRPr="0023760B">
        <w:rPr>
          <w:rFonts w:ascii="Courier New" w:eastAsia="Yu Mincho" w:hAnsi="Courier New"/>
          <w:noProof/>
          <w:color w:val="993366"/>
          <w:sz w:val="16"/>
          <w:lang w:eastAsia="en-GB"/>
        </w:rPr>
        <w:t>SEQUENCE</w:t>
      </w:r>
      <w:r>
        <w:rPr>
          <w:rFonts w:ascii="Courier New" w:hAnsi="Courier New"/>
          <w:noProof/>
          <w:sz w:val="16"/>
          <w:lang w:eastAsia="en-GB"/>
        </w:rPr>
        <w:t xml:space="preserve"> </w:t>
      </w:r>
      <w:r>
        <w:rPr>
          <w:rFonts w:ascii="Courier New" w:eastAsia="Yu Mincho" w:hAnsi="Courier New"/>
          <w:noProof/>
          <w:color w:val="993366"/>
          <w:sz w:val="16"/>
          <w:lang w:eastAsia="en-GB"/>
        </w:rPr>
        <w:t>SIZE</w:t>
      </w:r>
      <w:r>
        <w:rPr>
          <w:rFonts w:ascii="Courier New" w:eastAsia="Yu Mincho" w:hAnsi="Courier New"/>
          <w:noProof/>
          <w:sz w:val="16"/>
          <w:lang w:eastAsia="en-GB"/>
        </w:rPr>
        <w:t xml:space="preserve">(1..maxNrOfCSI-ReportConfigurations) </w:t>
      </w:r>
      <w:r>
        <w:rPr>
          <w:rFonts w:ascii="Courier New" w:eastAsia="Yu Mincho" w:hAnsi="Courier New"/>
          <w:noProof/>
          <w:color w:val="993366"/>
          <w:sz w:val="16"/>
          <w:lang w:eastAsia="en-GB"/>
        </w:rPr>
        <w:t>OF</w:t>
      </w:r>
    </w:p>
    <w:p w14:paraId="0F5AE57F"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color w:val="993366"/>
          <w:sz w:val="16"/>
          <w:lang w:eastAsia="en-GB"/>
        </w:rPr>
        <w:tab/>
      </w:r>
      <w:r>
        <w:rPr>
          <w:rFonts w:ascii="Courier New" w:eastAsia="Yu Mincho" w:hAnsi="Courier New"/>
          <w:noProof/>
          <w:color w:val="993366"/>
          <w:sz w:val="16"/>
          <w:lang w:eastAsia="en-GB"/>
        </w:rPr>
        <w:tab/>
      </w:r>
      <w:r w:rsidRPr="00A95F1D">
        <w:rPr>
          <w:rFonts w:ascii="Courier New" w:eastAsia="Yu Mincho" w:hAnsi="Courier New"/>
          <w:noProof/>
          <w:sz w:val="16"/>
          <w:lang w:eastAsia="en-GB"/>
        </w:rPr>
        <w:t xml:space="preserve">CSI-ReportConfig </w:t>
      </w:r>
      <w:r>
        <w:rPr>
          <w:rFonts w:ascii="Courier New" w:eastAsia="Yu Mincho" w:hAnsi="Courier New"/>
          <w:noProof/>
          <w:color w:val="993366"/>
          <w:sz w:val="16"/>
          <w:lang w:eastAsia="en-GB"/>
        </w:rPr>
        <w:t>OPTIONAL</w:t>
      </w:r>
      <w:r>
        <w:rPr>
          <w:rFonts w:ascii="Courier New" w:eastAsia="Yu Mincho" w:hAnsi="Courier New"/>
          <w:noProof/>
          <w:sz w:val="16"/>
          <w:lang w:eastAsia="en-GB"/>
        </w:rPr>
        <w:t>,</w:t>
      </w:r>
    </w:p>
    <w:p w14:paraId="2D22E293" w14:textId="306C9B1B"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993366"/>
          <w:sz w:val="16"/>
          <w:lang w:eastAsia="en-GB"/>
        </w:rPr>
      </w:pPr>
      <w:r>
        <w:rPr>
          <w:rFonts w:ascii="Courier New" w:eastAsia="Yu Mincho" w:hAnsi="Courier New"/>
          <w:noProof/>
          <w:sz w:val="16"/>
          <w:lang w:eastAsia="en-GB"/>
        </w:rPr>
        <w:tab/>
        <w:t>csi-ReportConfigRelatedToReleaseList</w:t>
      </w:r>
      <w:r w:rsidR="000018FA">
        <w:rPr>
          <w:rFonts w:ascii="Courier New" w:eastAsia="Yu Mincho" w:hAnsi="Courier New"/>
          <w:noProof/>
          <w:sz w:val="16"/>
          <w:lang w:eastAsia="en-GB"/>
        </w:rPr>
        <w:t>-r19</w:t>
      </w:r>
      <w:r>
        <w:rPr>
          <w:rFonts w:ascii="Courier New" w:eastAsia="Yu Mincho" w:hAnsi="Courier New"/>
          <w:noProof/>
          <w:sz w:val="16"/>
          <w:lang w:eastAsia="en-GB"/>
        </w:rPr>
        <w:t xml:space="preserve"> </w:t>
      </w:r>
      <w:r w:rsidRPr="0023760B">
        <w:rPr>
          <w:rFonts w:ascii="Courier New" w:eastAsia="Yu Mincho" w:hAnsi="Courier New"/>
          <w:noProof/>
          <w:color w:val="993366"/>
          <w:sz w:val="16"/>
          <w:lang w:eastAsia="en-GB"/>
        </w:rPr>
        <w:t>SEQUENCE</w:t>
      </w:r>
      <w:r>
        <w:rPr>
          <w:rFonts w:ascii="Courier New" w:hAnsi="Courier New"/>
          <w:noProof/>
          <w:sz w:val="16"/>
          <w:lang w:eastAsia="en-GB"/>
        </w:rPr>
        <w:t xml:space="preserve"> </w:t>
      </w:r>
      <w:r>
        <w:rPr>
          <w:rFonts w:ascii="Courier New" w:eastAsia="Yu Mincho" w:hAnsi="Courier New"/>
          <w:noProof/>
          <w:color w:val="993366"/>
          <w:sz w:val="16"/>
          <w:lang w:eastAsia="en-GB"/>
        </w:rPr>
        <w:t>SIZE</w:t>
      </w:r>
      <w:r>
        <w:rPr>
          <w:rFonts w:ascii="Courier New" w:eastAsia="Yu Mincho" w:hAnsi="Courier New"/>
          <w:noProof/>
          <w:sz w:val="16"/>
          <w:lang w:eastAsia="en-GB"/>
        </w:rPr>
        <w:t xml:space="preserve">(1..maxNrOfCSI-ReportConfigurations) </w:t>
      </w:r>
      <w:r>
        <w:rPr>
          <w:rFonts w:ascii="Courier New" w:eastAsia="Yu Mincho" w:hAnsi="Courier New"/>
          <w:noProof/>
          <w:color w:val="993366"/>
          <w:sz w:val="16"/>
          <w:lang w:eastAsia="en-GB"/>
        </w:rPr>
        <w:t>OF</w:t>
      </w:r>
    </w:p>
    <w:p w14:paraId="2E5AE60A" w14:textId="77777777" w:rsidR="00A45E07"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color w:val="993366"/>
          <w:sz w:val="16"/>
          <w:lang w:eastAsia="en-GB"/>
        </w:rPr>
        <w:tab/>
      </w:r>
      <w:r>
        <w:rPr>
          <w:rFonts w:ascii="Courier New" w:eastAsia="Yu Mincho" w:hAnsi="Courier New"/>
          <w:noProof/>
          <w:color w:val="993366"/>
          <w:sz w:val="16"/>
          <w:lang w:eastAsia="en-GB"/>
        </w:rPr>
        <w:tab/>
      </w:r>
      <w:r w:rsidRPr="00A95F1D">
        <w:rPr>
          <w:rFonts w:ascii="Courier New" w:eastAsia="Yu Mincho" w:hAnsi="Courier New"/>
          <w:noProof/>
          <w:sz w:val="16"/>
          <w:lang w:eastAsia="en-GB"/>
        </w:rPr>
        <w:t>CSI-ReportConfig</w:t>
      </w:r>
      <w:r>
        <w:rPr>
          <w:rFonts w:ascii="Courier New" w:eastAsia="Yu Mincho" w:hAnsi="Courier New"/>
          <w:noProof/>
          <w:sz w:val="16"/>
          <w:lang w:eastAsia="en-GB"/>
        </w:rPr>
        <w:t>Id</w:t>
      </w:r>
      <w:r w:rsidRPr="00A95F1D">
        <w:rPr>
          <w:rFonts w:ascii="Courier New" w:eastAsia="Yu Mincho" w:hAnsi="Courier New"/>
          <w:noProof/>
          <w:sz w:val="16"/>
          <w:lang w:eastAsia="en-GB"/>
        </w:rPr>
        <w:t xml:space="preserve"> </w:t>
      </w:r>
      <w:r>
        <w:rPr>
          <w:rFonts w:ascii="Courier New" w:eastAsia="Yu Mincho" w:hAnsi="Courier New"/>
          <w:noProof/>
          <w:color w:val="993366"/>
          <w:sz w:val="16"/>
          <w:lang w:eastAsia="en-GB"/>
        </w:rPr>
        <w:t>OPTIONAL</w:t>
      </w:r>
    </w:p>
    <w:p w14:paraId="5C728A7E" w14:textId="376388A9" w:rsidR="00A45E07" w:rsidRPr="00A13518" w:rsidRDefault="00A45E07" w:rsidP="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noProof/>
          <w:sz w:val="16"/>
          <w:lang w:eastAsia="en-GB"/>
        </w:rPr>
        <w:t xml:space="preserve">    ]]</w:t>
      </w:r>
    </w:p>
    <w:p w14:paraId="4014B9D6" w14:textId="77777777" w:rsidR="00A45E07" w:rsidRDefault="00A45E07" w:rsidP="00A45E07">
      <w:pPr>
        <w:jc w:val="center"/>
        <w:rPr>
          <w:b/>
          <w:bCs/>
        </w:rPr>
      </w:pPr>
      <w:r>
        <w:rPr>
          <w:b/>
          <w:bCs/>
        </w:rPr>
        <w:t>Figure 2.1-1 Alternative Configuration of Inference-Related Parameters</w:t>
      </w:r>
    </w:p>
    <w:p w14:paraId="762A0D3F" w14:textId="093B7CC8" w:rsidR="00A45E07" w:rsidRPr="00CE2FD7" w:rsidRDefault="00A45E07" w:rsidP="00A13518">
      <w:pPr>
        <w:jc w:val="both"/>
      </w:pPr>
      <w:r>
        <w:rPr>
          <w:b/>
          <w:bCs/>
        </w:rPr>
        <w:t>Proposal</w:t>
      </w:r>
      <w:r w:rsidR="00147717">
        <w:rPr>
          <w:b/>
          <w:bCs/>
        </w:rPr>
        <w:t xml:space="preserve"> 3</w:t>
      </w:r>
      <w:r>
        <w:rPr>
          <w:b/>
          <w:bCs/>
        </w:rPr>
        <w:t xml:space="preserve">: </w:t>
      </w:r>
      <w:r w:rsidR="009D5FE0">
        <w:rPr>
          <w:b/>
          <w:bCs/>
        </w:rPr>
        <w:t xml:space="preserve">As an </w:t>
      </w:r>
      <w:r w:rsidR="009D5FE0">
        <w:rPr>
          <w:b/>
          <w:iCs/>
        </w:rPr>
        <w:t>a</w:t>
      </w:r>
      <w:r w:rsidRPr="000B6897">
        <w:rPr>
          <w:b/>
          <w:iCs/>
        </w:rPr>
        <w:t>lternative</w:t>
      </w:r>
      <w:r>
        <w:rPr>
          <w:b/>
          <w:iCs/>
        </w:rPr>
        <w:t xml:space="preserve"> to providing inference-related parameters in </w:t>
      </w:r>
      <w:r>
        <w:rPr>
          <w:b/>
          <w:i/>
        </w:rPr>
        <w:t>CSI-MeasConfig</w:t>
      </w:r>
      <w:r>
        <w:rPr>
          <w:b/>
          <w:iCs/>
        </w:rPr>
        <w:t xml:space="preserve"> -&gt; </w:t>
      </w:r>
      <w:r>
        <w:rPr>
          <w:b/>
          <w:i/>
        </w:rPr>
        <w:t>csi-ReportConfigToAddModList</w:t>
      </w:r>
      <w:r>
        <w:rPr>
          <w:b/>
          <w:bCs/>
          <w:iCs/>
        </w:rPr>
        <w:t xml:space="preserve">, a new list of </w:t>
      </w:r>
      <w:r>
        <w:rPr>
          <w:b/>
          <w:bCs/>
          <w:i/>
        </w:rPr>
        <w:t>CSI-ReportConfigs</w:t>
      </w:r>
      <w:r>
        <w:rPr>
          <w:b/>
          <w:bCs/>
          <w:iCs/>
        </w:rPr>
        <w:t xml:space="preserve"> containing inference-related parameters could be defined</w:t>
      </w:r>
      <w:r w:rsidR="00690B98">
        <w:rPr>
          <w:b/>
          <w:bCs/>
          <w:iCs/>
        </w:rPr>
        <w:t>.</w:t>
      </w:r>
    </w:p>
    <w:p w14:paraId="464B272B" w14:textId="77777777" w:rsidR="00A45E07" w:rsidRDefault="00A45E07" w:rsidP="00294CCF">
      <w:pPr>
        <w:pStyle w:val="Heading1"/>
      </w:pPr>
      <w:r>
        <w:t>3</w:t>
      </w:r>
      <w:r>
        <w:tab/>
      </w:r>
      <w:r w:rsidRPr="009C6797">
        <w:t>Applicability</w:t>
      </w:r>
    </w:p>
    <w:p w14:paraId="4C2A6B12" w14:textId="77777777" w:rsidR="00A45E07" w:rsidRPr="001502B7" w:rsidRDefault="00A45E07" w:rsidP="00294CCF">
      <w:pPr>
        <w:pStyle w:val="Heading2"/>
      </w:pPr>
      <w:r>
        <w:t>3</w:t>
      </w:r>
      <w:r w:rsidRPr="00E437B1">
        <w:t>.</w:t>
      </w:r>
      <w:r>
        <w:t>1</w:t>
      </w:r>
      <w:r w:rsidRPr="00E437B1">
        <w:tab/>
      </w:r>
      <w:r>
        <w:t>Structure of the Applicability Report</w:t>
      </w:r>
    </w:p>
    <w:p w14:paraId="125A7233" w14:textId="4A2EAF5D" w:rsidR="00A45E07" w:rsidRDefault="00A45E07" w:rsidP="00A13518">
      <w:pPr>
        <w:jc w:val="both"/>
      </w:pPr>
      <w:r>
        <w:t xml:space="preserve">The RRC applicability report will be used to report the applicability of any AI/ML-enabled configuration, or any configuration subject to the applicability determination procedure, for all RRC-based use cases, e.g., CSI feedback enhancement, Beam Prediction, and Mobility, in the future. Every configuration which we have discussed thus far in the use cases has an ID, and that ID, e.g., </w:t>
      </w:r>
      <w:r>
        <w:rPr>
          <w:i/>
          <w:iCs/>
        </w:rPr>
        <w:t>CSI-ReportConfigId</w:t>
      </w:r>
      <w:r>
        <w:t>, can be used to identify AI/ML-enabled configurations and to report their applicability, and updates thereto.</w:t>
      </w:r>
    </w:p>
    <w:p w14:paraId="32DBCE25" w14:textId="5A4D6910" w:rsidR="00A45E07" w:rsidRDefault="00A45E07" w:rsidP="00A13518">
      <w:pPr>
        <w:jc w:val="both"/>
        <w:rPr>
          <w:i/>
          <w:iCs/>
        </w:rPr>
      </w:pPr>
      <w:r>
        <w:t xml:space="preserve">Below, we provide two </w:t>
      </w:r>
      <w:r w:rsidR="004D0DE6">
        <w:t>versions</w:t>
      </w:r>
      <w:r>
        <w:t xml:space="preserve"> </w:t>
      </w:r>
      <w:r w:rsidR="00D65C5B">
        <w:t>of</w:t>
      </w:r>
      <w:r>
        <w:t xml:space="preserve"> the </w:t>
      </w:r>
      <w:r>
        <w:rPr>
          <w:i/>
          <w:iCs/>
        </w:rPr>
        <w:t>ApplicabilityReport-r19</w:t>
      </w:r>
      <w:r w:rsidR="001C29D9" w:rsidRPr="00A13518">
        <w:t>,</w:t>
      </w:r>
      <w:r>
        <w:t xml:space="preserve"> which we find to be extensible to future use cases</w:t>
      </w:r>
      <w:r w:rsidR="00EE193E">
        <w:t>.</w:t>
      </w:r>
      <w:r>
        <w:t xml:space="preserve"> </w:t>
      </w:r>
      <w:r w:rsidR="00EE193E">
        <w:t>Lastly we</w:t>
      </w:r>
      <w:r>
        <w:t xml:space="preserve"> </w:t>
      </w:r>
      <w:r w:rsidR="00EE193E">
        <w:t>provide</w:t>
      </w:r>
      <w:r>
        <w:t xml:space="preserve"> </w:t>
      </w:r>
      <w:r w:rsidR="00EE193E">
        <w:t>ASN.1</w:t>
      </w:r>
      <w:r>
        <w:t>, which closely match</w:t>
      </w:r>
      <w:r w:rsidR="00F7421E">
        <w:t>es</w:t>
      </w:r>
      <w:r>
        <w:t xml:space="preserve"> the running CR for RRC for AI/ML Phy: </w:t>
      </w:r>
      <w:r>
        <w:rPr>
          <w:i/>
          <w:iCs/>
        </w:rPr>
        <w:t>ApplicabilityReportList-r19</w:t>
      </w:r>
      <w:r>
        <w:t xml:space="preserve">; </w:t>
      </w:r>
      <w:r>
        <w:rPr>
          <w:i/>
          <w:iCs/>
        </w:rPr>
        <w:t>UEAssistanceInformation-v1900-IEs;</w:t>
      </w:r>
      <w:r>
        <w:t xml:space="preserve"> and </w:t>
      </w:r>
      <w:r>
        <w:rPr>
          <w:i/>
          <w:iCs/>
        </w:rPr>
        <w:t>RRCReconfigurationComplete-v1900-IEs.</w:t>
      </w:r>
    </w:p>
    <w:p w14:paraId="35801D16" w14:textId="77777777" w:rsidR="00A45E07" w:rsidRPr="002E3207" w:rsidRDefault="00A45E07" w:rsidP="00A13518">
      <w:pPr>
        <w:jc w:val="both"/>
      </w:pPr>
      <w:r>
        <w:t xml:space="preserve">In Alt 1., shown in Figure 3.1-1, the </w:t>
      </w:r>
      <w:r>
        <w:rPr>
          <w:i/>
          <w:iCs/>
        </w:rPr>
        <w:t>applicabilityId</w:t>
      </w:r>
      <w:r>
        <w:t xml:space="preserve"> is a choice of IDs already existing in the specification for which applicability could be determined and reported. In this alternative, new </w:t>
      </w:r>
      <w:r>
        <w:rPr>
          <w:i/>
          <w:iCs/>
        </w:rPr>
        <w:t>applicabilityId</w:t>
      </w:r>
      <w:r>
        <w:t xml:space="preserve"> types would be added through </w:t>
      </w:r>
      <w:r>
        <w:rPr>
          <w:i/>
          <w:iCs/>
        </w:rPr>
        <w:t>nonCriticalExtensions</w:t>
      </w:r>
      <w:r>
        <w:t xml:space="preserve"> in further releases.</w:t>
      </w:r>
    </w:p>
    <w:tbl>
      <w:tblPr>
        <w:tblStyle w:val="TableGrid"/>
        <w:tblW w:w="0" w:type="auto"/>
        <w:tblLook w:val="04A0" w:firstRow="1" w:lastRow="0" w:firstColumn="1" w:lastColumn="0" w:noHBand="0" w:noVBand="1"/>
      </w:tblPr>
      <w:tblGrid>
        <w:gridCol w:w="9631"/>
      </w:tblGrid>
      <w:tr w:rsidR="00A45E07" w14:paraId="080331A2" w14:textId="77777777">
        <w:tc>
          <w:tcPr>
            <w:tcW w:w="9631" w:type="dxa"/>
          </w:tcPr>
          <w:p w14:paraId="0EE89EF3" w14:textId="77777777" w:rsidR="00A45E07" w:rsidRPr="0023760B"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bookmarkStart w:id="0" w:name="_Hlk192574962"/>
            <w:r>
              <w:rPr>
                <w:rFonts w:ascii="Courier New" w:eastAsia="Yu Mincho" w:hAnsi="Courier New"/>
                <w:noProof/>
                <w:sz w:val="16"/>
                <w:lang w:eastAsia="en-GB"/>
              </w:rPr>
              <w:t>ApplicabilityReport-r19</w:t>
            </w:r>
            <w:r w:rsidRPr="0023760B">
              <w:rPr>
                <w:rFonts w:ascii="Courier New" w:eastAsia="Yu Mincho" w:hAnsi="Courier New"/>
                <w:noProof/>
                <w:sz w:val="16"/>
                <w:lang w:eastAsia="en-GB"/>
              </w:rPr>
              <w:t xml:space="preserve"> ::=           </w:t>
            </w:r>
            <w:r w:rsidRPr="0023760B">
              <w:rPr>
                <w:rFonts w:ascii="Courier New" w:eastAsia="Yu Mincho" w:hAnsi="Courier New"/>
                <w:noProof/>
                <w:color w:val="993366"/>
                <w:sz w:val="16"/>
                <w:lang w:eastAsia="en-GB"/>
              </w:rPr>
              <w:t>SEQUENCE</w:t>
            </w:r>
            <w:r w:rsidRPr="0023760B">
              <w:rPr>
                <w:rFonts w:ascii="Courier New" w:eastAsia="Yu Mincho" w:hAnsi="Courier New"/>
                <w:noProof/>
                <w:sz w:val="16"/>
                <w:lang w:eastAsia="en-GB"/>
              </w:rPr>
              <w:t xml:space="preserve"> {</w:t>
            </w:r>
          </w:p>
          <w:p w14:paraId="0D268E79"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applicabilityId        </w:t>
            </w:r>
            <w:r>
              <w:rPr>
                <w:rFonts w:ascii="Courier New" w:hAnsi="Courier New"/>
                <w:noProof/>
                <w:color w:val="993366"/>
                <w:sz w:val="16"/>
                <w:lang w:eastAsia="en-GB"/>
              </w:rPr>
              <w:t>CHOICE</w:t>
            </w:r>
            <w:r>
              <w:rPr>
                <w:rFonts w:ascii="Courier New" w:hAnsi="Courier New"/>
                <w:noProof/>
                <w:sz w:val="16"/>
                <w:lang w:eastAsia="en-GB"/>
              </w:rPr>
              <w:t xml:space="preserve"> </w:t>
            </w:r>
            <w:r w:rsidRPr="007C4DD6">
              <w:rPr>
                <w:rFonts w:ascii="Courier New" w:hAnsi="Courier New"/>
                <w:noProof/>
                <w:sz w:val="16"/>
                <w:lang w:eastAsia="en-GB"/>
              </w:rPr>
              <w:t>{</w:t>
            </w:r>
          </w:p>
          <w:p w14:paraId="1B34624B"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csi-ReportConfigId        CSI-ReportConfigId,</w:t>
            </w:r>
          </w:p>
          <w:p w14:paraId="43ABA2C6" w14:textId="66C47A8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&lt;</w:t>
            </w:r>
            <w:r w:rsidR="00546B67">
              <w:rPr>
                <w:rFonts w:ascii="Courier New" w:hAnsi="Courier New"/>
                <w:noProof/>
                <w:sz w:val="16"/>
                <w:lang w:eastAsia="en-GB"/>
              </w:rPr>
              <w:t>similar additions for other use cases in Rel-19</w:t>
            </w:r>
            <w:r>
              <w:rPr>
                <w:rFonts w:ascii="Courier New" w:hAnsi="Courier New"/>
                <w:noProof/>
                <w:sz w:val="16"/>
                <w:lang w:eastAsia="en-GB"/>
              </w:rPr>
              <w:t>&gt;</w:t>
            </w:r>
          </w:p>
          <w:p w14:paraId="2A90635E"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14:paraId="0040D409"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applicability                 ENUMERATED {applicable, inapplicable},</w:t>
            </w:r>
          </w:p>
          <w:p w14:paraId="52130A4D"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A95F1D">
              <w:rPr>
                <w:rFonts w:ascii="Courier New" w:hAnsi="Courier New"/>
                <w:noProof/>
                <w:sz w:val="16"/>
                <w:lang w:eastAsia="en-GB"/>
              </w:rPr>
              <w:t>{}</w:t>
            </w:r>
          </w:p>
          <w:p w14:paraId="3F7F0C2F" w14:textId="77777777" w:rsidR="00A45E07" w:rsidRPr="000B689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tc>
      </w:tr>
    </w:tbl>
    <w:bookmarkEnd w:id="0"/>
    <w:p w14:paraId="7D93BD0F" w14:textId="77777777" w:rsidR="00A45E07" w:rsidRDefault="00A45E07" w:rsidP="00A45E07">
      <w:pPr>
        <w:jc w:val="center"/>
      </w:pPr>
      <w:r>
        <w:rPr>
          <w:b/>
          <w:bCs/>
        </w:rPr>
        <w:t xml:space="preserve">Figure 3.1-1: Alt 1. </w:t>
      </w:r>
      <w:r>
        <w:rPr>
          <w:b/>
          <w:bCs/>
          <w:i/>
          <w:iCs/>
        </w:rPr>
        <w:t>ApplicabilityReport-r19</w:t>
      </w:r>
    </w:p>
    <w:p w14:paraId="27C8E4E8" w14:textId="77777777" w:rsidR="00A45E07" w:rsidRDefault="00A45E07" w:rsidP="00A13518">
      <w:pPr>
        <w:jc w:val="both"/>
      </w:pPr>
      <w:r>
        <w:t xml:space="preserve">In Alt 2., show in Figure 3.1-2, the </w:t>
      </w:r>
      <w:r>
        <w:rPr>
          <w:i/>
          <w:iCs/>
        </w:rPr>
        <w:t>applicabilityIdType</w:t>
      </w:r>
      <w:r>
        <w:t xml:space="preserve"> is an ENUMERATED value which identifies the type of ID, e.g., </w:t>
      </w:r>
      <w:r>
        <w:rPr>
          <w:i/>
          <w:iCs/>
        </w:rPr>
        <w:t>csi-ReportConfigId</w:t>
      </w:r>
      <w:r>
        <w:t xml:space="preserve"> which is pointed to by </w:t>
      </w:r>
      <w:r>
        <w:rPr>
          <w:i/>
          <w:iCs/>
        </w:rPr>
        <w:t>applicabilityId</w:t>
      </w:r>
      <w:r>
        <w:t xml:space="preserve">, which is an OCTET STRING, or an INTEGER with a size to be determined, which can hold any ID type. The benefit of this option is that we can include </w:t>
      </w:r>
      <w:r>
        <w:rPr>
          <w:i/>
          <w:iCs/>
        </w:rPr>
        <w:t>spare</w:t>
      </w:r>
      <w:r>
        <w:t xml:space="preserve"> values in the ENUMERATED and then use </w:t>
      </w:r>
      <w:r>
        <w:rPr>
          <w:i/>
          <w:iCs/>
        </w:rPr>
        <w:t>nonCriticalExtensions</w:t>
      </w:r>
      <w:r>
        <w:t xml:space="preserve"> for additional features in the future instead of additional ID types.</w:t>
      </w:r>
    </w:p>
    <w:tbl>
      <w:tblPr>
        <w:tblStyle w:val="TableGrid"/>
        <w:tblW w:w="0" w:type="auto"/>
        <w:tblLook w:val="04A0" w:firstRow="1" w:lastRow="0" w:firstColumn="1" w:lastColumn="0" w:noHBand="0" w:noVBand="1"/>
      </w:tblPr>
      <w:tblGrid>
        <w:gridCol w:w="9631"/>
      </w:tblGrid>
      <w:tr w:rsidR="00A45E07" w14:paraId="5E4899E2" w14:textId="77777777">
        <w:tc>
          <w:tcPr>
            <w:tcW w:w="9631" w:type="dxa"/>
          </w:tcPr>
          <w:p w14:paraId="610266E1" w14:textId="77777777" w:rsidR="00A45E07" w:rsidRPr="00A13518"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val="it-IT" w:eastAsia="en-GB"/>
              </w:rPr>
            </w:pPr>
            <w:r w:rsidRPr="00A13518">
              <w:rPr>
                <w:rFonts w:ascii="Courier New" w:eastAsia="Yu Mincho" w:hAnsi="Courier New"/>
                <w:sz w:val="16"/>
                <w:lang w:val="it-IT" w:eastAsia="en-GB"/>
              </w:rPr>
              <w:t xml:space="preserve">ApplicabilityReport-r19 ::=           </w:t>
            </w:r>
            <w:r w:rsidRPr="00A13518">
              <w:rPr>
                <w:rFonts w:ascii="Courier New" w:eastAsia="Yu Mincho" w:hAnsi="Courier New"/>
                <w:color w:val="993366"/>
                <w:sz w:val="16"/>
                <w:lang w:val="it-IT" w:eastAsia="en-GB"/>
              </w:rPr>
              <w:t>SEQUENCE</w:t>
            </w:r>
            <w:r w:rsidRPr="00A13518">
              <w:rPr>
                <w:rFonts w:ascii="Courier New" w:eastAsia="Yu Mincho" w:hAnsi="Courier New"/>
                <w:sz w:val="16"/>
                <w:lang w:val="it-IT" w:eastAsia="en-GB"/>
              </w:rPr>
              <w:t xml:space="preserve"> {</w:t>
            </w:r>
          </w:p>
          <w:p w14:paraId="3431B455" w14:textId="0936B9A9" w:rsidR="00A45E07" w:rsidRPr="00A13518"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it-IT" w:eastAsia="en-GB"/>
              </w:rPr>
            </w:pPr>
            <w:r w:rsidRPr="00A13518">
              <w:rPr>
                <w:rFonts w:ascii="Courier New" w:hAnsi="Courier New"/>
                <w:sz w:val="16"/>
                <w:lang w:val="it-IT" w:eastAsia="en-GB"/>
              </w:rPr>
              <w:t xml:space="preserve">    applicabilityIdType        </w:t>
            </w:r>
            <w:r w:rsidRPr="00A13518">
              <w:rPr>
                <w:rFonts w:ascii="Courier New" w:hAnsi="Courier New"/>
                <w:color w:val="993366"/>
                <w:sz w:val="16"/>
                <w:lang w:val="it-IT" w:eastAsia="en-GB"/>
              </w:rPr>
              <w:t>ENUMERATED</w:t>
            </w:r>
            <w:r w:rsidRPr="00A13518">
              <w:rPr>
                <w:rFonts w:ascii="Courier New" w:hAnsi="Courier New"/>
                <w:sz w:val="16"/>
                <w:lang w:val="it-IT" w:eastAsia="en-GB"/>
              </w:rPr>
              <w:t xml:space="preserve"> { csi-ReportConfigId, </w:t>
            </w:r>
            <w:r w:rsidR="00607872">
              <w:rPr>
                <w:rFonts w:ascii="Courier New" w:hAnsi="Courier New"/>
                <w:sz w:val="16"/>
                <w:lang w:val="it-IT" w:eastAsia="en-GB"/>
              </w:rPr>
              <w:t>use-case-X-Rel-19</w:t>
            </w:r>
            <w:r w:rsidRPr="00A13518">
              <w:rPr>
                <w:rFonts w:ascii="Courier New" w:hAnsi="Courier New"/>
                <w:sz w:val="16"/>
                <w:lang w:val="it-IT" w:eastAsia="en-GB"/>
              </w:rPr>
              <w:t xml:space="preserve">, </w:t>
            </w:r>
            <w:r w:rsidR="00607872">
              <w:rPr>
                <w:rFonts w:ascii="Courier New" w:hAnsi="Courier New"/>
                <w:sz w:val="16"/>
                <w:lang w:val="it-IT" w:eastAsia="en-GB"/>
              </w:rPr>
              <w:t>use-case-Y-Rel-19</w:t>
            </w:r>
            <w:r w:rsidRPr="00A13518">
              <w:rPr>
                <w:rFonts w:ascii="Courier New" w:hAnsi="Courier New"/>
                <w:sz w:val="16"/>
                <w:lang w:val="it-IT" w:eastAsia="en-GB"/>
              </w:rPr>
              <w:t>, spare3, spare4, spare5, spare6, spare 7 },</w:t>
            </w:r>
          </w:p>
          <w:p w14:paraId="71DFFE9D" w14:textId="5DE8DD0A"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518">
              <w:rPr>
                <w:rFonts w:ascii="Courier New" w:hAnsi="Courier New"/>
                <w:sz w:val="16"/>
                <w:lang w:val="it-IT" w:eastAsia="en-GB"/>
              </w:rPr>
              <w:t xml:space="preserve">    </w:t>
            </w:r>
            <w:r>
              <w:rPr>
                <w:rFonts w:ascii="Courier New" w:hAnsi="Courier New"/>
                <w:noProof/>
                <w:sz w:val="16"/>
                <w:lang w:eastAsia="en-GB"/>
              </w:rPr>
              <w:t xml:space="preserve">applicabilityId            </w:t>
            </w:r>
            <w:r w:rsidR="00486711">
              <w:rPr>
                <w:rFonts w:ascii="Courier New" w:hAnsi="Courier New"/>
                <w:noProof/>
                <w:color w:val="993366"/>
                <w:sz w:val="16"/>
                <w:lang w:eastAsia="en-GB"/>
              </w:rPr>
              <w:t>OCTET STRING</w:t>
            </w:r>
            <w:r>
              <w:rPr>
                <w:rFonts w:ascii="Courier New" w:hAnsi="Courier New"/>
                <w:noProof/>
                <w:sz w:val="16"/>
                <w:lang w:eastAsia="en-GB"/>
              </w:rPr>
              <w:t>,</w:t>
            </w:r>
          </w:p>
          <w:p w14:paraId="3937AFCB" w14:textId="19E31522"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applicability              </w:t>
            </w:r>
            <w:r w:rsidR="00486711">
              <w:rPr>
                <w:rFonts w:ascii="Courier New" w:hAnsi="Courier New"/>
                <w:noProof/>
                <w:color w:val="993366"/>
                <w:sz w:val="16"/>
                <w:lang w:eastAsia="en-GB"/>
              </w:rPr>
              <w:t>ENUMERATED</w:t>
            </w:r>
            <w:r>
              <w:rPr>
                <w:rFonts w:ascii="Courier New" w:hAnsi="Courier New"/>
                <w:noProof/>
                <w:sz w:val="16"/>
                <w:lang w:eastAsia="en-GB"/>
              </w:rPr>
              <w:t xml:space="preserve"> {applicable, inapplicable},</w:t>
            </w:r>
          </w:p>
          <w:p w14:paraId="285FC1CF"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A95F1D">
              <w:rPr>
                <w:rFonts w:ascii="Courier New" w:hAnsi="Courier New"/>
                <w:noProof/>
                <w:sz w:val="16"/>
                <w:lang w:eastAsia="en-GB"/>
              </w:rPr>
              <w:t>{}</w:t>
            </w:r>
          </w:p>
          <w:p w14:paraId="7C9AEB7A" w14:textId="77777777" w:rsidR="00A45E07" w:rsidRPr="00A95F1D"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tc>
      </w:tr>
    </w:tbl>
    <w:p w14:paraId="224468F7" w14:textId="77777777" w:rsidR="00A45E07" w:rsidRPr="000B6897" w:rsidRDefault="00A45E07" w:rsidP="00A45E07">
      <w:pPr>
        <w:jc w:val="center"/>
        <w:rPr>
          <w:b/>
          <w:bCs/>
        </w:rPr>
      </w:pPr>
      <w:r w:rsidRPr="000B6897">
        <w:rPr>
          <w:b/>
          <w:bCs/>
        </w:rPr>
        <w:t xml:space="preserve">Figure </w:t>
      </w:r>
      <w:r>
        <w:rPr>
          <w:b/>
          <w:bCs/>
        </w:rPr>
        <w:t>3.1</w:t>
      </w:r>
      <w:r w:rsidRPr="000B6897">
        <w:rPr>
          <w:b/>
          <w:bCs/>
        </w:rPr>
        <w:t>-2: Alt 2. ApplicabilityReport-r19</w:t>
      </w:r>
    </w:p>
    <w:p w14:paraId="357B9ADB" w14:textId="77777777" w:rsidR="00A45E07" w:rsidRPr="000B6897" w:rsidRDefault="00A45E07" w:rsidP="00A45E07">
      <w:pPr>
        <w:rPr>
          <w:b/>
          <w:bCs/>
        </w:rPr>
      </w:pPr>
      <w:r w:rsidRPr="000B6897">
        <w:t xml:space="preserve">The supporting elements for signalling the </w:t>
      </w:r>
      <w:r w:rsidRPr="000B6897">
        <w:rPr>
          <w:i/>
          <w:iCs/>
        </w:rPr>
        <w:t>ApplicabilityReport</w:t>
      </w:r>
      <w:r w:rsidRPr="000B6897">
        <w:rPr>
          <w:iCs/>
        </w:rPr>
        <w:t xml:space="preserve"> are shown in Figure </w:t>
      </w:r>
      <w:r>
        <w:rPr>
          <w:iCs/>
        </w:rPr>
        <w:t>3.1</w:t>
      </w:r>
      <w:r w:rsidRPr="000B6897">
        <w:rPr>
          <w:iCs/>
        </w:rPr>
        <w:t>-3 below, and are captured similarly in the running CR.</w:t>
      </w:r>
      <w:r>
        <w:rPr>
          <w:iCs/>
        </w:rPr>
        <w:t xml:space="preserve"> The same </w:t>
      </w:r>
      <w:r>
        <w:rPr>
          <w:i/>
          <w:iCs/>
        </w:rPr>
        <w:t>ApplicabilityReportList</w:t>
      </w:r>
      <w:r>
        <w:t xml:space="preserve"> container would be used in </w:t>
      </w:r>
      <w:r>
        <w:rPr>
          <w:i/>
          <w:iCs/>
        </w:rPr>
        <w:t>UEAssistanceInformation</w:t>
      </w:r>
      <w:r>
        <w:t xml:space="preserve"> and in </w:t>
      </w:r>
      <w:r>
        <w:rPr>
          <w:i/>
          <w:iCs/>
        </w:rPr>
        <w:t>RRCReconfigurationComplete</w:t>
      </w:r>
      <w:r>
        <w:t>, where applicable.</w:t>
      </w:r>
    </w:p>
    <w:tbl>
      <w:tblPr>
        <w:tblStyle w:val="TableGrid"/>
        <w:tblW w:w="0" w:type="auto"/>
        <w:tblLook w:val="04A0" w:firstRow="1" w:lastRow="0" w:firstColumn="1" w:lastColumn="0" w:noHBand="0" w:noVBand="1"/>
      </w:tblPr>
      <w:tblGrid>
        <w:gridCol w:w="9631"/>
      </w:tblGrid>
      <w:tr w:rsidR="00A45E07" w14:paraId="28A9029E" w14:textId="77777777">
        <w:tc>
          <w:tcPr>
            <w:tcW w:w="9631" w:type="dxa"/>
          </w:tcPr>
          <w:p w14:paraId="61F09634" w14:textId="37AE7538"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hAnsi="Courier New"/>
                <w:noProof/>
                <w:sz w:val="16"/>
                <w:lang w:eastAsia="en-GB"/>
              </w:rPr>
              <w:t xml:space="preserve">ApplicabilityReportList-r19 ::= </w:t>
            </w:r>
            <w:r w:rsidRPr="0023760B">
              <w:rPr>
                <w:rFonts w:ascii="Courier New" w:eastAsia="Yu Mincho" w:hAnsi="Courier New"/>
                <w:noProof/>
                <w:color w:val="993366"/>
                <w:sz w:val="16"/>
                <w:lang w:eastAsia="en-GB"/>
              </w:rPr>
              <w:t>SEQUENCE</w:t>
            </w:r>
            <w:r>
              <w:rPr>
                <w:rFonts w:ascii="Courier New" w:eastAsia="Yu Mincho" w:hAnsi="Courier New"/>
                <w:noProof/>
                <w:color w:val="993366"/>
                <w:sz w:val="16"/>
                <w:lang w:eastAsia="en-GB"/>
              </w:rPr>
              <w:t xml:space="preserve"> </w:t>
            </w:r>
            <w:r w:rsidRPr="000B6897">
              <w:rPr>
                <w:rFonts w:ascii="Courier New" w:eastAsia="Yu Mincho" w:hAnsi="Courier New"/>
                <w:noProof/>
                <w:sz w:val="16"/>
                <w:lang w:eastAsia="en-GB"/>
              </w:rPr>
              <w:t>(</w:t>
            </w:r>
            <w:r>
              <w:rPr>
                <w:rFonts w:ascii="Courier New" w:eastAsia="Yu Mincho" w:hAnsi="Courier New"/>
                <w:noProof/>
                <w:color w:val="993366"/>
                <w:sz w:val="16"/>
                <w:lang w:eastAsia="en-GB"/>
              </w:rPr>
              <w:t>SIZE</w:t>
            </w:r>
            <w:r w:rsidRPr="000B6897">
              <w:rPr>
                <w:rFonts w:ascii="Courier New" w:eastAsia="Yu Mincho" w:hAnsi="Courier New"/>
                <w:noProof/>
                <w:sz w:val="16"/>
                <w:lang w:eastAsia="en-GB"/>
              </w:rPr>
              <w:t>(1..maxNrOfApplicability</w:t>
            </w:r>
            <w:r w:rsidR="00E93000">
              <w:rPr>
                <w:rFonts w:ascii="Courier New" w:eastAsia="Yu Mincho" w:hAnsi="Courier New"/>
                <w:noProof/>
                <w:sz w:val="16"/>
                <w:lang w:eastAsia="en-GB"/>
              </w:rPr>
              <w:t>Report</w:t>
            </w:r>
            <w:r w:rsidRPr="000B6897">
              <w:rPr>
                <w:rFonts w:ascii="Courier New" w:eastAsia="Yu Mincho" w:hAnsi="Courier New"/>
                <w:noProof/>
                <w:sz w:val="16"/>
                <w:lang w:eastAsia="en-GB"/>
              </w:rPr>
              <w:t>s)) OF</w:t>
            </w:r>
          </w:p>
          <w:p w14:paraId="65BF3024"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 xml:space="preserve">                                             </w:t>
            </w:r>
            <w:r w:rsidRPr="000B6897">
              <w:rPr>
                <w:rFonts w:ascii="Courier New" w:eastAsia="Yu Mincho" w:hAnsi="Courier New"/>
                <w:noProof/>
                <w:sz w:val="16"/>
                <w:lang w:eastAsia="en-GB"/>
              </w:rPr>
              <w:t>ApplicabilityReport-r19</w:t>
            </w:r>
          </w:p>
          <w:p w14:paraId="72A6BA74"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14BEB22" w14:textId="77777777" w:rsidR="00A45E07" w:rsidRPr="0023760B"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UEAssistanceInformation-v1900-IEs ::=</w:t>
            </w:r>
            <w:r w:rsidRPr="0023760B">
              <w:rPr>
                <w:rFonts w:ascii="Courier New" w:eastAsia="Yu Mincho" w:hAnsi="Courier New"/>
                <w:noProof/>
                <w:color w:val="993366"/>
                <w:sz w:val="16"/>
                <w:lang w:eastAsia="en-GB"/>
              </w:rPr>
              <w:t xml:space="preserve"> SEQUENCE</w:t>
            </w:r>
            <w:r w:rsidRPr="0023760B">
              <w:rPr>
                <w:rFonts w:ascii="Courier New" w:eastAsia="Yu Mincho" w:hAnsi="Courier New"/>
                <w:noProof/>
                <w:sz w:val="16"/>
                <w:lang w:eastAsia="en-GB"/>
              </w:rPr>
              <w:t xml:space="preserve"> {</w:t>
            </w:r>
          </w:p>
          <w:p w14:paraId="5888158C"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 xml:space="preserve">    applicabilityReportList        ApplicabilityReportList-r19 </w:t>
            </w:r>
            <w:r>
              <w:rPr>
                <w:rFonts w:ascii="Courier New" w:hAnsi="Courier New"/>
                <w:noProof/>
                <w:color w:val="993366"/>
                <w:sz w:val="16"/>
                <w:lang w:eastAsia="en-GB"/>
              </w:rPr>
              <w:t>OPTIONAL</w:t>
            </w:r>
            <w:r>
              <w:rPr>
                <w:rFonts w:ascii="Courier New" w:eastAsia="Yu Mincho" w:hAnsi="Courier New"/>
                <w:noProof/>
                <w:sz w:val="16"/>
                <w:lang w:eastAsia="en-GB"/>
              </w:rPr>
              <w:t xml:space="preserve"> -- Need R</w:t>
            </w:r>
          </w:p>
          <w:p w14:paraId="77AF7D6A"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Yu Mincho" w:hAnsi="Courier New"/>
                <w:noProof/>
                <w:sz w:val="16"/>
                <w:lang w:eastAsia="en-GB"/>
              </w:rPr>
              <w:t xml:space="preserve">    </w:t>
            </w:r>
            <w:r>
              <w:rPr>
                <w:rFonts w:ascii="Courier New" w:hAnsi="Courier New"/>
                <w:noProof/>
                <w:sz w:val="16"/>
                <w:lang w:eastAsia="en-GB"/>
              </w:rPr>
              <w:t xml:space="preserve">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E25C45">
              <w:rPr>
                <w:rFonts w:ascii="Courier New" w:hAnsi="Courier New"/>
                <w:noProof/>
                <w:sz w:val="16"/>
                <w:lang w:eastAsia="en-GB"/>
              </w:rPr>
              <w:t>{}</w:t>
            </w:r>
          </w:p>
          <w:p w14:paraId="226B43D8"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w:t>
            </w:r>
          </w:p>
          <w:p w14:paraId="08168486"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2E6ADFE" w14:textId="77777777" w:rsidR="00A45E07" w:rsidRPr="0023760B"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RRCReconfigurationComplete-v1900-IEs ::=</w:t>
            </w:r>
            <w:r w:rsidRPr="0023760B">
              <w:rPr>
                <w:rFonts w:ascii="Courier New" w:eastAsia="Yu Mincho" w:hAnsi="Courier New"/>
                <w:noProof/>
                <w:color w:val="993366"/>
                <w:sz w:val="16"/>
                <w:lang w:eastAsia="en-GB"/>
              </w:rPr>
              <w:t xml:space="preserve"> SEQUENCE</w:t>
            </w:r>
            <w:r w:rsidRPr="0023760B">
              <w:rPr>
                <w:rFonts w:ascii="Courier New" w:eastAsia="Yu Mincho" w:hAnsi="Courier New"/>
                <w:noProof/>
                <w:sz w:val="16"/>
                <w:lang w:eastAsia="en-GB"/>
              </w:rPr>
              <w:t xml:space="preserve"> {</w:t>
            </w:r>
          </w:p>
          <w:p w14:paraId="46ADD4A5"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 xml:space="preserve">    applicabilityReportList        ApplicabilityReportList-r19 </w:t>
            </w:r>
            <w:r>
              <w:rPr>
                <w:rFonts w:ascii="Courier New" w:hAnsi="Courier New"/>
                <w:noProof/>
                <w:color w:val="993366"/>
                <w:sz w:val="16"/>
                <w:lang w:eastAsia="en-GB"/>
              </w:rPr>
              <w:t>OPTIONAL</w:t>
            </w:r>
            <w:r>
              <w:rPr>
                <w:rFonts w:ascii="Courier New" w:eastAsia="Yu Mincho" w:hAnsi="Courier New"/>
                <w:noProof/>
                <w:sz w:val="16"/>
                <w:lang w:eastAsia="en-GB"/>
              </w:rPr>
              <w:t xml:space="preserve"> -- Need R</w:t>
            </w:r>
          </w:p>
          <w:p w14:paraId="15C3A2F3" w14:textId="77777777" w:rsidR="00A45E0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Yu Mincho" w:hAnsi="Courier New"/>
                <w:noProof/>
                <w:sz w:val="16"/>
                <w:lang w:eastAsia="en-GB"/>
              </w:rPr>
              <w:t xml:space="preserve">    </w:t>
            </w:r>
            <w:r>
              <w:rPr>
                <w:rFonts w:ascii="Courier New" w:hAnsi="Courier New"/>
                <w:noProof/>
                <w:sz w:val="16"/>
                <w:lang w:eastAsia="en-GB"/>
              </w:rPr>
              <w:t xml:space="preserve">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E25C45">
              <w:rPr>
                <w:rFonts w:ascii="Courier New" w:hAnsi="Courier New"/>
                <w:noProof/>
                <w:sz w:val="16"/>
                <w:lang w:eastAsia="en-GB"/>
              </w:rPr>
              <w:t>{}</w:t>
            </w:r>
          </w:p>
          <w:p w14:paraId="0D4EF210" w14:textId="77777777" w:rsidR="00A45E07" w:rsidRPr="000B6897" w:rsidRDefault="00A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w:t>
            </w:r>
          </w:p>
        </w:tc>
      </w:tr>
    </w:tbl>
    <w:p w14:paraId="76D620B7" w14:textId="77777777" w:rsidR="00A45E07" w:rsidRDefault="00A45E07" w:rsidP="00A45E07">
      <w:pPr>
        <w:jc w:val="center"/>
      </w:pPr>
      <w:r w:rsidRPr="00A95F1D">
        <w:rPr>
          <w:b/>
          <w:bCs/>
        </w:rPr>
        <w:lastRenderedPageBreak/>
        <w:t xml:space="preserve">Figure </w:t>
      </w:r>
      <w:r>
        <w:rPr>
          <w:b/>
          <w:bCs/>
        </w:rPr>
        <w:t>3.1</w:t>
      </w:r>
      <w:r w:rsidRPr="00A95F1D">
        <w:rPr>
          <w:b/>
          <w:bCs/>
        </w:rPr>
        <w:t xml:space="preserve">-3: </w:t>
      </w:r>
      <w:r w:rsidRPr="00A95F1D">
        <w:rPr>
          <w:b/>
          <w:bCs/>
          <w:i/>
          <w:iCs/>
        </w:rPr>
        <w:t>ApplicabilityReportList-r19</w:t>
      </w:r>
      <w:r w:rsidRPr="00A95F1D">
        <w:rPr>
          <w:b/>
          <w:bCs/>
        </w:rPr>
        <w:t xml:space="preserve">, </w:t>
      </w:r>
      <w:r w:rsidRPr="00A95F1D">
        <w:rPr>
          <w:b/>
          <w:bCs/>
          <w:i/>
          <w:iCs/>
        </w:rPr>
        <w:t>UEAssistanceInformation-v1900-IEs</w:t>
      </w:r>
      <w:r w:rsidRPr="00A95F1D">
        <w:rPr>
          <w:b/>
          <w:bCs/>
        </w:rPr>
        <w:t xml:space="preserve">, and </w:t>
      </w:r>
      <w:r w:rsidRPr="00A95F1D">
        <w:rPr>
          <w:b/>
          <w:bCs/>
          <w:i/>
          <w:iCs/>
        </w:rPr>
        <w:t>RRCReconfigurationComplete-v1900-IEs</w:t>
      </w:r>
      <w:r>
        <w:rPr>
          <w:b/>
          <w:bCs/>
        </w:rPr>
        <w:t xml:space="preserve"> Adapted from the running CR.</w:t>
      </w:r>
    </w:p>
    <w:p w14:paraId="0FB20AF6" w14:textId="3AD3C434" w:rsidR="00A45E07" w:rsidRDefault="00A45E07" w:rsidP="00A13518">
      <w:pPr>
        <w:jc w:val="both"/>
        <w:rPr>
          <w:b/>
          <w:bCs/>
        </w:rPr>
      </w:pPr>
      <w:r w:rsidRPr="000B6897">
        <w:rPr>
          <w:b/>
          <w:bCs/>
        </w:rPr>
        <w:t>Proposal</w:t>
      </w:r>
      <w:r w:rsidR="00717E5F">
        <w:rPr>
          <w:b/>
          <w:bCs/>
        </w:rPr>
        <w:t xml:space="preserve"> 4</w:t>
      </w:r>
      <w:r w:rsidRPr="000B6897">
        <w:rPr>
          <w:b/>
          <w:bCs/>
        </w:rPr>
        <w:t xml:space="preserve">: </w:t>
      </w:r>
      <w:r w:rsidR="00166961">
        <w:rPr>
          <w:b/>
          <w:bCs/>
        </w:rPr>
        <w:t xml:space="preserve">To allow </w:t>
      </w:r>
      <w:r w:rsidR="00440CD3">
        <w:rPr>
          <w:b/>
          <w:bCs/>
        </w:rPr>
        <w:t>future proof extensibility</w:t>
      </w:r>
      <w:r w:rsidR="002B1AE9">
        <w:rPr>
          <w:b/>
          <w:bCs/>
        </w:rPr>
        <w:t>, a</w:t>
      </w:r>
      <w:r w:rsidRPr="000B6897">
        <w:rPr>
          <w:b/>
          <w:bCs/>
        </w:rPr>
        <w:t xml:space="preserve">dopt the structure of alternative 1 or alternative 2 of </w:t>
      </w:r>
      <w:r w:rsidRPr="000B6897">
        <w:rPr>
          <w:b/>
          <w:bCs/>
          <w:i/>
          <w:iCs/>
        </w:rPr>
        <w:t>the ApplicabilityReport-r19</w:t>
      </w:r>
      <w:r w:rsidRPr="000B6897">
        <w:rPr>
          <w:b/>
          <w:bCs/>
        </w:rPr>
        <w:t xml:space="preserve"> and its inclusion in </w:t>
      </w:r>
      <w:r w:rsidRPr="000B6897">
        <w:rPr>
          <w:b/>
          <w:bCs/>
          <w:i/>
          <w:iCs/>
        </w:rPr>
        <w:t>UEAssistanceInformation-v1900-IEs</w:t>
      </w:r>
      <w:r w:rsidRPr="000B6897">
        <w:rPr>
          <w:b/>
          <w:bCs/>
        </w:rPr>
        <w:t xml:space="preserve"> and </w:t>
      </w:r>
      <w:r w:rsidRPr="000B6897">
        <w:rPr>
          <w:b/>
          <w:bCs/>
          <w:i/>
          <w:iCs/>
        </w:rPr>
        <w:t>RRCReconfigurationComplete-v1900-IEs</w:t>
      </w:r>
      <w:r w:rsidRPr="000B6897">
        <w:rPr>
          <w:b/>
          <w:bCs/>
        </w:rPr>
        <w:t>.</w:t>
      </w:r>
    </w:p>
    <w:p w14:paraId="3C5B4A39" w14:textId="204B8819" w:rsidR="00A45E07" w:rsidRPr="00693916" w:rsidRDefault="00A45E07" w:rsidP="00A13518">
      <w:pPr>
        <w:jc w:val="both"/>
      </w:pPr>
      <w:r w:rsidRPr="000B6897">
        <w:t xml:space="preserve">As is written in Section </w:t>
      </w:r>
      <w:r>
        <w:t>2</w:t>
      </w:r>
      <w:r w:rsidRPr="000B6897">
        <w:t xml:space="preserve">, inference-related parameters could be stored in </w:t>
      </w:r>
      <w:r w:rsidRPr="000B6897">
        <w:rPr>
          <w:i/>
          <w:iCs/>
        </w:rPr>
        <w:t>CSI-ReportConfig</w:t>
      </w:r>
      <w:r>
        <w:t xml:space="preserve">, identified by a </w:t>
      </w:r>
      <w:r>
        <w:rPr>
          <w:i/>
          <w:iCs/>
        </w:rPr>
        <w:t>CSI-ReportConfigId</w:t>
      </w:r>
      <w:r>
        <w:t xml:space="preserve">, which would be non-conflicting in the case that full configurations an inference-related configurations are stored in separate lists. Therefore, whether a </w:t>
      </w:r>
      <w:r w:rsidRPr="00A13518">
        <w:rPr>
          <w:i/>
          <w:iCs/>
        </w:rPr>
        <w:t>CSI-ReportConfigId</w:t>
      </w:r>
      <w:r>
        <w:t xml:space="preserve"> identifies a full configuration or inference-related parameters, it could be reported with the same ID type in the </w:t>
      </w:r>
      <w:r>
        <w:rPr>
          <w:i/>
          <w:iCs/>
        </w:rPr>
        <w:t>ApplicabilityReport</w:t>
      </w:r>
      <w:r>
        <w:t>.</w:t>
      </w:r>
    </w:p>
    <w:p w14:paraId="66EA081C" w14:textId="185FF5C4" w:rsidR="00AC3C4C" w:rsidRPr="002B5C37" w:rsidRDefault="00AC3C4C" w:rsidP="00A13518">
      <w:pPr>
        <w:pStyle w:val="Heading2"/>
      </w:pPr>
      <w:r>
        <w:t>3.</w:t>
      </w:r>
      <w:r w:rsidR="00405597">
        <w:t>2</w:t>
      </w:r>
      <w:r>
        <w:t xml:space="preserve"> </w:t>
      </w:r>
      <w:r w:rsidR="00AB60D0">
        <w:t xml:space="preserve">Reporting with Multiple Serving Cells </w:t>
      </w:r>
    </w:p>
    <w:p w14:paraId="2CF70948" w14:textId="3CF9B428" w:rsidR="0097603A" w:rsidRDefault="00077D80" w:rsidP="007B1886">
      <w:pPr>
        <w:pStyle w:val="EditorsNote"/>
        <w:ind w:left="0" w:firstLine="0"/>
        <w:jc w:val="both"/>
        <w:rPr>
          <w:rFonts w:eastAsia="MS Mincho"/>
          <w:color w:val="auto"/>
        </w:rPr>
      </w:pPr>
      <w:r w:rsidRPr="00A13518">
        <w:rPr>
          <w:color w:val="auto"/>
        </w:rPr>
        <w:t xml:space="preserve">To support applicability reporting </w:t>
      </w:r>
      <w:r w:rsidR="00E64195" w:rsidRPr="00A13518">
        <w:rPr>
          <w:color w:val="auto"/>
        </w:rPr>
        <w:t>on component carrier</w:t>
      </w:r>
      <w:r w:rsidR="001F3321" w:rsidRPr="00A13518">
        <w:rPr>
          <w:color w:val="auto"/>
        </w:rPr>
        <w:t xml:space="preserve">s in a carrier aggregation </w:t>
      </w:r>
      <w:r w:rsidR="005B3CAB" w:rsidRPr="00A13518">
        <w:rPr>
          <w:color w:val="auto"/>
        </w:rPr>
        <w:t xml:space="preserve">configuration, </w:t>
      </w:r>
      <w:r w:rsidR="00C00210">
        <w:rPr>
          <w:color w:val="auto"/>
        </w:rPr>
        <w:t xml:space="preserve">a </w:t>
      </w:r>
      <w:r w:rsidR="007C137B" w:rsidRPr="00A13518">
        <w:rPr>
          <w:color w:val="auto"/>
        </w:rPr>
        <w:t xml:space="preserve">UE may </w:t>
      </w:r>
      <w:r w:rsidR="00C00210">
        <w:rPr>
          <w:color w:val="auto"/>
        </w:rPr>
        <w:t xml:space="preserve">be </w:t>
      </w:r>
      <w:r w:rsidR="00525C16">
        <w:rPr>
          <w:color w:val="auto"/>
        </w:rPr>
        <w:t>provided</w:t>
      </w:r>
      <w:r w:rsidR="005D20A1" w:rsidRPr="00A13518">
        <w:rPr>
          <w:color w:val="auto"/>
        </w:rPr>
        <w:t xml:space="preserve"> </w:t>
      </w:r>
      <w:r w:rsidR="0074205A" w:rsidRPr="00A13518">
        <w:rPr>
          <w:color w:val="auto"/>
        </w:rPr>
        <w:t>inference configuration</w:t>
      </w:r>
      <w:r w:rsidR="00525C16">
        <w:rPr>
          <w:color w:val="auto"/>
        </w:rPr>
        <w:t>s</w:t>
      </w:r>
      <w:r w:rsidR="0074205A" w:rsidRPr="00A13518">
        <w:rPr>
          <w:color w:val="auto"/>
        </w:rPr>
        <w:t xml:space="preserve"> </w:t>
      </w:r>
      <w:r w:rsidR="006C3F9D" w:rsidRPr="00A13518">
        <w:rPr>
          <w:color w:val="auto"/>
        </w:rPr>
        <w:t>for more than one c</w:t>
      </w:r>
      <w:r w:rsidR="00AC066F" w:rsidRPr="00A13518">
        <w:rPr>
          <w:color w:val="auto"/>
        </w:rPr>
        <w:t>e</w:t>
      </w:r>
      <w:r w:rsidR="006C3F9D" w:rsidRPr="00A13518">
        <w:rPr>
          <w:color w:val="auto"/>
        </w:rPr>
        <w:t>ll</w:t>
      </w:r>
      <w:r w:rsidR="00AC066F" w:rsidRPr="00A13518">
        <w:rPr>
          <w:color w:val="auto"/>
        </w:rPr>
        <w:t xml:space="preserve">. </w:t>
      </w:r>
      <w:r w:rsidR="00E5691F" w:rsidRPr="00A13518">
        <w:rPr>
          <w:color w:val="auto"/>
        </w:rPr>
        <w:t xml:space="preserve">As such, </w:t>
      </w:r>
      <w:r w:rsidR="00525C16">
        <w:rPr>
          <w:color w:val="auto"/>
        </w:rPr>
        <w:t xml:space="preserve">the </w:t>
      </w:r>
      <w:r w:rsidR="003C2272" w:rsidRPr="00A13518">
        <w:rPr>
          <w:color w:val="auto"/>
        </w:rPr>
        <w:t xml:space="preserve">gNB needs to </w:t>
      </w:r>
      <w:r w:rsidR="00CF69CA" w:rsidRPr="00A13518">
        <w:rPr>
          <w:color w:val="auto"/>
        </w:rPr>
        <w:t xml:space="preserve">know how to identify </w:t>
      </w:r>
      <w:r w:rsidR="00EB4166">
        <w:rPr>
          <w:color w:val="auto"/>
        </w:rPr>
        <w:t xml:space="preserve">to </w:t>
      </w:r>
      <w:r w:rsidR="00466264" w:rsidRPr="00A13518">
        <w:rPr>
          <w:color w:val="auto"/>
        </w:rPr>
        <w:t xml:space="preserve">which </w:t>
      </w:r>
      <w:r w:rsidR="001D5EFC" w:rsidRPr="00A13518">
        <w:rPr>
          <w:color w:val="auto"/>
        </w:rPr>
        <w:t xml:space="preserve">cell the applicability report </w:t>
      </w:r>
      <w:r w:rsidR="00EB4166">
        <w:rPr>
          <w:color w:val="auto"/>
        </w:rPr>
        <w:t>applies</w:t>
      </w:r>
      <w:r w:rsidR="001D5EFC" w:rsidRPr="00A13518">
        <w:rPr>
          <w:color w:val="auto"/>
        </w:rPr>
        <w:t xml:space="preserve">. </w:t>
      </w:r>
      <w:r w:rsidR="00930F20" w:rsidRPr="00A13518">
        <w:rPr>
          <w:color w:val="auto"/>
        </w:rPr>
        <w:t xml:space="preserve">Since the primary </w:t>
      </w:r>
      <w:r w:rsidR="008644DD" w:rsidRPr="00A13518">
        <w:rPr>
          <w:color w:val="auto"/>
        </w:rPr>
        <w:t xml:space="preserve">cell, or PCell </w:t>
      </w:r>
      <w:r w:rsidR="00606C3C" w:rsidRPr="00A13518">
        <w:rPr>
          <w:color w:val="auto"/>
        </w:rPr>
        <w:t xml:space="preserve">would be responsible for </w:t>
      </w:r>
      <w:r w:rsidR="003501A2" w:rsidRPr="00A13518">
        <w:rPr>
          <w:color w:val="auto"/>
        </w:rPr>
        <w:t xml:space="preserve">receiving </w:t>
      </w:r>
      <w:r w:rsidR="00820BCD" w:rsidRPr="00A13518">
        <w:rPr>
          <w:color w:val="auto"/>
        </w:rPr>
        <w:t>applicabilit</w:t>
      </w:r>
      <w:r w:rsidR="00C51229" w:rsidRPr="00A13518">
        <w:rPr>
          <w:color w:val="auto"/>
        </w:rPr>
        <w:t>y</w:t>
      </w:r>
      <w:r w:rsidR="00820BCD" w:rsidRPr="00A13518">
        <w:rPr>
          <w:color w:val="auto"/>
        </w:rPr>
        <w:t xml:space="preserve"> </w:t>
      </w:r>
      <w:r w:rsidR="00EB4166">
        <w:rPr>
          <w:color w:val="auto"/>
        </w:rPr>
        <w:t>report</w:t>
      </w:r>
      <w:r w:rsidR="00820BCD" w:rsidRPr="00A13518">
        <w:rPr>
          <w:color w:val="auto"/>
        </w:rPr>
        <w:t xml:space="preserve"> </w:t>
      </w:r>
      <w:r w:rsidR="002D6DBE" w:rsidRPr="00A13518">
        <w:rPr>
          <w:color w:val="auto"/>
        </w:rPr>
        <w:t xml:space="preserve">on behalf of </w:t>
      </w:r>
      <w:r w:rsidR="00555717" w:rsidRPr="00A13518">
        <w:rPr>
          <w:color w:val="auto"/>
        </w:rPr>
        <w:t>the SCells.</w:t>
      </w:r>
      <w:r w:rsidR="00EB4166">
        <w:rPr>
          <w:color w:val="auto"/>
        </w:rPr>
        <w:t xml:space="preserve"> </w:t>
      </w:r>
      <w:r w:rsidR="00F54898" w:rsidRPr="00A13518">
        <w:rPr>
          <w:color w:val="auto"/>
        </w:rPr>
        <w:t xml:space="preserve">we think </w:t>
      </w:r>
      <w:r w:rsidR="00F54898" w:rsidRPr="00A13518">
        <w:rPr>
          <w:rFonts w:eastAsia="MS Mincho"/>
          <w:i/>
          <w:iCs/>
          <w:color w:val="auto"/>
        </w:rPr>
        <w:t>applicabilityCellId</w:t>
      </w:r>
      <w:r w:rsidR="0007747E" w:rsidRPr="00A13518">
        <w:rPr>
          <w:rFonts w:eastAsia="MS Mincho"/>
          <w:i/>
          <w:iCs/>
          <w:color w:val="auto"/>
        </w:rPr>
        <w:t xml:space="preserve"> </w:t>
      </w:r>
      <w:r w:rsidR="0007747E" w:rsidRPr="00A13518">
        <w:rPr>
          <w:rFonts w:eastAsia="MS Mincho"/>
          <w:color w:val="auto"/>
        </w:rPr>
        <w:t xml:space="preserve">could be updated to </w:t>
      </w:r>
      <w:r w:rsidR="00177818" w:rsidRPr="00A13518">
        <w:rPr>
          <w:rFonts w:eastAsia="MS Mincho"/>
          <w:color w:val="auto"/>
        </w:rPr>
        <w:t>indicate the</w:t>
      </w:r>
      <w:r w:rsidR="00177818" w:rsidRPr="00A13518">
        <w:rPr>
          <w:rFonts w:eastAsia="MS Mincho"/>
          <w:i/>
          <w:iCs/>
          <w:color w:val="auto"/>
        </w:rPr>
        <w:t xml:space="preserve"> SCellIndex</w:t>
      </w:r>
      <w:r w:rsidR="00D30570" w:rsidRPr="00A13518">
        <w:rPr>
          <w:rFonts w:eastAsia="MS Mincho"/>
          <w:i/>
          <w:iCs/>
          <w:color w:val="auto"/>
        </w:rPr>
        <w:t xml:space="preserve"> </w:t>
      </w:r>
      <w:r w:rsidR="00D30570" w:rsidRPr="00A13518">
        <w:rPr>
          <w:rFonts w:eastAsia="MS Mincho"/>
          <w:color w:val="auto"/>
        </w:rPr>
        <w:t xml:space="preserve">whose </w:t>
      </w:r>
      <w:r w:rsidR="00F1587F" w:rsidRPr="00A13518">
        <w:rPr>
          <w:rFonts w:eastAsia="MS Mincho"/>
          <w:color w:val="auto"/>
        </w:rPr>
        <w:t xml:space="preserve">range is between 1 and 31. </w:t>
      </w:r>
      <w:r w:rsidR="00850A05" w:rsidRPr="00A13518">
        <w:rPr>
          <w:rFonts w:eastAsia="MS Mincho"/>
          <w:color w:val="auto"/>
        </w:rPr>
        <w:t xml:space="preserve">Correspondingly, </w:t>
      </w:r>
      <w:r w:rsidR="00580DC1" w:rsidRPr="00A13518">
        <w:rPr>
          <w:rFonts w:eastAsia="MS Mincho"/>
          <w:color w:val="auto"/>
        </w:rPr>
        <w:t xml:space="preserve">the first index </w:t>
      </w:r>
      <w:r w:rsidR="00260E19" w:rsidRPr="00A13518">
        <w:rPr>
          <w:rFonts w:eastAsia="MS Mincho"/>
          <w:color w:val="auto"/>
        </w:rPr>
        <w:t>is implicitly reserved for the PCell.</w:t>
      </w:r>
      <w:r w:rsidR="004D2429">
        <w:rPr>
          <w:rFonts w:eastAsia="MS Mincho"/>
          <w:color w:val="auto"/>
        </w:rPr>
        <w:t xml:space="preserve"> An ASN.1 example is shown below.</w:t>
      </w:r>
    </w:p>
    <w:p w14:paraId="70A8563A" w14:textId="66BFB07E" w:rsidR="00500B9D" w:rsidRPr="000943AA" w:rsidRDefault="00500B9D" w:rsidP="0050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0943AA">
        <w:rPr>
          <w:rFonts w:ascii="Courier New" w:eastAsia="SimSun" w:hAnsi="Courier New"/>
          <w:sz w:val="16"/>
          <w:lang w:eastAsia="en-GB"/>
        </w:rPr>
        <w:t xml:space="preserve">    </w:t>
      </w:r>
      <w:r>
        <w:rPr>
          <w:rFonts w:ascii="Courier New" w:eastAsia="SimSun" w:hAnsi="Courier New"/>
          <w:sz w:val="16"/>
          <w:lang w:eastAsia="en-GB"/>
        </w:rPr>
        <w:t>applicabilityC</w:t>
      </w:r>
      <w:r w:rsidRPr="000943AA">
        <w:rPr>
          <w:rFonts w:ascii="Courier New" w:eastAsia="SimSun" w:hAnsi="Courier New"/>
          <w:sz w:val="16"/>
          <w:lang w:eastAsia="en-GB"/>
        </w:rPr>
        <w:t xml:space="preserve">ellId-r19                      </w:t>
      </w:r>
      <w:r w:rsidRPr="00BC7873">
        <w:rPr>
          <w:rFonts w:ascii="Courier New" w:eastAsia="DengXian" w:hAnsi="Courier New"/>
          <w:noProof/>
          <w:color w:val="993366"/>
          <w:sz w:val="16"/>
          <w:highlight w:val="yellow"/>
          <w:lang w:eastAsia="en-GB"/>
        </w:rPr>
        <w:t>INTEGER</w:t>
      </w:r>
      <w:r w:rsidRPr="00BC7873">
        <w:rPr>
          <w:rFonts w:ascii="Courier New" w:eastAsia="SimSun" w:hAnsi="Courier New"/>
          <w:noProof/>
          <w:sz w:val="16"/>
          <w:highlight w:val="yellow"/>
          <w:lang w:eastAsia="en-GB"/>
        </w:rPr>
        <w:t xml:space="preserve"> (0..maxNrOfSCells),</w:t>
      </w:r>
    </w:p>
    <w:p w14:paraId="040A8BB6" w14:textId="77777777" w:rsidR="00500B9D" w:rsidRDefault="00500B9D">
      <w:pPr>
        <w:pStyle w:val="EditorsNote"/>
        <w:ind w:left="0" w:firstLine="0"/>
        <w:jc w:val="both"/>
        <w:rPr>
          <w:color w:val="auto"/>
        </w:rPr>
      </w:pPr>
    </w:p>
    <w:p w14:paraId="2B0A32A6" w14:textId="6A1A0A50" w:rsidR="00BA4124" w:rsidRPr="00A13518" w:rsidRDefault="008B6D2E" w:rsidP="00A13518">
      <w:pPr>
        <w:pStyle w:val="EditorsNote"/>
        <w:ind w:left="0" w:firstLine="0"/>
        <w:jc w:val="both"/>
        <w:rPr>
          <w:color w:val="auto"/>
        </w:rPr>
      </w:pPr>
      <w:r>
        <w:rPr>
          <w:color w:val="auto"/>
        </w:rPr>
        <w:t>The editor’s note below from the running</w:t>
      </w:r>
      <w:r w:rsidR="009F7D76">
        <w:rPr>
          <w:color w:val="auto"/>
        </w:rPr>
        <w:t xml:space="preserve"> CR for 38.331 indicates this is an open item.</w:t>
      </w:r>
    </w:p>
    <w:p w14:paraId="5D37B9C9" w14:textId="77777777" w:rsidR="00BA4124" w:rsidRDefault="00BA4124" w:rsidP="00A13518">
      <w:pPr>
        <w:pStyle w:val="EditorsNote"/>
        <w:pBdr>
          <w:top w:val="single" w:sz="4" w:space="1" w:color="auto"/>
          <w:left w:val="single" w:sz="4" w:space="4" w:color="auto"/>
          <w:bottom w:val="single" w:sz="4" w:space="1" w:color="auto"/>
          <w:right w:val="single" w:sz="4" w:space="4" w:color="auto"/>
        </w:pBdr>
        <w:rPr>
          <w:rFonts w:eastAsia="MS Mincho"/>
        </w:rPr>
      </w:pPr>
      <w:r>
        <w:t>Editor</w:t>
      </w:r>
      <w:r w:rsidRPr="006D0C02">
        <w:rPr>
          <w:rFonts w:eastAsia="MS Mincho"/>
        </w:rPr>
        <w:t>'</w:t>
      </w:r>
      <w:r>
        <w:rPr>
          <w:rFonts w:eastAsia="MS Mincho"/>
        </w:rPr>
        <w:t xml:space="preserve">s Note: FFS if applicability reporting is supported for multiple serving cells and </w:t>
      </w:r>
      <w:r w:rsidRPr="00741949">
        <w:rPr>
          <w:rFonts w:eastAsia="MS Mincho"/>
          <w:i/>
          <w:iCs/>
        </w:rPr>
        <w:t>applicabilityCellId</w:t>
      </w:r>
      <w:r>
        <w:rPr>
          <w:rFonts w:eastAsia="MS Mincho"/>
          <w:i/>
          <w:iCs/>
        </w:rPr>
        <w:t xml:space="preserve"> </w:t>
      </w:r>
      <w:r>
        <w:rPr>
          <w:rFonts w:eastAsia="MS Mincho"/>
        </w:rPr>
        <w:t>is needed to unambiguously identify CSI report configurations for prediction.</w:t>
      </w:r>
    </w:p>
    <w:p w14:paraId="14D01E1F" w14:textId="7E45EB72" w:rsidR="00BA4124" w:rsidRDefault="009F7D76" w:rsidP="00BA4124">
      <w:pPr>
        <w:pStyle w:val="EditorsNote"/>
        <w:ind w:left="0" w:firstLine="0"/>
        <w:rPr>
          <w:color w:val="auto"/>
        </w:rPr>
      </w:pPr>
      <w:r>
        <w:rPr>
          <w:color w:val="auto"/>
        </w:rPr>
        <w:t xml:space="preserve">Therefore, we make the following </w:t>
      </w:r>
      <w:r w:rsidR="008B4FDC">
        <w:rPr>
          <w:color w:val="auto"/>
        </w:rPr>
        <w:t>proposal.</w:t>
      </w:r>
    </w:p>
    <w:p w14:paraId="0ACF0A3A" w14:textId="6BE98DB0" w:rsidR="00220A79" w:rsidRPr="00A13518" w:rsidRDefault="00220A79" w:rsidP="00A13518">
      <w:pPr>
        <w:pStyle w:val="EditorsNote"/>
        <w:ind w:left="0" w:firstLine="0"/>
        <w:rPr>
          <w:b/>
          <w:bCs/>
          <w:color w:val="auto"/>
        </w:rPr>
      </w:pPr>
      <w:r w:rsidRPr="00A13518">
        <w:rPr>
          <w:b/>
          <w:bCs/>
          <w:color w:val="auto"/>
        </w:rPr>
        <w:t>Proposal</w:t>
      </w:r>
      <w:r w:rsidR="0011534C">
        <w:rPr>
          <w:b/>
          <w:bCs/>
          <w:color w:val="auto"/>
        </w:rPr>
        <w:t xml:space="preserve"> </w:t>
      </w:r>
      <w:r w:rsidR="00F46BBA">
        <w:rPr>
          <w:b/>
          <w:bCs/>
          <w:color w:val="auto"/>
        </w:rPr>
        <w:t>5</w:t>
      </w:r>
      <w:r w:rsidRPr="00A13518">
        <w:rPr>
          <w:b/>
          <w:bCs/>
          <w:color w:val="auto"/>
        </w:rPr>
        <w:t xml:space="preserve">: </w:t>
      </w:r>
      <w:r w:rsidR="00643A75" w:rsidRPr="00A13518">
        <w:rPr>
          <w:b/>
          <w:bCs/>
          <w:color w:val="auto"/>
        </w:rPr>
        <w:t xml:space="preserve">The </w:t>
      </w:r>
      <w:r w:rsidR="00643A75" w:rsidRPr="00A13518">
        <w:rPr>
          <w:b/>
          <w:bCs/>
          <w:i/>
          <w:iCs/>
          <w:color w:val="auto"/>
        </w:rPr>
        <w:t>applicabilityCellId-r19</w:t>
      </w:r>
      <w:r w:rsidR="00643A75" w:rsidRPr="00A13518">
        <w:rPr>
          <w:b/>
          <w:bCs/>
          <w:color w:val="auto"/>
        </w:rPr>
        <w:t xml:space="preserve"> corresponds to the </w:t>
      </w:r>
      <w:r w:rsidR="00C15F77" w:rsidRPr="00A13518">
        <w:rPr>
          <w:b/>
          <w:bCs/>
          <w:color w:val="auto"/>
        </w:rPr>
        <w:t>PCell or</w:t>
      </w:r>
      <w:r w:rsidR="00575338">
        <w:rPr>
          <w:b/>
          <w:bCs/>
          <w:color w:val="auto"/>
        </w:rPr>
        <w:t xml:space="preserve"> to the</w:t>
      </w:r>
      <w:r w:rsidR="00C15F77" w:rsidRPr="00A13518">
        <w:rPr>
          <w:b/>
          <w:bCs/>
          <w:color w:val="auto"/>
        </w:rPr>
        <w:t xml:space="preserve"> SCellIndex </w:t>
      </w:r>
      <w:r w:rsidR="00861ADF" w:rsidRPr="00A13518">
        <w:rPr>
          <w:b/>
          <w:bCs/>
          <w:color w:val="auto"/>
        </w:rPr>
        <w:t>corresponding to the configuration upon which applicability is being reported. The</w:t>
      </w:r>
      <w:r w:rsidR="0092554D" w:rsidRPr="00A13518">
        <w:rPr>
          <w:b/>
          <w:bCs/>
          <w:color w:val="auto"/>
        </w:rPr>
        <w:t xml:space="preserve"> </w:t>
      </w:r>
      <w:r w:rsidR="00CF40DF" w:rsidRPr="00A13518">
        <w:rPr>
          <w:b/>
          <w:bCs/>
          <w:color w:val="auto"/>
        </w:rPr>
        <w:t xml:space="preserve">range of </w:t>
      </w:r>
      <w:r w:rsidR="00575338" w:rsidRPr="00A13518">
        <w:rPr>
          <w:b/>
          <w:bCs/>
          <w:i/>
          <w:iCs/>
          <w:color w:val="auto"/>
        </w:rPr>
        <w:t>applicabilityCellId-r19</w:t>
      </w:r>
      <w:r w:rsidR="00575338" w:rsidRPr="00A13518">
        <w:rPr>
          <w:b/>
          <w:bCs/>
          <w:color w:val="auto"/>
        </w:rPr>
        <w:t xml:space="preserve"> is 0 to </w:t>
      </w:r>
      <w:r w:rsidR="00575338" w:rsidRPr="00A13518">
        <w:rPr>
          <w:b/>
          <w:bCs/>
          <w:i/>
          <w:iCs/>
          <w:color w:val="auto"/>
        </w:rPr>
        <w:t>maxNrOfSCells</w:t>
      </w:r>
      <w:r w:rsidR="00575338" w:rsidRPr="00A13518">
        <w:rPr>
          <w:b/>
          <w:bCs/>
          <w:color w:val="auto"/>
        </w:rPr>
        <w:t>, where 0 indicates the PCell.</w:t>
      </w:r>
    </w:p>
    <w:p w14:paraId="5C9C0F30" w14:textId="77777777" w:rsidR="00A45E07" w:rsidRDefault="00A45E07" w:rsidP="00294CCF">
      <w:pPr>
        <w:pStyle w:val="Heading2"/>
      </w:pPr>
      <w:r>
        <w:t>3.3</w:t>
      </w:r>
      <w:r>
        <w:tab/>
        <w:t>Reporting Applicability of Modified Configurations</w:t>
      </w:r>
    </w:p>
    <w:p w14:paraId="69FF9C8C" w14:textId="77777777" w:rsidR="00A45E07" w:rsidRPr="00E437B1" w:rsidRDefault="00A45E07" w:rsidP="00A13518">
      <w:pPr>
        <w:tabs>
          <w:tab w:val="left" w:pos="5387"/>
        </w:tabs>
        <w:jc w:val="both"/>
      </w:pPr>
      <w:r>
        <w:t>The</w:t>
      </w:r>
      <w:r w:rsidRPr="00E437B1">
        <w:t xml:space="preserve"> </w:t>
      </w:r>
      <w:r w:rsidRPr="00736F45">
        <w:t>behaviour</w:t>
      </w:r>
      <w:r w:rsidRPr="00E437B1">
        <w:t xml:space="preserve"> for initial configuration has been provided, but it isn’t clear what the UE should do when a full inference configuration or a set of inference-related parameters for beam prediction is modified through the </w:t>
      </w:r>
      <w:r w:rsidRPr="00E437B1">
        <w:rPr>
          <w:i/>
        </w:rPr>
        <w:t>ToAddMod</w:t>
      </w:r>
      <w:r w:rsidRPr="00E437B1">
        <w:t xml:space="preserve"> structure, which would be used for </w:t>
      </w:r>
      <w:r>
        <w:t>full inference configurations</w:t>
      </w:r>
      <w:r w:rsidRPr="00E437B1">
        <w:t>, and possibly for</w:t>
      </w:r>
      <w:r w:rsidRPr="00E437B1" w:rsidDel="007701AB">
        <w:t xml:space="preserve"> </w:t>
      </w:r>
      <w:r>
        <w:t>inference-related parameters</w:t>
      </w:r>
      <w:r w:rsidRPr="00E437B1">
        <w:t>. The simplest approach would be to treat a modification to a configuration the same way as the addition. That is, anytime a full inference configuration or set of inference-related parameters is modified, the applicability determination procedure should be triggered.</w:t>
      </w:r>
    </w:p>
    <w:p w14:paraId="50C13972" w14:textId="54BDF5AE" w:rsidR="00A45E07" w:rsidRPr="00B03554" w:rsidRDefault="00A45E07" w:rsidP="00A13518">
      <w:pPr>
        <w:tabs>
          <w:tab w:val="left" w:pos="5387"/>
        </w:tabs>
        <w:jc w:val="both"/>
      </w:pPr>
      <w:r w:rsidRPr="00E437B1">
        <w:rPr>
          <w:b/>
        </w:rPr>
        <w:t>Proposal</w:t>
      </w:r>
      <w:r w:rsidR="00A8223C">
        <w:rPr>
          <w:b/>
        </w:rPr>
        <w:t xml:space="preserve"> </w:t>
      </w:r>
      <w:r w:rsidR="00F46BBA">
        <w:rPr>
          <w:b/>
        </w:rPr>
        <w:t>6</w:t>
      </w:r>
      <w:r w:rsidRPr="00E437B1">
        <w:rPr>
          <w:b/>
        </w:rPr>
        <w:t>: The modification of a full inference configuration or set of inference-related parameters triggers an applicability determination and reporting procedure.</w:t>
      </w:r>
    </w:p>
    <w:p w14:paraId="1FC5BCE8" w14:textId="77777777" w:rsidR="00A45E07" w:rsidRPr="007D0DE5" w:rsidRDefault="00A45E07" w:rsidP="00294CCF">
      <w:pPr>
        <w:pStyle w:val="Heading2"/>
      </w:pPr>
      <w:r w:rsidRPr="007D0DE5">
        <w:t>3.</w:t>
      </w:r>
      <w:r>
        <w:t>4</w:t>
      </w:r>
      <w:r w:rsidRPr="007D0DE5">
        <w:tab/>
        <w:t>Applicability and Poor Performance</w:t>
      </w:r>
    </w:p>
    <w:p w14:paraId="7FECD8BC" w14:textId="103C0889" w:rsidR="00A45E07" w:rsidRDefault="00A45E07" w:rsidP="00A13518">
      <w:pPr>
        <w:jc w:val="both"/>
      </w:pPr>
      <w:r>
        <w:t>RAN2 agreed that the UE is the entity responsible for determination of the applicability of an AI/ML-enabled configuration, enabled by a UE-side model. The applicability depends in part on the evaluation of</w:t>
      </w:r>
      <w:r w:rsidR="00A46C73">
        <w:t xml:space="preserve"> </w:t>
      </w:r>
      <w:r w:rsidR="00CE58B4">
        <w:t xml:space="preserve">conditions involved in the </w:t>
      </w:r>
      <w:r>
        <w:t>consistency</w:t>
      </w:r>
      <w:r w:rsidR="00E10530">
        <w:t xml:space="preserve"> </w:t>
      </w:r>
      <w:r w:rsidR="00CE58B4">
        <w:t>between</w:t>
      </w:r>
      <w:r w:rsidR="00E10530">
        <w:t xml:space="preserve"> </w:t>
      </w:r>
      <w:r>
        <w:t xml:space="preserve">training and inference. Some conditions are based on a comparison between model meta data and the configuration provided to the UE and others are evaluated based on </w:t>
      </w:r>
      <w:r w:rsidR="00FD0C02">
        <w:t>aspects related</w:t>
      </w:r>
      <w:r>
        <w:t xml:space="preserve"> to the UE, e.g., its velocity or the inputs from various sensors. What has not been considered thus far, however, is the consideration of historical performance of a configuration enabled by AI/ML models.</w:t>
      </w:r>
    </w:p>
    <w:p w14:paraId="3C4396F0" w14:textId="58C3B231" w:rsidR="00A45E07" w:rsidRDefault="00A45E07" w:rsidP="00A13518">
      <w:pPr>
        <w:jc w:val="both"/>
      </w:pPr>
      <w:r>
        <w:t>A UE could frequent a cell, each time reporting that a configuration is applicable. However, due to a change in conditions, such as the construction of a new building or the presence of a large vehicle in front of the cell, or the lack of consideration for different weather conditions, a configuration reported as applicable consistently performs poorly.</w:t>
      </w:r>
    </w:p>
    <w:p w14:paraId="08024BBC" w14:textId="5A329870" w:rsidR="00A45E07" w:rsidRPr="00712254" w:rsidRDefault="00A45E07" w:rsidP="00A13518">
      <w:pPr>
        <w:jc w:val="both"/>
        <w:rPr>
          <w:b/>
        </w:rPr>
      </w:pPr>
      <w:r w:rsidRPr="00712254">
        <w:rPr>
          <w:b/>
        </w:rPr>
        <w:lastRenderedPageBreak/>
        <w:t>Observation</w:t>
      </w:r>
      <w:r w:rsidR="00492F82">
        <w:rPr>
          <w:b/>
        </w:rPr>
        <w:t xml:space="preserve"> 2</w:t>
      </w:r>
      <w:r w:rsidRPr="00712254">
        <w:rPr>
          <w:b/>
        </w:rPr>
        <w:t xml:space="preserve">: A poorly performing </w:t>
      </w:r>
      <w:r w:rsidR="007137BE">
        <w:rPr>
          <w:b/>
        </w:rPr>
        <w:t>inference</w:t>
      </w:r>
      <w:r w:rsidRPr="00712254">
        <w:rPr>
          <w:b/>
        </w:rPr>
        <w:t xml:space="preserve"> configuration could consistently perform poorly because the applicability determination procedure is unable to account for unforeseen factors which could impact model performance.</w:t>
      </w:r>
    </w:p>
    <w:p w14:paraId="5B2016E7" w14:textId="38F9FA0A" w:rsidR="00A45E07" w:rsidRDefault="00A45E07" w:rsidP="00A13518">
      <w:pPr>
        <w:jc w:val="both"/>
      </w:pPr>
      <w:r>
        <w:t xml:space="preserve">To prevent the UE from repeatedly reporting a poorly performing </w:t>
      </w:r>
      <w:r w:rsidR="00446140">
        <w:t>functionality/configuration</w:t>
      </w:r>
      <w:r>
        <w:t xml:space="preserve"> as applicable, we propose that the NW should be able to provide feedback to the UE while reconfiguring the UE due to a poorly performing AI/ML-enabled configuration. The UE could use the feedback to augment its applicability determination criteria.</w:t>
      </w:r>
    </w:p>
    <w:p w14:paraId="791B912D" w14:textId="65CF957B" w:rsidR="00A45E07" w:rsidRDefault="00A45E07" w:rsidP="00A13518">
      <w:pPr>
        <w:jc w:val="both"/>
        <w:rPr>
          <w:b/>
          <w:bCs/>
        </w:rPr>
      </w:pPr>
      <w:r>
        <w:rPr>
          <w:b/>
          <w:bCs/>
        </w:rPr>
        <w:t>Observation</w:t>
      </w:r>
      <w:r w:rsidR="00492F82">
        <w:rPr>
          <w:b/>
          <w:bCs/>
        </w:rPr>
        <w:t xml:space="preserve"> 3</w:t>
      </w:r>
      <w:r>
        <w:rPr>
          <w:b/>
          <w:bCs/>
        </w:rPr>
        <w:t xml:space="preserve">: An indication of poor performance when reconfiguring a UE configured with </w:t>
      </w:r>
      <w:r w:rsidR="0067772D">
        <w:rPr>
          <w:b/>
          <w:bCs/>
        </w:rPr>
        <w:t xml:space="preserve">an </w:t>
      </w:r>
      <w:r w:rsidR="00FD2005">
        <w:rPr>
          <w:b/>
          <w:bCs/>
        </w:rPr>
        <w:t>inference</w:t>
      </w:r>
      <w:r>
        <w:rPr>
          <w:b/>
          <w:bCs/>
        </w:rPr>
        <w:t xml:space="preserve"> configuration could be used by the UE to help determine applicability of a configuration.</w:t>
      </w:r>
    </w:p>
    <w:p w14:paraId="626F8A85" w14:textId="1FDBFC28" w:rsidR="00F04E40" w:rsidRPr="00F46BBA" w:rsidRDefault="00A45E07" w:rsidP="007A00BB">
      <w:pPr>
        <w:jc w:val="both"/>
        <w:rPr>
          <w:b/>
          <w:bCs/>
        </w:rPr>
      </w:pPr>
      <w:r>
        <w:rPr>
          <w:b/>
          <w:bCs/>
        </w:rPr>
        <w:t>Proposal</w:t>
      </w:r>
      <w:r w:rsidR="00A8223C">
        <w:rPr>
          <w:b/>
          <w:bCs/>
        </w:rPr>
        <w:t xml:space="preserve"> </w:t>
      </w:r>
      <w:r w:rsidR="00F46BBA">
        <w:rPr>
          <w:b/>
          <w:bCs/>
        </w:rPr>
        <w:t>7</w:t>
      </w:r>
      <w:r>
        <w:rPr>
          <w:b/>
          <w:bCs/>
        </w:rPr>
        <w:t xml:space="preserve">: The NW can provide a cause </w:t>
      </w:r>
      <w:r w:rsidR="00CA1F95">
        <w:rPr>
          <w:b/>
          <w:bCs/>
        </w:rPr>
        <w:t>with</w:t>
      </w:r>
      <w:r>
        <w:rPr>
          <w:b/>
          <w:bCs/>
        </w:rPr>
        <w:t xml:space="preserve"> reconfiguration, e.g., modifying or removing an </w:t>
      </w:r>
      <w:r w:rsidR="00FD2005">
        <w:rPr>
          <w:b/>
          <w:bCs/>
        </w:rPr>
        <w:t>inference</w:t>
      </w:r>
      <w:r>
        <w:rPr>
          <w:b/>
          <w:bCs/>
        </w:rPr>
        <w:t xml:space="preserve"> configuration, including that the configuration performed poorly.</w:t>
      </w:r>
    </w:p>
    <w:p w14:paraId="00BDA02E" w14:textId="77777777" w:rsidR="00A45E07" w:rsidRPr="0023760B" w:rsidRDefault="00A45E07" w:rsidP="00294CCF">
      <w:pPr>
        <w:pStyle w:val="Heading2"/>
      </w:pPr>
      <w:r>
        <w:t>3.5</w:t>
      </w:r>
      <w:r>
        <w:tab/>
        <w:t>Handling of Active Periodical Inference Configurations Which Become Inapplicable</w:t>
      </w:r>
    </w:p>
    <w:p w14:paraId="05B6C29B" w14:textId="47CA352F" w:rsidR="00A45E07" w:rsidRDefault="00A5341D" w:rsidP="00A13518">
      <w:pPr>
        <w:jc w:val="both"/>
        <w:rPr>
          <w:rFonts w:cstheme="minorBidi"/>
        </w:rPr>
      </w:pPr>
      <w:r>
        <w:rPr>
          <w:rFonts w:cstheme="minorBidi"/>
        </w:rPr>
        <w:t xml:space="preserve">In RAN2#129, </w:t>
      </w:r>
      <w:r w:rsidR="008B74F3">
        <w:rPr>
          <w:rFonts w:cstheme="minorBidi"/>
        </w:rPr>
        <w:t xml:space="preserve">it was agreed </w:t>
      </w:r>
      <w:r w:rsidR="00BE0A6C">
        <w:rPr>
          <w:rFonts w:cstheme="minorBidi"/>
          <w:i/>
          <w:iCs/>
        </w:rPr>
        <w:t>“</w:t>
      </w:r>
      <w:r w:rsidR="008B74F3" w:rsidRPr="00A13518">
        <w:rPr>
          <w:rFonts w:cstheme="minorBidi"/>
          <w:i/>
          <w:iCs/>
        </w:rPr>
        <w:t xml:space="preserve">if </w:t>
      </w:r>
      <w:r w:rsidR="00D94301" w:rsidRPr="00A13518">
        <w:rPr>
          <w:i/>
          <w:iCs/>
        </w:rPr>
        <w:t>option A is configured in Step 3, for periodic CSI reporting, the UE autonomously activate the applicable functionalities upon reporting applicable functionalities via RRCReconfigurationComplete in step 4 (i.e. without need to wait RRCReconfiguration in Step 5)</w:t>
      </w:r>
      <w:r w:rsidR="00BE0A6C">
        <w:rPr>
          <w:i/>
          <w:iCs/>
        </w:rPr>
        <w:t>”</w:t>
      </w:r>
      <w:r w:rsidR="00307299">
        <w:rPr>
          <w:i/>
          <w:iCs/>
        </w:rPr>
        <w:t xml:space="preserve"> [1]</w:t>
      </w:r>
      <w:r w:rsidR="00D94301">
        <w:t xml:space="preserve">.  Moreover, according to </w:t>
      </w:r>
      <w:r w:rsidR="00A45E07">
        <w:rPr>
          <w:rFonts w:cstheme="minorBidi"/>
        </w:rPr>
        <w:t>the RAN2#128 agreement</w:t>
      </w:r>
      <w:r w:rsidR="00A45E07" w:rsidRPr="002F6DAD">
        <w:t xml:space="preserve"> “</w:t>
      </w:r>
      <w:r w:rsidR="00A45E07" w:rsidRPr="00A13518">
        <w:rPr>
          <w:i/>
          <w:iCs/>
        </w:rPr>
        <w:t xml:space="preserve">when a functionality becomes non-applicable </w:t>
      </w:r>
      <w:r w:rsidR="00A45E07" w:rsidRPr="00A13518">
        <w:rPr>
          <w:i/>
          <w:iCs/>
          <w:u w:val="single"/>
        </w:rPr>
        <w:t>the UE doesn’t autonomously deactivate</w:t>
      </w:r>
      <w:r w:rsidR="00A45E07" w:rsidRPr="00A13518">
        <w:rPr>
          <w:rFonts w:cstheme="minorBidi"/>
          <w:i/>
          <w:iCs/>
        </w:rPr>
        <w:t>,</w:t>
      </w:r>
      <w:r w:rsidR="00A45E07" w:rsidRPr="00A13518">
        <w:rPr>
          <w:i/>
          <w:iCs/>
        </w:rPr>
        <w:t xml:space="preserve"> the NW is expected to deactivate an activated functionality when it receives a report from UE that it is inapplicable</w:t>
      </w:r>
      <w:r w:rsidR="002E63A5">
        <w:t>”</w:t>
      </w:r>
      <w:r w:rsidR="00307299">
        <w:t xml:space="preserve"> [2]</w:t>
      </w:r>
      <w:r w:rsidR="00A45E07" w:rsidRPr="00E437B1">
        <w:t>.</w:t>
      </w:r>
      <w:r w:rsidR="002E63A5">
        <w:t xml:space="preserve"> As such,</w:t>
      </w:r>
      <w:r w:rsidR="00A45E07" w:rsidRPr="00E437B1">
        <w:t xml:space="preserve"> </w:t>
      </w:r>
      <w:r w:rsidR="002E63A5">
        <w:t>i</w:t>
      </w:r>
      <w:r w:rsidR="00A45E07">
        <w:t xml:space="preserve">f a full inference configuration for beam prediction is provided with </w:t>
      </w:r>
      <w:r w:rsidR="00A45E07" w:rsidRPr="000B6897">
        <w:rPr>
          <w:i/>
          <w:iCs/>
        </w:rPr>
        <w:t>reportConfigType</w:t>
      </w:r>
      <w:r w:rsidR="00A45E07">
        <w:t>=’</w:t>
      </w:r>
      <w:r w:rsidR="00A45E07" w:rsidRPr="00E437B1">
        <w:rPr>
          <w:i/>
        </w:rPr>
        <w:t>periodic</w:t>
      </w:r>
      <w:r w:rsidR="00A45E07">
        <w:t>’,</w:t>
      </w:r>
      <w:r w:rsidR="00A45E07" w:rsidRPr="2D2FD754">
        <w:rPr>
          <w:rFonts w:cstheme="minorBidi"/>
        </w:rPr>
        <w:t xml:space="preserve"> </w:t>
      </w:r>
      <w:r w:rsidR="00A45E07">
        <w:rPr>
          <w:rFonts w:cstheme="minorBidi"/>
        </w:rPr>
        <w:t xml:space="preserve">the </w:t>
      </w:r>
      <w:r w:rsidR="00A45E07" w:rsidRPr="2D2FD754">
        <w:rPr>
          <w:rFonts w:cstheme="minorBidi"/>
        </w:rPr>
        <w:t>UE can report</w:t>
      </w:r>
      <w:r w:rsidR="00A45E07">
        <w:rPr>
          <w:rFonts w:cstheme="minorBidi"/>
        </w:rPr>
        <w:t xml:space="preserve"> when the</w:t>
      </w:r>
      <w:r w:rsidR="00A45E07" w:rsidRPr="2D2FD754">
        <w:rPr>
          <w:rFonts w:cstheme="minorBidi"/>
        </w:rPr>
        <w:t xml:space="preserve"> applicability of </w:t>
      </w:r>
      <w:r w:rsidR="00A45E07">
        <w:rPr>
          <w:rFonts w:cstheme="minorBidi"/>
        </w:rPr>
        <w:t>the configuration becomes inapplicable</w:t>
      </w:r>
      <w:r w:rsidR="00A45E07" w:rsidRPr="2D2FD754">
        <w:rPr>
          <w:rFonts w:cstheme="minorBidi"/>
        </w:rPr>
        <w:t xml:space="preserve"> using UAI. </w:t>
      </w:r>
      <w:r w:rsidR="00A45E07">
        <w:rPr>
          <w:rFonts w:cstheme="minorBidi"/>
        </w:rPr>
        <w:t>Because</w:t>
      </w:r>
      <w:r w:rsidR="00A45E07" w:rsidRPr="2D2FD754">
        <w:rPr>
          <w:rFonts w:cstheme="minorBidi"/>
        </w:rPr>
        <w:t xml:space="preserve"> the UE cannot deactivate the inference reporting autonomously</w:t>
      </w:r>
      <w:r w:rsidR="00A45E07">
        <w:rPr>
          <w:rFonts w:cstheme="minorBidi"/>
        </w:rPr>
        <w:t>, a potential</w:t>
      </w:r>
      <w:r w:rsidR="00A45E07" w:rsidRPr="2D2FD754">
        <w:rPr>
          <w:rFonts w:cstheme="minorBidi"/>
        </w:rPr>
        <w:t xml:space="preserve"> ambiguit</w:t>
      </w:r>
      <w:r w:rsidR="00A45E07">
        <w:rPr>
          <w:rFonts w:cstheme="minorBidi"/>
        </w:rPr>
        <w:t>y is introduced</w:t>
      </w:r>
      <w:r w:rsidR="00A45E07" w:rsidRPr="2D2FD754">
        <w:rPr>
          <w:rFonts w:cstheme="minorBidi"/>
        </w:rPr>
        <w:t xml:space="preserve"> </w:t>
      </w:r>
      <w:r w:rsidR="00A45E07">
        <w:rPr>
          <w:rFonts w:cstheme="minorBidi"/>
        </w:rPr>
        <w:t>because the quality and usefulness of the inference</w:t>
      </w:r>
      <w:r w:rsidR="00D0181D">
        <w:rPr>
          <w:rFonts w:cstheme="minorBidi"/>
        </w:rPr>
        <w:t xml:space="preserve"> reports</w:t>
      </w:r>
      <w:r w:rsidR="00395487">
        <w:rPr>
          <w:rFonts w:cstheme="minorBidi"/>
        </w:rPr>
        <w:t xml:space="preserve"> </w:t>
      </w:r>
      <w:r w:rsidR="00321EDA">
        <w:rPr>
          <w:rFonts w:cstheme="minorBidi"/>
        </w:rPr>
        <w:t>are</w:t>
      </w:r>
      <w:r w:rsidR="00A45E07">
        <w:rPr>
          <w:rFonts w:cstheme="minorBidi"/>
        </w:rPr>
        <w:t xml:space="preserve"> unknown. See Figure 3.5-1 for details. </w:t>
      </w:r>
    </w:p>
    <w:p w14:paraId="4F546922" w14:textId="77777777" w:rsidR="00A45E07" w:rsidRDefault="00A45E07" w:rsidP="00A45E07">
      <w:pPr>
        <w:jc w:val="both"/>
        <w:rPr>
          <w:rFonts w:cstheme="minorBidi"/>
        </w:rPr>
      </w:pPr>
    </w:p>
    <w:p w14:paraId="745224DC" w14:textId="77777777" w:rsidR="00A45E07" w:rsidRPr="00E437B1" w:rsidRDefault="00A45E07" w:rsidP="00A45E07">
      <w:pPr>
        <w:jc w:val="center"/>
      </w:pPr>
      <w:r>
        <w:object w:dxaOrig="7335" w:dyaOrig="6540" w14:anchorId="57482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327pt" o:ole="">
            <v:imagedata r:id="rId13" o:title=""/>
          </v:shape>
          <o:OLEObject Type="Embed" ProgID="Mscgen.Chart" ShapeID="_x0000_i1025" DrawAspect="Content" ObjectID="_1804614665" r:id="rId14"/>
        </w:object>
      </w:r>
    </w:p>
    <w:p w14:paraId="0E5CEEE8" w14:textId="77777777" w:rsidR="00A45E07" w:rsidRPr="000B6897" w:rsidRDefault="00A45E07" w:rsidP="00A45E07">
      <w:pPr>
        <w:jc w:val="center"/>
        <w:rPr>
          <w:b/>
          <w:bCs/>
          <w:iCs/>
        </w:rPr>
      </w:pPr>
      <w:r w:rsidRPr="000B6897">
        <w:rPr>
          <w:rFonts w:cstheme="minorHAnsi"/>
          <w:b/>
          <w:bCs/>
          <w:iCs/>
        </w:rPr>
        <w:t xml:space="preserve">Figure </w:t>
      </w:r>
      <w:r>
        <w:rPr>
          <w:rFonts w:cstheme="minorHAnsi"/>
          <w:b/>
          <w:bCs/>
          <w:iCs/>
        </w:rPr>
        <w:t>3.5</w:t>
      </w:r>
      <w:r w:rsidRPr="000B6897">
        <w:rPr>
          <w:rFonts w:cstheme="minorHAnsi"/>
          <w:b/>
          <w:bCs/>
          <w:iCs/>
        </w:rPr>
        <w:t>-1. Ambiguity of UE behaviour after an active periodic inference configuration becomes inapplicable</w:t>
      </w:r>
    </w:p>
    <w:p w14:paraId="1E45EBD0" w14:textId="2E73F529" w:rsidR="00A45E07" w:rsidRPr="00AE41CB" w:rsidRDefault="00A45E07" w:rsidP="00A13518">
      <w:pPr>
        <w:jc w:val="both"/>
        <w:rPr>
          <w:rFonts w:eastAsia="MS Mincho" w:cstheme="minorBidi"/>
          <w:b/>
        </w:rPr>
      </w:pPr>
      <w:r w:rsidRPr="00AE41CB">
        <w:rPr>
          <w:rStyle w:val="cf11"/>
          <w:rFonts w:asciiTheme="majorBidi" w:eastAsia="MS Mincho" w:hAnsiTheme="majorBidi" w:cstheme="majorBidi"/>
          <w:b/>
          <w:sz w:val="20"/>
          <w:szCs w:val="20"/>
        </w:rPr>
        <w:t>Observation</w:t>
      </w:r>
      <w:r w:rsidR="00492F82">
        <w:rPr>
          <w:rStyle w:val="cf11"/>
          <w:rFonts w:asciiTheme="majorBidi" w:eastAsia="MS Mincho" w:hAnsiTheme="majorBidi" w:cstheme="majorBidi"/>
          <w:b/>
          <w:sz w:val="20"/>
          <w:szCs w:val="20"/>
        </w:rPr>
        <w:t xml:space="preserve"> 4</w:t>
      </w:r>
      <w:r w:rsidRPr="00AE41CB">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An active beam prediction configuration may become inapplicable after it is activated. During this time, the outputs of the model enabling the configuration could be unreliable or ambiguous</w:t>
      </w:r>
      <w:r w:rsidRPr="00AE41CB">
        <w:rPr>
          <w:rFonts w:cstheme="minorBidi"/>
          <w:b/>
        </w:rPr>
        <w:t>.</w:t>
      </w:r>
    </w:p>
    <w:p w14:paraId="7B744082" w14:textId="56979A7C" w:rsidR="00A45E07" w:rsidRDefault="00A45E07" w:rsidP="00A13518">
      <w:pPr>
        <w:jc w:val="both"/>
        <w:rPr>
          <w:rStyle w:val="cf11"/>
          <w:rFonts w:asciiTheme="majorBidi" w:eastAsia="MS Mincho" w:hAnsiTheme="majorBidi" w:cstheme="majorBidi"/>
          <w:bCs/>
          <w:sz w:val="20"/>
          <w:szCs w:val="20"/>
        </w:rPr>
      </w:pPr>
      <w:r w:rsidRPr="00E40CDC">
        <w:rPr>
          <w:rStyle w:val="cf11"/>
          <w:rFonts w:asciiTheme="majorBidi" w:eastAsia="MS Mincho" w:hAnsiTheme="majorBidi" w:cstheme="majorBidi"/>
          <w:bCs/>
          <w:sz w:val="20"/>
          <w:szCs w:val="20"/>
        </w:rPr>
        <w:lastRenderedPageBreak/>
        <w:t>One approach to resolve the above issue is to define a new UE reporting behaviour</w:t>
      </w:r>
      <w:r>
        <w:rPr>
          <w:rStyle w:val="cf11"/>
          <w:rFonts w:asciiTheme="majorBidi" w:eastAsia="MS Mincho" w:hAnsiTheme="majorBidi" w:cstheme="majorBidi"/>
          <w:bCs/>
          <w:sz w:val="20"/>
          <w:szCs w:val="20"/>
        </w:rPr>
        <w:t>.</w:t>
      </w:r>
      <w:r w:rsidRPr="00E40CDC">
        <w:rPr>
          <w:rStyle w:val="cf11"/>
          <w:rFonts w:asciiTheme="majorBidi" w:eastAsia="MS Mincho" w:hAnsiTheme="majorBidi" w:cstheme="majorBidi"/>
          <w:bCs/>
          <w:sz w:val="20"/>
          <w:szCs w:val="20"/>
        </w:rPr>
        <w:t xml:space="preserve"> </w:t>
      </w:r>
      <w:r>
        <w:rPr>
          <w:rStyle w:val="cf11"/>
          <w:rFonts w:asciiTheme="majorBidi" w:eastAsia="MS Mincho" w:hAnsiTheme="majorBidi" w:cstheme="majorBidi"/>
          <w:bCs/>
          <w:sz w:val="20"/>
          <w:szCs w:val="20"/>
        </w:rPr>
        <w:t>I</w:t>
      </w:r>
      <w:r w:rsidRPr="00E40CDC">
        <w:rPr>
          <w:rStyle w:val="cf11"/>
          <w:rFonts w:asciiTheme="majorBidi" w:eastAsia="MS Mincho" w:hAnsiTheme="majorBidi" w:cstheme="majorBidi"/>
          <w:bCs/>
          <w:sz w:val="20"/>
          <w:szCs w:val="20"/>
        </w:rPr>
        <w:t>nstead of</w:t>
      </w:r>
      <w:r>
        <w:rPr>
          <w:rStyle w:val="cf11"/>
          <w:rFonts w:asciiTheme="majorBidi" w:eastAsia="MS Mincho" w:hAnsiTheme="majorBidi" w:cstheme="majorBidi"/>
          <w:bCs/>
          <w:sz w:val="20"/>
          <w:szCs w:val="20"/>
        </w:rPr>
        <w:t xml:space="preserve"> reporting</w:t>
      </w:r>
      <w:r w:rsidRPr="00E40CDC">
        <w:rPr>
          <w:rStyle w:val="cf11"/>
          <w:rFonts w:asciiTheme="majorBidi" w:eastAsia="MS Mincho" w:hAnsiTheme="majorBidi" w:cstheme="majorBidi"/>
          <w:bCs/>
          <w:sz w:val="20"/>
          <w:szCs w:val="20"/>
        </w:rPr>
        <w:t xml:space="preserve"> Set</w:t>
      </w:r>
      <w:r>
        <w:rPr>
          <w:rStyle w:val="cf11"/>
          <w:rFonts w:asciiTheme="majorBidi" w:eastAsia="MS Mincho" w:hAnsiTheme="majorBidi" w:cstheme="majorBidi"/>
          <w:bCs/>
          <w:sz w:val="20"/>
          <w:szCs w:val="20"/>
        </w:rPr>
        <w:t xml:space="preserve"> </w:t>
      </w:r>
      <w:r w:rsidRPr="00E40CDC">
        <w:rPr>
          <w:rStyle w:val="cf11"/>
          <w:rFonts w:asciiTheme="majorBidi" w:eastAsia="MS Mincho" w:hAnsiTheme="majorBidi" w:cstheme="majorBidi"/>
          <w:bCs/>
          <w:sz w:val="20"/>
          <w:szCs w:val="20"/>
        </w:rPr>
        <w:t>A beam</w:t>
      </w:r>
      <w:r>
        <w:rPr>
          <w:rStyle w:val="cf11"/>
          <w:rFonts w:asciiTheme="majorBidi" w:eastAsia="MS Mincho" w:hAnsiTheme="majorBidi" w:cstheme="majorBidi"/>
          <w:bCs/>
          <w:sz w:val="20"/>
          <w:szCs w:val="20"/>
        </w:rPr>
        <w:t xml:space="preserve"> predictions, the UE would </w:t>
      </w:r>
      <w:r w:rsidRPr="00C869B0">
        <w:rPr>
          <w:rStyle w:val="cf11"/>
          <w:rFonts w:asciiTheme="majorBidi" w:eastAsia="MS Mincho" w:hAnsiTheme="majorBidi" w:cstheme="majorBidi"/>
          <w:bCs/>
          <w:sz w:val="20"/>
          <w:szCs w:val="20"/>
        </w:rPr>
        <w:t>report</w:t>
      </w:r>
      <w:r>
        <w:rPr>
          <w:rStyle w:val="cf11"/>
          <w:rFonts w:asciiTheme="majorBidi" w:eastAsia="MS Mincho" w:hAnsiTheme="majorBidi" w:cstheme="majorBidi"/>
          <w:bCs/>
          <w:sz w:val="20"/>
          <w:szCs w:val="20"/>
        </w:rPr>
        <w:t xml:space="preserve"> </w:t>
      </w:r>
      <w:r w:rsidRPr="00C869B0">
        <w:rPr>
          <w:rStyle w:val="cf11"/>
          <w:rFonts w:asciiTheme="majorBidi" w:eastAsia="MS Mincho" w:hAnsiTheme="majorBidi" w:cstheme="majorBidi"/>
          <w:bCs/>
          <w:sz w:val="20"/>
          <w:szCs w:val="20"/>
        </w:rPr>
        <w:t>Set B beam measurements after the UE report</w:t>
      </w:r>
      <w:r>
        <w:rPr>
          <w:rStyle w:val="cf11"/>
          <w:rFonts w:asciiTheme="majorBidi" w:eastAsia="MS Mincho" w:hAnsiTheme="majorBidi" w:cstheme="majorBidi"/>
          <w:bCs/>
          <w:sz w:val="20"/>
          <w:szCs w:val="20"/>
        </w:rPr>
        <w:t>s</w:t>
      </w:r>
      <w:r w:rsidRPr="00C869B0">
        <w:rPr>
          <w:rStyle w:val="cf11"/>
          <w:rFonts w:asciiTheme="majorBidi" w:eastAsia="MS Mincho" w:hAnsiTheme="majorBidi" w:cstheme="majorBidi"/>
          <w:bCs/>
          <w:sz w:val="20"/>
          <w:szCs w:val="20"/>
        </w:rPr>
        <w:t xml:space="preserve"> the inapplicability of a </w:t>
      </w:r>
      <w:r>
        <w:rPr>
          <w:rStyle w:val="cf11"/>
          <w:rFonts w:asciiTheme="majorBidi" w:eastAsia="MS Mincho" w:hAnsiTheme="majorBidi" w:cstheme="majorBidi"/>
          <w:bCs/>
          <w:sz w:val="20"/>
          <w:szCs w:val="20"/>
        </w:rPr>
        <w:t>beam prediction reporting configuration. This avoids</w:t>
      </w:r>
      <w:r w:rsidRPr="00E40CDC">
        <w:rPr>
          <w:rStyle w:val="cf11"/>
          <w:rFonts w:asciiTheme="majorBidi" w:eastAsia="MS Mincho" w:hAnsiTheme="majorBidi" w:cstheme="majorBidi"/>
          <w:bCs/>
          <w:sz w:val="20"/>
          <w:szCs w:val="20"/>
        </w:rPr>
        <w:t xml:space="preserve"> wasting configured </w:t>
      </w:r>
      <w:r>
        <w:rPr>
          <w:rStyle w:val="cf11"/>
          <w:rFonts w:asciiTheme="majorBidi" w:eastAsia="MS Mincho" w:hAnsiTheme="majorBidi" w:cstheme="majorBidi"/>
          <w:bCs/>
          <w:sz w:val="20"/>
          <w:szCs w:val="20"/>
        </w:rPr>
        <w:t xml:space="preserve">air interface </w:t>
      </w:r>
      <w:r w:rsidR="006101AE">
        <w:rPr>
          <w:rStyle w:val="cf11"/>
          <w:rFonts w:asciiTheme="majorBidi" w:eastAsia="MS Mincho" w:hAnsiTheme="majorBidi" w:cstheme="majorBidi"/>
          <w:bCs/>
          <w:sz w:val="20"/>
          <w:szCs w:val="20"/>
        </w:rPr>
        <w:t>resources</w:t>
      </w:r>
      <w:r w:rsidR="006101AE" w:rsidRPr="00E40CDC">
        <w:rPr>
          <w:rStyle w:val="cf11"/>
          <w:rFonts w:asciiTheme="majorBidi" w:eastAsia="MS Mincho" w:hAnsiTheme="majorBidi" w:cstheme="majorBidi"/>
          <w:bCs/>
          <w:sz w:val="20"/>
          <w:szCs w:val="20"/>
        </w:rPr>
        <w:t xml:space="preserve"> but</w:t>
      </w:r>
      <w:r w:rsidRPr="00E40CDC">
        <w:rPr>
          <w:rStyle w:val="cf11"/>
          <w:rFonts w:asciiTheme="majorBidi" w:eastAsia="MS Mincho" w:hAnsiTheme="majorBidi" w:cstheme="majorBidi"/>
          <w:bCs/>
          <w:sz w:val="20"/>
          <w:szCs w:val="20"/>
        </w:rPr>
        <w:t xml:space="preserve"> also support</w:t>
      </w:r>
      <w:r>
        <w:rPr>
          <w:rStyle w:val="cf11"/>
          <w:rFonts w:asciiTheme="majorBidi" w:eastAsia="MS Mincho" w:hAnsiTheme="majorBidi" w:cstheme="majorBidi"/>
          <w:bCs/>
          <w:sz w:val="20"/>
          <w:szCs w:val="20"/>
        </w:rPr>
        <w:t>s</w:t>
      </w:r>
      <w:r w:rsidRPr="00E40CDC">
        <w:rPr>
          <w:rStyle w:val="cf11"/>
          <w:rFonts w:asciiTheme="majorBidi" w:eastAsia="MS Mincho" w:hAnsiTheme="majorBidi" w:cstheme="majorBidi"/>
          <w:bCs/>
          <w:sz w:val="20"/>
          <w:szCs w:val="20"/>
        </w:rPr>
        <w:t xml:space="preserve"> performance monitoring at the NW (e.g., in case of Type-1 Option 1)</w:t>
      </w:r>
      <w:r w:rsidR="00F87609">
        <w:rPr>
          <w:rStyle w:val="cf11"/>
          <w:rFonts w:asciiTheme="majorBidi" w:eastAsia="MS Mincho" w:hAnsiTheme="majorBidi" w:cstheme="majorBidi"/>
          <w:bCs/>
          <w:sz w:val="20"/>
          <w:szCs w:val="20"/>
        </w:rPr>
        <w:t>.</w:t>
      </w:r>
    </w:p>
    <w:p w14:paraId="35DBB30A" w14:textId="2CB8DEDC" w:rsidR="00A45E07" w:rsidRPr="00E40CDC" w:rsidRDefault="00A45E07">
      <w:pPr>
        <w:jc w:val="both"/>
        <w:rPr>
          <w:rStyle w:val="cf11"/>
          <w:rFonts w:asciiTheme="majorBidi" w:eastAsia="MS Mincho" w:hAnsiTheme="majorBidi" w:cstheme="majorBidi"/>
          <w:b/>
          <w:bCs/>
          <w:sz w:val="20"/>
          <w:szCs w:val="20"/>
        </w:rPr>
      </w:pPr>
      <w:r w:rsidRPr="5C4B4485">
        <w:rPr>
          <w:rStyle w:val="cf11"/>
          <w:rFonts w:asciiTheme="majorBidi" w:eastAsia="MS Mincho" w:hAnsiTheme="majorBidi" w:cstheme="majorBidi"/>
          <w:b/>
          <w:bCs/>
          <w:sz w:val="20"/>
          <w:szCs w:val="20"/>
        </w:rPr>
        <w:t>Proposal</w:t>
      </w:r>
      <w:r w:rsidR="00A8223C" w:rsidRPr="5C4B4485">
        <w:rPr>
          <w:rStyle w:val="cf11"/>
          <w:rFonts w:asciiTheme="majorBidi" w:eastAsia="MS Mincho" w:hAnsiTheme="majorBidi" w:cstheme="majorBidi"/>
          <w:b/>
          <w:bCs/>
          <w:sz w:val="20"/>
          <w:szCs w:val="20"/>
        </w:rPr>
        <w:t xml:space="preserve"> </w:t>
      </w:r>
      <w:r w:rsidR="00F46BBA">
        <w:rPr>
          <w:rStyle w:val="cf11"/>
          <w:rFonts w:asciiTheme="majorBidi" w:eastAsia="MS Mincho" w:hAnsiTheme="majorBidi" w:cstheme="majorBidi"/>
          <w:b/>
          <w:bCs/>
          <w:sz w:val="20"/>
          <w:szCs w:val="20"/>
        </w:rPr>
        <w:t>8</w:t>
      </w:r>
      <w:r w:rsidRPr="5C4B4485">
        <w:rPr>
          <w:rStyle w:val="cf11"/>
          <w:rFonts w:asciiTheme="majorBidi" w:eastAsia="MS Mincho" w:hAnsiTheme="majorBidi" w:cstheme="majorBidi"/>
          <w:b/>
          <w:bCs/>
          <w:sz w:val="20"/>
          <w:szCs w:val="20"/>
        </w:rPr>
        <w:t xml:space="preserve"> When an active beam prediction configuration becomes inapplicable, the UE shall suspend the transmission of Set A beam predictions and report Set B measurements corresponding to the newly inapplicable, activated beam prediction inference configuration until the UE is reconfigured by the NW.</w:t>
      </w:r>
    </w:p>
    <w:p w14:paraId="7D8A9E0B" w14:textId="26ECE9AF" w:rsidR="00C26C13" w:rsidRDefault="00022781" w:rsidP="000B2514">
      <w:pPr>
        <w:rPr>
          <w:rStyle w:val="cf11"/>
          <w:rFonts w:asciiTheme="majorBidi" w:eastAsia="MS Mincho" w:hAnsiTheme="majorBidi" w:cstheme="majorBidi"/>
          <w:b/>
          <w:sz w:val="20"/>
          <w:szCs w:val="20"/>
        </w:rPr>
      </w:pPr>
      <w:r w:rsidRPr="00081DED">
        <w:rPr>
          <w:rStyle w:val="cf11"/>
          <w:rFonts w:asciiTheme="majorBidi" w:eastAsia="MS Mincho" w:hAnsiTheme="majorBidi" w:cstheme="majorBidi"/>
          <w:b/>
          <w:sz w:val="20"/>
          <w:szCs w:val="20"/>
        </w:rPr>
        <w:t>Proposal</w:t>
      </w:r>
      <w:r>
        <w:rPr>
          <w:rStyle w:val="cf11"/>
          <w:rFonts w:asciiTheme="majorBidi" w:eastAsia="MS Mincho" w:hAnsiTheme="majorBidi" w:cstheme="majorBidi"/>
          <w:b/>
          <w:sz w:val="20"/>
          <w:szCs w:val="20"/>
        </w:rPr>
        <w:t xml:space="preserve"> </w:t>
      </w:r>
      <w:r w:rsidR="00F46BBA">
        <w:rPr>
          <w:rStyle w:val="cf11"/>
          <w:rFonts w:asciiTheme="majorBidi" w:eastAsia="MS Mincho" w:hAnsiTheme="majorBidi" w:cstheme="majorBidi"/>
          <w:b/>
          <w:sz w:val="20"/>
          <w:szCs w:val="20"/>
        </w:rPr>
        <w:t>9</w:t>
      </w:r>
      <w:r>
        <w:rPr>
          <w:rStyle w:val="cf11"/>
          <w:rFonts w:asciiTheme="majorBidi" w:eastAsia="MS Mincho" w:hAnsiTheme="majorBidi" w:cstheme="majorBidi"/>
          <w:b/>
          <w:sz w:val="20"/>
          <w:szCs w:val="20"/>
        </w:rPr>
        <w:t>:</w:t>
      </w:r>
      <w:r w:rsidRPr="00081DED">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 xml:space="preserve">RAN2 to endorse Proposal </w:t>
      </w:r>
      <w:r w:rsidR="00F46BBA">
        <w:rPr>
          <w:rStyle w:val="cf11"/>
          <w:rFonts w:asciiTheme="majorBidi" w:eastAsia="MS Mincho" w:hAnsiTheme="majorBidi" w:cstheme="majorBidi"/>
          <w:b/>
          <w:sz w:val="20"/>
          <w:szCs w:val="20"/>
        </w:rPr>
        <w:t>8</w:t>
      </w:r>
      <w:r>
        <w:rPr>
          <w:rStyle w:val="cf11"/>
          <w:rFonts w:asciiTheme="majorBidi" w:eastAsia="MS Mincho" w:hAnsiTheme="majorBidi" w:cstheme="majorBidi"/>
          <w:b/>
          <w:sz w:val="20"/>
          <w:szCs w:val="20"/>
        </w:rPr>
        <w:t xml:space="preserve"> within Applicability Reporting Clause for Stage 3 running CR (changes are highlighted in </w:t>
      </w:r>
      <w:r w:rsidR="004D794B" w:rsidRPr="00A13518">
        <w:rPr>
          <w:rStyle w:val="cf11"/>
          <w:rFonts w:asciiTheme="majorBidi" w:eastAsia="MS Mincho" w:hAnsiTheme="majorBidi" w:cstheme="majorBidi"/>
          <w:b/>
          <w:color w:val="ED7D31" w:themeColor="accent2"/>
          <w:sz w:val="20"/>
          <w:szCs w:val="20"/>
        </w:rPr>
        <w:t>orange</w:t>
      </w:r>
      <w:r w:rsidRPr="00A13518">
        <w:rPr>
          <w:rStyle w:val="cf11"/>
          <w:rFonts w:asciiTheme="majorBidi" w:eastAsia="MS Mincho" w:hAnsiTheme="majorBidi" w:cstheme="majorBidi"/>
          <w:b/>
          <w:color w:val="ED7D31" w:themeColor="accent2"/>
          <w:sz w:val="20"/>
          <w:szCs w:val="20"/>
        </w:rPr>
        <w:t xml:space="preserve"> in Section 7</w:t>
      </w:r>
      <w:r>
        <w:rPr>
          <w:rStyle w:val="cf11"/>
          <w:rFonts w:asciiTheme="majorBidi" w:eastAsia="MS Mincho" w:hAnsiTheme="majorBidi" w:cstheme="majorBidi"/>
          <w:b/>
          <w:sz w:val="20"/>
          <w:szCs w:val="20"/>
        </w:rPr>
        <w:t>)</w:t>
      </w:r>
      <w:r w:rsidR="00F46BBA">
        <w:rPr>
          <w:rStyle w:val="cf11"/>
          <w:rFonts w:asciiTheme="majorBidi" w:eastAsia="MS Mincho" w:hAnsiTheme="majorBidi" w:cstheme="majorBidi"/>
          <w:b/>
          <w:sz w:val="20"/>
          <w:szCs w:val="20"/>
        </w:rPr>
        <w:t>.</w:t>
      </w:r>
    </w:p>
    <w:p w14:paraId="1701785C" w14:textId="6FCBBE28" w:rsidR="00A45E07" w:rsidRPr="00401B21" w:rsidRDefault="00A45E07" w:rsidP="00294CCF">
      <w:pPr>
        <w:pStyle w:val="Heading1"/>
        <w:rPr>
          <w:color w:val="FF0000"/>
        </w:rPr>
      </w:pPr>
      <w:r>
        <w:t>4</w:t>
      </w:r>
      <w:r w:rsidRPr="009D4A6E">
        <w:tab/>
        <w:t>Fallback</w:t>
      </w:r>
    </w:p>
    <w:p w14:paraId="2E7327EE" w14:textId="77777777" w:rsidR="00A45E07" w:rsidRDefault="00A45E07" w:rsidP="00A13518">
      <w:pPr>
        <w:jc w:val="both"/>
      </w:pPr>
      <w:r w:rsidRPr="00E437B1">
        <w:t xml:space="preserve">Fallback to non-AIML means de-configuring one AI/ML beam prediction configuration and activating a non-AI/ML beam prediction configuration. The purpose of fallback is to mitigate performance losses by reverting to a non-AI/ML method for beam </w:t>
      </w:r>
      <w:r>
        <w:t>management or beam measurement reporting</w:t>
      </w:r>
      <w:r w:rsidRPr="00E437B1">
        <w:t xml:space="preserve">. However, the </w:t>
      </w:r>
      <w:r w:rsidRPr="009D4A6E">
        <w:t xml:space="preserve">NW may fall into </w:t>
      </w:r>
      <w:r>
        <w:t xml:space="preserve">an </w:t>
      </w:r>
      <w:r w:rsidRPr="009D4A6E">
        <w:t>unnecessary ping-pong between non-</w:t>
      </w:r>
      <w:r>
        <w:t>AI/</w:t>
      </w:r>
      <w:r w:rsidRPr="009D4A6E">
        <w:t xml:space="preserve">ML and </w:t>
      </w:r>
      <w:r>
        <w:t>AI/</w:t>
      </w:r>
      <w:r w:rsidRPr="009D4A6E">
        <w:t xml:space="preserve">ML-enabled </w:t>
      </w:r>
      <w:r>
        <w:t>beam prediction configurations,</w:t>
      </w:r>
      <w:r w:rsidRPr="009D4A6E">
        <w:t xml:space="preserve"> which </w:t>
      </w:r>
      <w:r>
        <w:t xml:space="preserve">could </w:t>
      </w:r>
      <w:r w:rsidRPr="009D4A6E">
        <w:t xml:space="preserve">lead to signalling overhead </w:t>
      </w:r>
      <w:r>
        <w:t>to activate or deactivate an AI/</w:t>
      </w:r>
      <w:r w:rsidRPr="009D4A6E">
        <w:t xml:space="preserve">ML </w:t>
      </w:r>
      <w:r>
        <w:t>configuration</w:t>
      </w:r>
      <w:r w:rsidRPr="009D4A6E">
        <w:t xml:space="preserve"> on one hand</w:t>
      </w:r>
      <w:r>
        <w:t xml:space="preserve"> and</w:t>
      </w:r>
      <w:r w:rsidRPr="009D4A6E">
        <w:t xml:space="preserve"> imposing unnecessary activation delays on the other hand.</w:t>
      </w:r>
    </w:p>
    <w:p w14:paraId="12CFAC61" w14:textId="77777777" w:rsidR="00A45E07" w:rsidRPr="00581AF2" w:rsidRDefault="00A45E07" w:rsidP="00A13518">
      <w:pPr>
        <w:jc w:val="both"/>
      </w:pPr>
      <w:r>
        <w:t>Because the performance of the AI/ML beam prediction configuration n was satisfactory prior to the decision to fall back, it could be reasonably assumed that the AI/ML configuration will perform well once again.</w:t>
      </w:r>
    </w:p>
    <w:p w14:paraId="4414D3B0" w14:textId="0B59082B" w:rsidR="00A45E07" w:rsidRDefault="00A45E07" w:rsidP="00A13518">
      <w:pPr>
        <w:jc w:val="both"/>
        <w:rPr>
          <w:b/>
          <w:bCs/>
        </w:rPr>
      </w:pPr>
      <w:r w:rsidRPr="009D4A6E">
        <w:rPr>
          <w:b/>
          <w:bCs/>
        </w:rPr>
        <w:t>Observation</w:t>
      </w:r>
      <w:r w:rsidR="00492F82">
        <w:rPr>
          <w:b/>
          <w:bCs/>
        </w:rPr>
        <w:t xml:space="preserve"> 5</w:t>
      </w:r>
      <w:r>
        <w:rPr>
          <w:b/>
          <w:bCs/>
        </w:rPr>
        <w:t>:</w:t>
      </w:r>
      <w:r w:rsidRPr="009D4A6E">
        <w:rPr>
          <w:b/>
          <w:bCs/>
        </w:rPr>
        <w:t xml:space="preserve"> </w:t>
      </w:r>
      <w:r w:rsidRPr="00ED68D0">
        <w:rPr>
          <w:b/>
          <w:bCs/>
        </w:rPr>
        <w:t xml:space="preserve">Because the performance of </w:t>
      </w:r>
      <w:r>
        <w:rPr>
          <w:b/>
          <w:bCs/>
        </w:rPr>
        <w:t>a</w:t>
      </w:r>
      <w:r w:rsidRPr="00ED68D0">
        <w:rPr>
          <w:b/>
          <w:bCs/>
        </w:rPr>
        <w:t xml:space="preserve"> </w:t>
      </w:r>
      <w:r>
        <w:rPr>
          <w:b/>
          <w:bCs/>
        </w:rPr>
        <w:t>beam prediction</w:t>
      </w:r>
      <w:r w:rsidRPr="00ED68D0">
        <w:rPr>
          <w:b/>
          <w:bCs/>
        </w:rPr>
        <w:t xml:space="preserve"> configuration </w:t>
      </w:r>
      <w:r>
        <w:rPr>
          <w:b/>
          <w:bCs/>
        </w:rPr>
        <w:t>could have been</w:t>
      </w:r>
      <w:r w:rsidRPr="00ED68D0">
        <w:rPr>
          <w:b/>
          <w:bCs/>
        </w:rPr>
        <w:t xml:space="preserve"> satisfactory prior to the decision to fall back, it could be reasonably assumed that the AI/ML </w:t>
      </w:r>
      <w:r>
        <w:rPr>
          <w:b/>
          <w:bCs/>
        </w:rPr>
        <w:t>configuration</w:t>
      </w:r>
      <w:r w:rsidRPr="00ED68D0">
        <w:rPr>
          <w:b/>
          <w:bCs/>
        </w:rPr>
        <w:t xml:space="preserve"> will perform well once again.</w:t>
      </w:r>
    </w:p>
    <w:p w14:paraId="6E09E798" w14:textId="78FE1D6C" w:rsidR="00A45E07" w:rsidRDefault="00A45E07" w:rsidP="00A13518">
      <w:pPr>
        <w:jc w:val="both"/>
        <w:rPr>
          <w:bCs/>
        </w:rPr>
      </w:pPr>
      <w:r>
        <w:rPr>
          <w:bCs/>
        </w:rPr>
        <w:t>Therefore, monitoring a beam prediction configuration during fallback could be useful to help the NW determine when to exit fallback and resume the use of the beam prediction configuration to make beam prediction decisions. During this type of fallback, the</w:t>
      </w:r>
      <w:r w:rsidDel="000F476B">
        <w:rPr>
          <w:bCs/>
        </w:rPr>
        <w:t xml:space="preserve"> </w:t>
      </w:r>
      <w:r>
        <w:rPr>
          <w:bCs/>
        </w:rPr>
        <w:t>beam prediction reporting configuration would still be active, but it could be configured with a lower reporting frequency.</w:t>
      </w:r>
    </w:p>
    <w:p w14:paraId="0D069833" w14:textId="4E6FA267" w:rsidR="00A45E07" w:rsidRDefault="00A45E07" w:rsidP="00A13518">
      <w:pPr>
        <w:jc w:val="both"/>
      </w:pPr>
      <w:r w:rsidRPr="00E437B1">
        <w:rPr>
          <w:b/>
        </w:rPr>
        <w:t>Proposal</w:t>
      </w:r>
      <w:r w:rsidR="00A8223C">
        <w:rPr>
          <w:b/>
        </w:rPr>
        <w:t xml:space="preserve"> 1</w:t>
      </w:r>
      <w:r w:rsidR="00F46BBA">
        <w:rPr>
          <w:b/>
        </w:rPr>
        <w:t>0</w:t>
      </w:r>
      <w:r w:rsidRPr="00E437B1">
        <w:rPr>
          <w:b/>
        </w:rPr>
        <w:t xml:space="preserve">: </w:t>
      </w:r>
      <w:r>
        <w:rPr>
          <w:b/>
        </w:rPr>
        <w:t>Discuss whether during</w:t>
      </w:r>
      <w:r w:rsidRPr="00E437B1">
        <w:rPr>
          <w:b/>
        </w:rPr>
        <w:t xml:space="preserve"> fallback </w:t>
      </w:r>
      <w:r>
        <w:rPr>
          <w:b/>
        </w:rPr>
        <w:t>if the UE can be configured to report inference outputs, e.g., at a lower periodicity, of a configuration which performed poorly after initially performing well</w:t>
      </w:r>
      <w:r w:rsidRPr="00E437B1">
        <w:rPr>
          <w:b/>
        </w:rPr>
        <w:t xml:space="preserve"> to aid the NW in exiting fallback. </w:t>
      </w:r>
    </w:p>
    <w:p w14:paraId="1EE707A9" w14:textId="6DFE2FF3" w:rsidR="006148F9" w:rsidRDefault="00EA6614" w:rsidP="006148F9">
      <w:pPr>
        <w:pStyle w:val="Heading1"/>
      </w:pPr>
      <w:r>
        <w:t>5</w:t>
      </w:r>
      <w:r w:rsidR="006148F9">
        <w:tab/>
        <w:t>Stage 2 Specification of Applicability Reporting</w:t>
      </w:r>
    </w:p>
    <w:p w14:paraId="201DA880" w14:textId="38751A08" w:rsidR="006148F9" w:rsidRDefault="006148F9" w:rsidP="00A13518">
      <w:pPr>
        <w:jc w:val="both"/>
      </w:pPr>
      <w:r>
        <w:t xml:space="preserve">The latest </w:t>
      </w:r>
      <w:r w:rsidR="00C624DD">
        <w:t>S</w:t>
      </w:r>
      <w:r>
        <w:t>tage 2 draft on the applicability reporting [</w:t>
      </w:r>
      <w:r w:rsidR="00A93C39">
        <w:t>3</w:t>
      </w:r>
      <w:r w:rsidR="00197A6C">
        <w:t>]</w:t>
      </w:r>
      <w:r w:rsidR="00A93C39">
        <w:t xml:space="preserve"> </w:t>
      </w:r>
      <w:r w:rsidR="00100F77">
        <w:t>lacks</w:t>
      </w:r>
      <w:r>
        <w:t xml:space="preserve"> the presentation of the applicability reporting procedure. This was commented during the email discussion of by several companies</w:t>
      </w:r>
      <w:r w:rsidR="00C24799">
        <w:t xml:space="preserve"> [3]</w:t>
      </w:r>
      <w:r>
        <w:t xml:space="preserve">. We think that it is </w:t>
      </w:r>
      <w:r w:rsidR="00774554">
        <w:t>significant</w:t>
      </w:r>
      <w:r w:rsidR="00F41C80">
        <w:t xml:space="preserve"> to </w:t>
      </w:r>
      <w:r>
        <w:t xml:space="preserve"> present </w:t>
      </w:r>
      <w:r w:rsidR="009F4ACE">
        <w:t xml:space="preserve"> all the</w:t>
      </w:r>
      <w:r>
        <w:t xml:space="preserve"> steps</w:t>
      </w:r>
      <w:r w:rsidR="00062ABF">
        <w:t xml:space="preserve"> involved in</w:t>
      </w:r>
      <w:r>
        <w:t xml:space="preserve"> the  procedure in the </w:t>
      </w:r>
      <w:r w:rsidR="006E4255">
        <w:t>S</w:t>
      </w:r>
      <w:r>
        <w:t>tage 2 specification</w:t>
      </w:r>
      <w:r w:rsidR="006E4255">
        <w:t xml:space="preserve"> phase</w:t>
      </w:r>
      <w:r>
        <w:t xml:space="preserve">, </w:t>
      </w:r>
      <w:r w:rsidR="00CC04A7">
        <w:t xml:space="preserve">since </w:t>
      </w:r>
      <w:r>
        <w:t xml:space="preserve"> </w:t>
      </w:r>
      <w:r w:rsidR="00CC04A7">
        <w:t>S</w:t>
      </w:r>
      <w:r>
        <w:t xml:space="preserve">tage 3 specifications </w:t>
      </w:r>
      <w:r w:rsidR="00CC04A7">
        <w:t>mainly</w:t>
      </w:r>
      <w:r>
        <w:t xml:space="preserve"> capture the protocol level procedures </w:t>
      </w:r>
      <w:r w:rsidR="00CC04A7">
        <w:t>without</w:t>
      </w:r>
      <w:r>
        <w:t xml:space="preserve"> </w:t>
      </w:r>
      <w:r w:rsidR="00CC04A7">
        <w:t>clarifying</w:t>
      </w:r>
      <w:r>
        <w:t xml:space="preserve"> the relation between  different protocol level procedures. On the other hand, we </w:t>
      </w:r>
      <w:r w:rsidR="00924B81">
        <w:t>believe</w:t>
      </w:r>
      <w:r>
        <w:t xml:space="preserve"> that capturing protocol level agreements (e.g., which information elements are carrying which information) is not relevant from </w:t>
      </w:r>
      <w:r w:rsidR="00924B81">
        <w:t>S</w:t>
      </w:r>
      <w:r>
        <w:t xml:space="preserve">tage 2 perspective, as </w:t>
      </w:r>
      <w:r w:rsidR="00746000">
        <w:t>it</w:t>
      </w:r>
      <w:r>
        <w:t xml:space="preserve"> will be specified </w:t>
      </w:r>
      <w:r w:rsidR="00746000">
        <w:t>during</w:t>
      </w:r>
      <w:r>
        <w:t xml:space="preserve"> </w:t>
      </w:r>
      <w:r w:rsidR="00746000">
        <w:t>S</w:t>
      </w:r>
      <w:r>
        <w:t>tage 3 specification</w:t>
      </w:r>
      <w:r w:rsidR="00746000">
        <w:t xml:space="preserve"> phase</w:t>
      </w:r>
      <w:r>
        <w:t xml:space="preserve">. Therefore, we propose to adopt the revision of the Applicability Reporting clause included in the Annex of this paper, which includes the complete procedure and removes the unnecessary </w:t>
      </w:r>
      <w:r w:rsidR="00B454D5">
        <w:t>S</w:t>
      </w:r>
      <w:r>
        <w:t>tage 3 details.</w:t>
      </w:r>
    </w:p>
    <w:p w14:paraId="2CD602A1" w14:textId="6B8E055B" w:rsidR="006148F9" w:rsidRPr="0073213C" w:rsidRDefault="006148F9" w:rsidP="006148F9">
      <w:pPr>
        <w:rPr>
          <w:b/>
          <w:bCs/>
        </w:rPr>
      </w:pPr>
      <w:r w:rsidRPr="0073213C">
        <w:rPr>
          <w:b/>
          <w:bCs/>
        </w:rPr>
        <w:t xml:space="preserve">Proposal </w:t>
      </w:r>
      <w:r w:rsidR="00914F7B">
        <w:rPr>
          <w:b/>
          <w:bCs/>
        </w:rPr>
        <w:t>1</w:t>
      </w:r>
      <w:r w:rsidR="00F46BBA">
        <w:rPr>
          <w:b/>
          <w:bCs/>
        </w:rPr>
        <w:t>1</w:t>
      </w:r>
      <w:r w:rsidRPr="0073213C">
        <w:rPr>
          <w:b/>
          <w:bCs/>
        </w:rPr>
        <w:t xml:space="preserve">: </w:t>
      </w:r>
      <w:r w:rsidR="00B454D5">
        <w:rPr>
          <w:b/>
          <w:bCs/>
        </w:rPr>
        <w:t>RAN2 to a</w:t>
      </w:r>
      <w:r w:rsidRPr="0073213C">
        <w:rPr>
          <w:b/>
          <w:bCs/>
        </w:rPr>
        <w:t>dopt the text proposal of Annex</w:t>
      </w:r>
      <w:r w:rsidR="00183070">
        <w:rPr>
          <w:b/>
          <w:bCs/>
        </w:rPr>
        <w:t xml:space="preserve"> in Section 7</w:t>
      </w:r>
      <w:r w:rsidRPr="0073213C">
        <w:rPr>
          <w:b/>
          <w:bCs/>
        </w:rPr>
        <w:t xml:space="preserve"> </w:t>
      </w:r>
      <w:r w:rsidR="00EC6442">
        <w:rPr>
          <w:b/>
          <w:bCs/>
        </w:rPr>
        <w:t xml:space="preserve">on </w:t>
      </w:r>
      <w:r w:rsidR="00FD0D9A">
        <w:rPr>
          <w:b/>
          <w:bCs/>
        </w:rPr>
        <w:t>A</w:t>
      </w:r>
      <w:r w:rsidR="00EC6442">
        <w:rPr>
          <w:b/>
          <w:bCs/>
        </w:rPr>
        <w:t xml:space="preserve">pplicability </w:t>
      </w:r>
      <w:r w:rsidR="00FD0D9A">
        <w:rPr>
          <w:b/>
          <w:bCs/>
        </w:rPr>
        <w:t>R</w:t>
      </w:r>
      <w:r w:rsidR="00EC6442">
        <w:rPr>
          <w:b/>
          <w:bCs/>
        </w:rPr>
        <w:t xml:space="preserve">eporting </w:t>
      </w:r>
      <w:r w:rsidR="00FD0D9A">
        <w:rPr>
          <w:b/>
          <w:bCs/>
        </w:rPr>
        <w:t>C</w:t>
      </w:r>
      <w:r w:rsidR="00EC6442">
        <w:rPr>
          <w:b/>
          <w:bCs/>
        </w:rPr>
        <w:t xml:space="preserve">lause </w:t>
      </w:r>
      <w:r w:rsidR="00027C01">
        <w:rPr>
          <w:b/>
          <w:bCs/>
        </w:rPr>
        <w:t xml:space="preserve"> as</w:t>
      </w:r>
      <w:r w:rsidRPr="0073213C">
        <w:rPr>
          <w:b/>
          <w:bCs/>
        </w:rPr>
        <w:t xml:space="preserve"> </w:t>
      </w:r>
      <w:r w:rsidR="00027C01">
        <w:rPr>
          <w:b/>
          <w:bCs/>
        </w:rPr>
        <w:t xml:space="preserve">a </w:t>
      </w:r>
      <w:r w:rsidR="00FD0D9A">
        <w:rPr>
          <w:b/>
          <w:bCs/>
        </w:rPr>
        <w:t xml:space="preserve">Stage 2 specification baseline </w:t>
      </w:r>
      <w:r>
        <w:rPr>
          <w:b/>
          <w:bCs/>
        </w:rPr>
        <w:t>for</w:t>
      </w:r>
      <w:r w:rsidRPr="0073213C">
        <w:rPr>
          <w:b/>
          <w:bCs/>
        </w:rPr>
        <w:t xml:space="preserve"> the next version </w:t>
      </w:r>
      <w:r>
        <w:rPr>
          <w:b/>
          <w:bCs/>
        </w:rPr>
        <w:t>of</w:t>
      </w:r>
      <w:r w:rsidRPr="0073213C">
        <w:rPr>
          <w:b/>
          <w:bCs/>
        </w:rPr>
        <w:t xml:space="preserve"> the </w:t>
      </w:r>
      <w:r w:rsidR="006E5F06">
        <w:rPr>
          <w:b/>
          <w:bCs/>
        </w:rPr>
        <w:t>S</w:t>
      </w:r>
      <w:r>
        <w:rPr>
          <w:b/>
          <w:bCs/>
        </w:rPr>
        <w:t xml:space="preserve">tage 2 </w:t>
      </w:r>
      <w:r w:rsidRPr="0073213C">
        <w:rPr>
          <w:b/>
          <w:bCs/>
        </w:rPr>
        <w:t>running CR.</w:t>
      </w:r>
    </w:p>
    <w:p w14:paraId="64CA55ED" w14:textId="77777777" w:rsidR="004B051C" w:rsidRPr="00A13518" w:rsidRDefault="004B051C" w:rsidP="00A45E07">
      <w:pPr>
        <w:rPr>
          <w:b/>
          <w:bCs/>
          <w:lang w:val="en-US"/>
        </w:rPr>
      </w:pPr>
    </w:p>
    <w:p w14:paraId="01222F6D" w14:textId="77777777" w:rsidR="00A45E07" w:rsidRPr="006E13D1" w:rsidRDefault="00A45E07" w:rsidP="00294CCF">
      <w:pPr>
        <w:pStyle w:val="Heading1"/>
      </w:pPr>
      <w:r>
        <w:t>6</w:t>
      </w:r>
      <w:r w:rsidRPr="006E13D1">
        <w:tab/>
      </w:r>
      <w:r>
        <w:t>Conclusion</w:t>
      </w:r>
    </w:p>
    <w:p w14:paraId="1782134F" w14:textId="77777777" w:rsidR="00A45E07" w:rsidRDefault="00A45E07" w:rsidP="00FE671A">
      <w:r>
        <w:t>This document has made the following observations:</w:t>
      </w:r>
    </w:p>
    <w:p w14:paraId="33E5EF6C" w14:textId="77777777" w:rsidR="00F46BBA" w:rsidRPr="00E437B1" w:rsidRDefault="00F46BBA" w:rsidP="00FE671A">
      <w:pPr>
        <w:rPr>
          <w:b/>
        </w:rPr>
      </w:pPr>
      <w:r w:rsidRPr="00E437B1">
        <w:rPr>
          <w:b/>
        </w:rPr>
        <w:t>Observation</w:t>
      </w:r>
      <w:r>
        <w:rPr>
          <w:b/>
        </w:rPr>
        <w:t xml:space="preserve"> 1</w:t>
      </w:r>
      <w:r w:rsidRPr="00E437B1">
        <w:rPr>
          <w:b/>
        </w:rPr>
        <w:t>: The inference-related parameters suggested by RAN1, including any</w:t>
      </w:r>
      <w:r>
        <w:rPr>
          <w:b/>
        </w:rPr>
        <w:t xml:space="preserve"> configurations</w:t>
      </w:r>
      <w:r w:rsidRPr="00E437B1">
        <w:rPr>
          <w:b/>
        </w:rPr>
        <w:t xml:space="preserve"> that will be added for </w:t>
      </w:r>
      <w:r>
        <w:rPr>
          <w:b/>
        </w:rPr>
        <w:t>beam prediction</w:t>
      </w:r>
      <w:r w:rsidRPr="00E437B1">
        <w:rPr>
          <w:b/>
        </w:rPr>
        <w:t xml:space="preserve">, will be </w:t>
      </w:r>
      <w:r>
        <w:rPr>
          <w:b/>
        </w:rPr>
        <w:t>included</w:t>
      </w:r>
      <w:r w:rsidRPr="00E437B1">
        <w:rPr>
          <w:b/>
        </w:rPr>
        <w:t xml:space="preserve"> in </w:t>
      </w:r>
      <w:r w:rsidRPr="00E437B1">
        <w:rPr>
          <w:b/>
          <w:i/>
        </w:rPr>
        <w:t>CSI-ReportConfig</w:t>
      </w:r>
      <w:r w:rsidRPr="00E437B1">
        <w:rPr>
          <w:b/>
        </w:rPr>
        <w:t>.</w:t>
      </w:r>
    </w:p>
    <w:p w14:paraId="2A9143EE" w14:textId="77777777" w:rsidR="00F46BBA" w:rsidRPr="00712254" w:rsidRDefault="00F46BBA" w:rsidP="00FE671A">
      <w:pPr>
        <w:rPr>
          <w:b/>
        </w:rPr>
      </w:pPr>
      <w:r w:rsidRPr="00712254">
        <w:rPr>
          <w:b/>
        </w:rPr>
        <w:lastRenderedPageBreak/>
        <w:t>Observation</w:t>
      </w:r>
      <w:r>
        <w:rPr>
          <w:b/>
        </w:rPr>
        <w:t xml:space="preserve"> 2</w:t>
      </w:r>
      <w:r w:rsidRPr="00712254">
        <w:rPr>
          <w:b/>
        </w:rPr>
        <w:t xml:space="preserve">: A poorly performing </w:t>
      </w:r>
      <w:r>
        <w:rPr>
          <w:b/>
        </w:rPr>
        <w:t>inference</w:t>
      </w:r>
      <w:r w:rsidRPr="00712254">
        <w:rPr>
          <w:b/>
        </w:rPr>
        <w:t xml:space="preserve"> configuration could consistently perform poorly because the applicability determination procedure is unable to account for unforeseen factors which could impact model performance.</w:t>
      </w:r>
    </w:p>
    <w:p w14:paraId="55427CC0" w14:textId="77777777" w:rsidR="00F46BBA" w:rsidRDefault="00F46BBA" w:rsidP="00FE671A">
      <w:pPr>
        <w:rPr>
          <w:b/>
          <w:bCs/>
        </w:rPr>
      </w:pPr>
      <w:r>
        <w:rPr>
          <w:b/>
          <w:bCs/>
        </w:rPr>
        <w:t>Observation 3: An indication of poor performance when reconfiguring a UE configured with an inference configuration could be used by the UE to help determine applicability of a configuration.</w:t>
      </w:r>
    </w:p>
    <w:p w14:paraId="2A89A78F" w14:textId="77777777" w:rsidR="00F46BBA" w:rsidRPr="00AE41CB" w:rsidRDefault="00F46BBA" w:rsidP="00FE671A">
      <w:pPr>
        <w:rPr>
          <w:rFonts w:eastAsia="MS Mincho" w:cstheme="minorBidi"/>
          <w:b/>
        </w:rPr>
      </w:pPr>
      <w:r w:rsidRPr="00AE41CB">
        <w:rPr>
          <w:rStyle w:val="cf11"/>
          <w:rFonts w:asciiTheme="majorBidi" w:eastAsia="MS Mincho" w:hAnsiTheme="majorBidi" w:cstheme="majorBidi"/>
          <w:b/>
          <w:sz w:val="20"/>
          <w:szCs w:val="20"/>
        </w:rPr>
        <w:t>Observation</w:t>
      </w:r>
      <w:r>
        <w:rPr>
          <w:rStyle w:val="cf11"/>
          <w:rFonts w:asciiTheme="majorBidi" w:eastAsia="MS Mincho" w:hAnsiTheme="majorBidi" w:cstheme="majorBidi"/>
          <w:b/>
          <w:sz w:val="20"/>
          <w:szCs w:val="20"/>
        </w:rPr>
        <w:t xml:space="preserve"> 4</w:t>
      </w:r>
      <w:r w:rsidRPr="00AE41CB">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An active beam prediction configuration may become inapplicable after it is activated. During this time, the outputs of the model enabling the configuration could be unreliable or ambiguous</w:t>
      </w:r>
      <w:r w:rsidRPr="00AE41CB">
        <w:rPr>
          <w:rFonts w:cstheme="minorBidi"/>
          <w:b/>
        </w:rPr>
        <w:t>.</w:t>
      </w:r>
    </w:p>
    <w:p w14:paraId="6F1C834C" w14:textId="2B00CBDF" w:rsidR="00F46BBA" w:rsidRPr="00FE671A" w:rsidRDefault="00F46BBA" w:rsidP="00FE671A">
      <w:pPr>
        <w:rPr>
          <w:b/>
          <w:bCs/>
        </w:rPr>
      </w:pPr>
      <w:r w:rsidRPr="009D4A6E">
        <w:rPr>
          <w:b/>
          <w:bCs/>
        </w:rPr>
        <w:t>Observation</w:t>
      </w:r>
      <w:r>
        <w:rPr>
          <w:b/>
          <w:bCs/>
        </w:rPr>
        <w:t xml:space="preserve"> 5:</w:t>
      </w:r>
      <w:r w:rsidRPr="009D4A6E">
        <w:rPr>
          <w:b/>
          <w:bCs/>
        </w:rPr>
        <w:t xml:space="preserve"> </w:t>
      </w:r>
      <w:r w:rsidRPr="00ED68D0">
        <w:rPr>
          <w:b/>
          <w:bCs/>
        </w:rPr>
        <w:t xml:space="preserve">Because the performance of </w:t>
      </w:r>
      <w:r>
        <w:rPr>
          <w:b/>
          <w:bCs/>
        </w:rPr>
        <w:t>a</w:t>
      </w:r>
      <w:r w:rsidRPr="00ED68D0">
        <w:rPr>
          <w:b/>
          <w:bCs/>
        </w:rPr>
        <w:t xml:space="preserve"> </w:t>
      </w:r>
      <w:r>
        <w:rPr>
          <w:b/>
          <w:bCs/>
        </w:rPr>
        <w:t>beam prediction</w:t>
      </w:r>
      <w:r w:rsidRPr="00ED68D0">
        <w:rPr>
          <w:b/>
          <w:bCs/>
        </w:rPr>
        <w:t xml:space="preserve"> configuration </w:t>
      </w:r>
      <w:r>
        <w:rPr>
          <w:b/>
          <w:bCs/>
        </w:rPr>
        <w:t>could have been</w:t>
      </w:r>
      <w:r w:rsidRPr="00ED68D0">
        <w:rPr>
          <w:b/>
          <w:bCs/>
        </w:rPr>
        <w:t xml:space="preserve"> satisfactory prior to the decision to fall back, it could be reasonably assumed that the AI/ML </w:t>
      </w:r>
      <w:r>
        <w:rPr>
          <w:b/>
          <w:bCs/>
        </w:rPr>
        <w:t>configuration</w:t>
      </w:r>
      <w:r w:rsidRPr="00ED68D0">
        <w:rPr>
          <w:b/>
          <w:bCs/>
        </w:rPr>
        <w:t xml:space="preserve"> will perform well once again.</w:t>
      </w:r>
    </w:p>
    <w:p w14:paraId="742B85B4" w14:textId="77777777" w:rsidR="00A45E07" w:rsidRDefault="00A45E07" w:rsidP="00FE671A">
      <w:pPr>
        <w:rPr>
          <w:bCs/>
        </w:rPr>
      </w:pPr>
      <w:r>
        <w:rPr>
          <w:bCs/>
        </w:rPr>
        <w:t>And the following</w:t>
      </w:r>
      <w:r>
        <w:t xml:space="preserve"> proposals</w:t>
      </w:r>
      <w:r>
        <w:rPr>
          <w:bCs/>
        </w:rPr>
        <w:t>:</w:t>
      </w:r>
    </w:p>
    <w:p w14:paraId="16F60AAE" w14:textId="77777777" w:rsidR="00F46BBA" w:rsidRPr="000B6897" w:rsidRDefault="00F46BBA" w:rsidP="00FE671A">
      <w:pPr>
        <w:rPr>
          <w:b/>
          <w:bCs/>
        </w:rPr>
      </w:pPr>
      <w:r w:rsidRPr="000B6897">
        <w:rPr>
          <w:b/>
          <w:bCs/>
        </w:rPr>
        <w:t>Proposal</w:t>
      </w:r>
      <w:r>
        <w:rPr>
          <w:b/>
          <w:bCs/>
        </w:rPr>
        <w:t xml:space="preserve"> 1</w:t>
      </w:r>
      <w:r w:rsidRPr="000B6897">
        <w:rPr>
          <w:b/>
          <w:bCs/>
        </w:rPr>
        <w:t xml:space="preserve">: </w:t>
      </w:r>
      <w:r w:rsidRPr="000B6897">
        <w:rPr>
          <w:b/>
          <w:i/>
        </w:rPr>
        <w:t>CSI-ReportConfig</w:t>
      </w:r>
      <w:r>
        <w:rPr>
          <w:b/>
          <w:bCs/>
        </w:rPr>
        <w:t xml:space="preserve">, included in </w:t>
      </w:r>
      <w:r>
        <w:rPr>
          <w:b/>
          <w:bCs/>
          <w:i/>
          <w:iCs/>
        </w:rPr>
        <w:t xml:space="preserve">CSI-MeasConfig </w:t>
      </w:r>
      <w:r>
        <w:rPr>
          <w:b/>
          <w:bCs/>
        </w:rPr>
        <w:t xml:space="preserve">-&gt; </w:t>
      </w:r>
      <w:r>
        <w:rPr>
          <w:b/>
          <w:bCs/>
          <w:i/>
          <w:iCs/>
        </w:rPr>
        <w:t>csi-ReportConfigToAddModList</w:t>
      </w:r>
      <w:r>
        <w:rPr>
          <w:b/>
          <w:bCs/>
        </w:rPr>
        <w:t>,</w:t>
      </w:r>
      <w:r w:rsidRPr="000B6897">
        <w:rPr>
          <w:b/>
          <w:bCs/>
        </w:rPr>
        <w:t xml:space="preserve"> is used to transmit </w:t>
      </w:r>
      <w:r>
        <w:rPr>
          <w:b/>
          <w:bCs/>
        </w:rPr>
        <w:t xml:space="preserve">one or multiple sets </w:t>
      </w:r>
      <w:r w:rsidRPr="000B6897">
        <w:rPr>
          <w:b/>
          <w:bCs/>
        </w:rPr>
        <w:t>inference-related parameters for beam prediction.</w:t>
      </w:r>
    </w:p>
    <w:p w14:paraId="5CCC32A0" w14:textId="77777777" w:rsidR="00F46BBA" w:rsidRPr="000B6897" w:rsidRDefault="00F46BBA" w:rsidP="00FE671A">
      <w:pPr>
        <w:rPr>
          <w:b/>
          <w:bCs/>
        </w:rPr>
      </w:pPr>
      <w:r w:rsidRPr="000B6897">
        <w:rPr>
          <w:b/>
          <w:bCs/>
        </w:rPr>
        <w:t>Proposal</w:t>
      </w:r>
      <w:r>
        <w:rPr>
          <w:b/>
          <w:bCs/>
        </w:rPr>
        <w:t xml:space="preserve"> 2</w:t>
      </w:r>
      <w:r w:rsidRPr="000B6897">
        <w:rPr>
          <w:b/>
          <w:bCs/>
        </w:rPr>
        <w:t xml:space="preserve">: Add a flag to </w:t>
      </w:r>
      <w:r w:rsidRPr="000B6897">
        <w:rPr>
          <w:b/>
          <w:bCs/>
          <w:i/>
          <w:iCs/>
        </w:rPr>
        <w:t>CSI-ReportConfig</w:t>
      </w:r>
      <w:r w:rsidRPr="000B6897">
        <w:rPr>
          <w:b/>
          <w:bCs/>
        </w:rPr>
        <w:t xml:space="preserve"> to indicate that a configuration contains</w:t>
      </w:r>
      <w:r>
        <w:rPr>
          <w:b/>
          <w:bCs/>
        </w:rPr>
        <w:t xml:space="preserve"> one or multiple sets of</w:t>
      </w:r>
      <w:r w:rsidRPr="000B6897">
        <w:rPr>
          <w:b/>
          <w:bCs/>
        </w:rPr>
        <w:t xml:space="preserve"> inference-related parameters instead of a full configuration. This flag could </w:t>
      </w:r>
      <w:r>
        <w:rPr>
          <w:b/>
          <w:bCs/>
        </w:rPr>
        <w:t>also</w:t>
      </w:r>
      <w:r w:rsidRPr="000B6897">
        <w:rPr>
          <w:b/>
          <w:bCs/>
        </w:rPr>
        <w:t xml:space="preserve"> </w:t>
      </w:r>
      <w:r>
        <w:rPr>
          <w:b/>
          <w:bCs/>
        </w:rPr>
        <w:t xml:space="preserve">be used </w:t>
      </w:r>
      <w:r w:rsidRPr="000B6897">
        <w:rPr>
          <w:b/>
          <w:bCs/>
        </w:rPr>
        <w:t xml:space="preserve"> as an indication that the configuration is subject to the applicability determination procedure.</w:t>
      </w:r>
    </w:p>
    <w:p w14:paraId="5B35B1FC" w14:textId="1D8F5C7D" w:rsidR="00F46BBA" w:rsidRPr="00CE2FD7" w:rsidRDefault="00F46BBA" w:rsidP="00FE671A">
      <w:r>
        <w:rPr>
          <w:b/>
          <w:bCs/>
        </w:rPr>
        <w:t>Proposal</w:t>
      </w:r>
      <w:r>
        <w:rPr>
          <w:b/>
          <w:bCs/>
        </w:rPr>
        <w:t xml:space="preserve"> </w:t>
      </w:r>
      <w:r>
        <w:rPr>
          <w:b/>
          <w:bCs/>
        </w:rPr>
        <w:t xml:space="preserve">3: As an </w:t>
      </w:r>
      <w:r>
        <w:rPr>
          <w:b/>
          <w:iCs/>
        </w:rPr>
        <w:t>a</w:t>
      </w:r>
      <w:r w:rsidRPr="000B6897">
        <w:rPr>
          <w:b/>
          <w:iCs/>
        </w:rPr>
        <w:t>lternative</w:t>
      </w:r>
      <w:r>
        <w:rPr>
          <w:b/>
          <w:iCs/>
        </w:rPr>
        <w:t xml:space="preserve"> to providing inference-related parameters in </w:t>
      </w:r>
      <w:r>
        <w:rPr>
          <w:b/>
          <w:i/>
        </w:rPr>
        <w:t>CSI-MeasConfig</w:t>
      </w:r>
      <w:r>
        <w:rPr>
          <w:b/>
          <w:iCs/>
        </w:rPr>
        <w:t xml:space="preserve"> -&gt; </w:t>
      </w:r>
      <w:r>
        <w:rPr>
          <w:b/>
          <w:i/>
        </w:rPr>
        <w:t>csi-ReportConfigToAddModList</w:t>
      </w:r>
      <w:r>
        <w:rPr>
          <w:b/>
          <w:bCs/>
          <w:iCs/>
        </w:rPr>
        <w:t xml:space="preserve">, a new list of </w:t>
      </w:r>
      <w:r>
        <w:rPr>
          <w:b/>
          <w:bCs/>
          <w:i/>
        </w:rPr>
        <w:t>CSI-ReportConfigs</w:t>
      </w:r>
      <w:r>
        <w:rPr>
          <w:b/>
          <w:bCs/>
          <w:iCs/>
        </w:rPr>
        <w:t xml:space="preserve"> containing inference-related parameters could be defined.</w:t>
      </w:r>
    </w:p>
    <w:p w14:paraId="53843CE4" w14:textId="77777777" w:rsidR="00F46BBA" w:rsidRDefault="00F46BBA" w:rsidP="00FE671A">
      <w:pPr>
        <w:rPr>
          <w:b/>
          <w:bCs/>
        </w:rPr>
      </w:pPr>
      <w:r w:rsidRPr="000B6897">
        <w:rPr>
          <w:b/>
          <w:bCs/>
        </w:rPr>
        <w:t>Proposal</w:t>
      </w:r>
      <w:r>
        <w:rPr>
          <w:b/>
          <w:bCs/>
        </w:rPr>
        <w:t xml:space="preserve"> 4</w:t>
      </w:r>
      <w:r w:rsidRPr="000B6897">
        <w:rPr>
          <w:b/>
          <w:bCs/>
        </w:rPr>
        <w:t xml:space="preserve">: </w:t>
      </w:r>
      <w:r>
        <w:rPr>
          <w:b/>
          <w:bCs/>
        </w:rPr>
        <w:t>To allow future proof extensibility, a</w:t>
      </w:r>
      <w:r w:rsidRPr="000B6897">
        <w:rPr>
          <w:b/>
          <w:bCs/>
        </w:rPr>
        <w:t xml:space="preserve">dopt the structure of alternative 1 or alternative 2 of </w:t>
      </w:r>
      <w:r w:rsidRPr="000B6897">
        <w:rPr>
          <w:b/>
          <w:bCs/>
          <w:i/>
          <w:iCs/>
        </w:rPr>
        <w:t>the ApplicabilityReport-r19</w:t>
      </w:r>
      <w:r w:rsidRPr="000B6897">
        <w:rPr>
          <w:b/>
          <w:bCs/>
        </w:rPr>
        <w:t xml:space="preserve"> and its inclusion in </w:t>
      </w:r>
      <w:r w:rsidRPr="000B6897">
        <w:rPr>
          <w:b/>
          <w:bCs/>
          <w:i/>
          <w:iCs/>
        </w:rPr>
        <w:t>UEAssistanceInformation-v1900-IEs</w:t>
      </w:r>
      <w:r w:rsidRPr="000B6897">
        <w:rPr>
          <w:b/>
          <w:bCs/>
        </w:rPr>
        <w:t xml:space="preserve"> and </w:t>
      </w:r>
      <w:r w:rsidRPr="000B6897">
        <w:rPr>
          <w:b/>
          <w:bCs/>
          <w:i/>
          <w:iCs/>
        </w:rPr>
        <w:t>RRCReconfigurationComplete-v1900-IEs</w:t>
      </w:r>
      <w:r w:rsidRPr="000B6897">
        <w:rPr>
          <w:b/>
          <w:bCs/>
        </w:rPr>
        <w:t>.</w:t>
      </w:r>
    </w:p>
    <w:p w14:paraId="2A5B145D" w14:textId="77777777" w:rsidR="00F46BBA" w:rsidRPr="00A13518" w:rsidRDefault="00F46BBA" w:rsidP="00FE671A">
      <w:pPr>
        <w:pStyle w:val="EditorsNote"/>
        <w:ind w:left="0" w:firstLine="0"/>
        <w:rPr>
          <w:b/>
          <w:bCs/>
          <w:color w:val="auto"/>
        </w:rPr>
      </w:pPr>
      <w:r w:rsidRPr="00A13518">
        <w:rPr>
          <w:b/>
          <w:bCs/>
          <w:color w:val="auto"/>
        </w:rPr>
        <w:t>Proposal</w:t>
      </w:r>
      <w:r>
        <w:rPr>
          <w:b/>
          <w:bCs/>
          <w:color w:val="auto"/>
        </w:rPr>
        <w:t xml:space="preserve"> 5</w:t>
      </w:r>
      <w:r w:rsidRPr="00A13518">
        <w:rPr>
          <w:b/>
          <w:bCs/>
          <w:color w:val="auto"/>
        </w:rPr>
        <w:t xml:space="preserve">: The </w:t>
      </w:r>
      <w:r w:rsidRPr="00A13518">
        <w:rPr>
          <w:b/>
          <w:bCs/>
          <w:i/>
          <w:iCs/>
          <w:color w:val="auto"/>
        </w:rPr>
        <w:t>applicabilityCellId-r19</w:t>
      </w:r>
      <w:r w:rsidRPr="00A13518">
        <w:rPr>
          <w:b/>
          <w:bCs/>
          <w:color w:val="auto"/>
        </w:rPr>
        <w:t xml:space="preserve"> corresponds to the PCell or</w:t>
      </w:r>
      <w:r>
        <w:rPr>
          <w:b/>
          <w:bCs/>
          <w:color w:val="auto"/>
        </w:rPr>
        <w:t xml:space="preserve"> to the</w:t>
      </w:r>
      <w:r w:rsidRPr="00A13518">
        <w:rPr>
          <w:b/>
          <w:bCs/>
          <w:color w:val="auto"/>
        </w:rPr>
        <w:t xml:space="preserve"> SCellIndex corresponding to the configuration upon which applicability is being reported. The range of </w:t>
      </w:r>
      <w:r w:rsidRPr="00A13518">
        <w:rPr>
          <w:b/>
          <w:bCs/>
          <w:i/>
          <w:iCs/>
          <w:color w:val="auto"/>
        </w:rPr>
        <w:t>applicabilityCellId-r19</w:t>
      </w:r>
      <w:r w:rsidRPr="00A13518">
        <w:rPr>
          <w:b/>
          <w:bCs/>
          <w:color w:val="auto"/>
        </w:rPr>
        <w:t xml:space="preserve"> is 0 to </w:t>
      </w:r>
      <w:r w:rsidRPr="00A13518">
        <w:rPr>
          <w:b/>
          <w:bCs/>
          <w:i/>
          <w:iCs/>
          <w:color w:val="auto"/>
        </w:rPr>
        <w:t>maxNrOfSCells</w:t>
      </w:r>
      <w:r w:rsidRPr="00A13518">
        <w:rPr>
          <w:b/>
          <w:bCs/>
          <w:color w:val="auto"/>
        </w:rPr>
        <w:t>, where 0 indicates the PCell.</w:t>
      </w:r>
    </w:p>
    <w:p w14:paraId="54D12A15" w14:textId="77777777" w:rsidR="00F46BBA" w:rsidRPr="00B03554" w:rsidRDefault="00F46BBA" w:rsidP="00FE671A">
      <w:pPr>
        <w:tabs>
          <w:tab w:val="left" w:pos="5387"/>
        </w:tabs>
      </w:pPr>
      <w:r w:rsidRPr="00E437B1">
        <w:rPr>
          <w:b/>
        </w:rPr>
        <w:t>Proposal</w:t>
      </w:r>
      <w:r>
        <w:rPr>
          <w:b/>
        </w:rPr>
        <w:t xml:space="preserve"> 6</w:t>
      </w:r>
      <w:r w:rsidRPr="00E437B1">
        <w:rPr>
          <w:b/>
        </w:rPr>
        <w:t>: The modification of a full inference configuration or set of inference-related parameters triggers an applicability determination and reporting procedure.</w:t>
      </w:r>
    </w:p>
    <w:p w14:paraId="0977F064" w14:textId="77777777" w:rsidR="00F46BBA" w:rsidRDefault="00F46BBA" w:rsidP="00FE671A">
      <w:pPr>
        <w:rPr>
          <w:b/>
          <w:bCs/>
        </w:rPr>
      </w:pPr>
      <w:r>
        <w:rPr>
          <w:b/>
          <w:bCs/>
        </w:rPr>
        <w:t>Proposal 7: The NW can provide a cause with reconfiguration, e.g., modifying or removing an inference configuration, including that the configuration performed poorly.</w:t>
      </w:r>
    </w:p>
    <w:p w14:paraId="2FDB611D" w14:textId="77777777" w:rsidR="00F46BBA" w:rsidRPr="00E40CDC" w:rsidRDefault="00F46BBA" w:rsidP="00FE671A">
      <w:pPr>
        <w:rPr>
          <w:rStyle w:val="cf11"/>
          <w:rFonts w:asciiTheme="majorBidi" w:eastAsia="MS Mincho" w:hAnsiTheme="majorBidi" w:cstheme="majorBidi"/>
          <w:b/>
          <w:bCs/>
          <w:sz w:val="20"/>
          <w:szCs w:val="20"/>
        </w:rPr>
      </w:pPr>
      <w:r w:rsidRPr="5C4B4485">
        <w:rPr>
          <w:rStyle w:val="cf11"/>
          <w:rFonts w:asciiTheme="majorBidi" w:eastAsia="MS Mincho" w:hAnsiTheme="majorBidi" w:cstheme="majorBidi"/>
          <w:b/>
          <w:bCs/>
          <w:sz w:val="20"/>
          <w:szCs w:val="20"/>
        </w:rPr>
        <w:t xml:space="preserve">Proposal </w:t>
      </w:r>
      <w:r>
        <w:rPr>
          <w:rStyle w:val="cf11"/>
          <w:rFonts w:asciiTheme="majorBidi" w:eastAsia="MS Mincho" w:hAnsiTheme="majorBidi" w:cstheme="majorBidi"/>
          <w:b/>
          <w:bCs/>
          <w:sz w:val="20"/>
          <w:szCs w:val="20"/>
        </w:rPr>
        <w:t>8</w:t>
      </w:r>
      <w:r w:rsidRPr="5C4B4485">
        <w:rPr>
          <w:rStyle w:val="cf11"/>
          <w:rFonts w:asciiTheme="majorBidi" w:eastAsia="MS Mincho" w:hAnsiTheme="majorBidi" w:cstheme="majorBidi"/>
          <w:b/>
          <w:bCs/>
          <w:sz w:val="20"/>
          <w:szCs w:val="20"/>
        </w:rPr>
        <w:t xml:space="preserve"> When an active beam prediction configuration becomes inapplicable, the UE shall suspend the transmission of Set A beam predictions and report Set B measurements corresponding to the newly inapplicable, activated beam prediction inference configuration until the UE is reconfigured by the NW.</w:t>
      </w:r>
    </w:p>
    <w:p w14:paraId="0E295D8B" w14:textId="77777777" w:rsidR="00F46BBA" w:rsidRDefault="00F46BBA" w:rsidP="00FE671A">
      <w:pPr>
        <w:rPr>
          <w:rStyle w:val="cf11"/>
          <w:rFonts w:asciiTheme="majorBidi" w:eastAsia="MS Mincho" w:hAnsiTheme="majorBidi" w:cstheme="majorBidi"/>
          <w:b/>
          <w:sz w:val="20"/>
          <w:szCs w:val="20"/>
        </w:rPr>
      </w:pPr>
      <w:r w:rsidRPr="00081DED">
        <w:rPr>
          <w:rStyle w:val="cf11"/>
          <w:rFonts w:asciiTheme="majorBidi" w:eastAsia="MS Mincho" w:hAnsiTheme="majorBidi" w:cstheme="majorBidi"/>
          <w:b/>
          <w:sz w:val="20"/>
          <w:szCs w:val="20"/>
        </w:rPr>
        <w:t>Proposal</w:t>
      </w:r>
      <w:r>
        <w:rPr>
          <w:rStyle w:val="cf11"/>
          <w:rFonts w:asciiTheme="majorBidi" w:eastAsia="MS Mincho" w:hAnsiTheme="majorBidi" w:cstheme="majorBidi"/>
          <w:b/>
          <w:sz w:val="20"/>
          <w:szCs w:val="20"/>
        </w:rPr>
        <w:t xml:space="preserve"> 9:</w:t>
      </w:r>
      <w:r w:rsidRPr="00081DED">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 xml:space="preserve">RAN2 to endorse Proposal 8 within Applicability Reporting Clause for Stage 3 running CR (changes are highlighted in </w:t>
      </w:r>
      <w:r w:rsidRPr="00A13518">
        <w:rPr>
          <w:rStyle w:val="cf11"/>
          <w:rFonts w:asciiTheme="majorBidi" w:eastAsia="MS Mincho" w:hAnsiTheme="majorBidi" w:cstheme="majorBidi"/>
          <w:b/>
          <w:color w:val="ED7D31" w:themeColor="accent2"/>
          <w:sz w:val="20"/>
          <w:szCs w:val="20"/>
        </w:rPr>
        <w:t>orange in Section 7</w:t>
      </w:r>
      <w:r>
        <w:rPr>
          <w:rStyle w:val="cf11"/>
          <w:rFonts w:asciiTheme="majorBidi" w:eastAsia="MS Mincho" w:hAnsiTheme="majorBidi" w:cstheme="majorBidi"/>
          <w:b/>
          <w:sz w:val="20"/>
          <w:szCs w:val="20"/>
        </w:rPr>
        <w:t>).</w:t>
      </w:r>
    </w:p>
    <w:p w14:paraId="45C6DA0F" w14:textId="77777777" w:rsidR="00F46BBA" w:rsidRDefault="00F46BBA" w:rsidP="00FE671A">
      <w:r w:rsidRPr="00E437B1">
        <w:rPr>
          <w:b/>
        </w:rPr>
        <w:t>Proposal</w:t>
      </w:r>
      <w:r>
        <w:rPr>
          <w:b/>
        </w:rPr>
        <w:t xml:space="preserve"> 10</w:t>
      </w:r>
      <w:r w:rsidRPr="00E437B1">
        <w:rPr>
          <w:b/>
        </w:rPr>
        <w:t xml:space="preserve">: </w:t>
      </w:r>
      <w:r>
        <w:rPr>
          <w:b/>
        </w:rPr>
        <w:t>Discuss whether during</w:t>
      </w:r>
      <w:r w:rsidRPr="00E437B1">
        <w:rPr>
          <w:b/>
        </w:rPr>
        <w:t xml:space="preserve"> fallback </w:t>
      </w:r>
      <w:r>
        <w:rPr>
          <w:b/>
        </w:rPr>
        <w:t>if the UE can be configured to report inference outputs, e.g., at a lower periodicity, of a configuration which performed poorly after initially performing well</w:t>
      </w:r>
      <w:r w:rsidRPr="00E437B1">
        <w:rPr>
          <w:b/>
        </w:rPr>
        <w:t xml:space="preserve"> to aid the NW in exiting fallback. </w:t>
      </w:r>
    </w:p>
    <w:p w14:paraId="06CAB038" w14:textId="5AC8D859" w:rsidR="00FE671A" w:rsidRDefault="00F46BBA" w:rsidP="00A45E07">
      <w:pPr>
        <w:rPr>
          <w:b/>
          <w:bCs/>
        </w:rPr>
      </w:pPr>
      <w:r w:rsidRPr="0073213C">
        <w:rPr>
          <w:b/>
          <w:bCs/>
        </w:rPr>
        <w:t xml:space="preserve">Proposal </w:t>
      </w:r>
      <w:r>
        <w:rPr>
          <w:b/>
          <w:bCs/>
        </w:rPr>
        <w:t>11</w:t>
      </w:r>
      <w:r w:rsidRPr="0073213C">
        <w:rPr>
          <w:b/>
          <w:bCs/>
        </w:rPr>
        <w:t xml:space="preserve">: </w:t>
      </w:r>
      <w:r>
        <w:rPr>
          <w:b/>
          <w:bCs/>
        </w:rPr>
        <w:t>RAN2 to a</w:t>
      </w:r>
      <w:r w:rsidRPr="0073213C">
        <w:rPr>
          <w:b/>
          <w:bCs/>
        </w:rPr>
        <w:t>dopt the text proposal of Annex</w:t>
      </w:r>
      <w:r>
        <w:rPr>
          <w:b/>
          <w:bCs/>
        </w:rPr>
        <w:t xml:space="preserve"> in Section 7</w:t>
      </w:r>
      <w:r w:rsidRPr="0073213C">
        <w:rPr>
          <w:b/>
          <w:bCs/>
        </w:rPr>
        <w:t xml:space="preserve"> </w:t>
      </w:r>
      <w:r>
        <w:rPr>
          <w:b/>
          <w:bCs/>
        </w:rPr>
        <w:t>on Applicability Reporting Clause  as</w:t>
      </w:r>
      <w:r w:rsidRPr="0073213C">
        <w:rPr>
          <w:b/>
          <w:bCs/>
        </w:rPr>
        <w:t xml:space="preserve"> </w:t>
      </w:r>
      <w:r>
        <w:rPr>
          <w:b/>
          <w:bCs/>
        </w:rPr>
        <w:t>a Stage 2 specification baseline for</w:t>
      </w:r>
      <w:r w:rsidRPr="0073213C">
        <w:rPr>
          <w:b/>
          <w:bCs/>
        </w:rPr>
        <w:t xml:space="preserve"> the next version </w:t>
      </w:r>
      <w:r>
        <w:rPr>
          <w:b/>
          <w:bCs/>
        </w:rPr>
        <w:t>of</w:t>
      </w:r>
      <w:r w:rsidRPr="0073213C">
        <w:rPr>
          <w:b/>
          <w:bCs/>
        </w:rPr>
        <w:t xml:space="preserve"> the </w:t>
      </w:r>
      <w:r>
        <w:rPr>
          <w:b/>
          <w:bCs/>
        </w:rPr>
        <w:t xml:space="preserve">Stage 2 </w:t>
      </w:r>
      <w:r w:rsidRPr="0073213C">
        <w:rPr>
          <w:b/>
          <w:bCs/>
        </w:rPr>
        <w:t>running CR.</w:t>
      </w:r>
    </w:p>
    <w:p w14:paraId="6620C7CA" w14:textId="77777777" w:rsidR="00FE671A" w:rsidRDefault="00FE671A">
      <w:pPr>
        <w:spacing w:after="0"/>
        <w:rPr>
          <w:b/>
          <w:bCs/>
        </w:rPr>
      </w:pPr>
      <w:r>
        <w:rPr>
          <w:b/>
          <w:bCs/>
        </w:rPr>
        <w:br w:type="page"/>
      </w:r>
    </w:p>
    <w:p w14:paraId="12EAE7E8" w14:textId="4D13F8B1" w:rsidR="00F60018" w:rsidRDefault="000764E9" w:rsidP="000F592C">
      <w:pPr>
        <w:pStyle w:val="Heading1"/>
      </w:pPr>
      <w:r>
        <w:lastRenderedPageBreak/>
        <w:t>7</w:t>
      </w:r>
      <w:r>
        <w:tab/>
        <w:t>Text Proposal for 38.300 Applicability Reporting Procedure</w:t>
      </w:r>
    </w:p>
    <w:p w14:paraId="630BE356" w14:textId="6350E88E" w:rsidR="00CF60BA" w:rsidRPr="00CF60BA" w:rsidRDefault="00CF60BA" w:rsidP="00A13518">
      <w:r>
        <w:t xml:space="preserve">Note: The </w:t>
      </w:r>
      <w:r w:rsidR="00C418CB">
        <w:t xml:space="preserve">changes </w:t>
      </w:r>
      <w:r w:rsidR="00BA1630">
        <w:t xml:space="preserve">in the section below are </w:t>
      </w:r>
      <w:r w:rsidR="00FC4D8B">
        <w:t>on top of the latest available version of the running CR</w:t>
      </w:r>
      <w:r w:rsidR="008F2C56">
        <w:t xml:space="preserve"> [</w:t>
      </w:r>
      <w:r w:rsidR="00F77A03">
        <w:t>3</w:t>
      </w:r>
      <w:r w:rsidR="008F2C56">
        <w:t>]</w:t>
      </w:r>
      <w:r w:rsidR="00FC4D8B">
        <w:t>.</w:t>
      </w:r>
    </w:p>
    <w:p w14:paraId="1E41BBC7" w14:textId="77777777" w:rsidR="000F592C" w:rsidRDefault="000F592C" w:rsidP="00A13518">
      <w:pPr>
        <w:pStyle w:val="Heading4"/>
        <w:ind w:leftChars="90" w:left="1598"/>
        <w:jc w:val="both"/>
      </w:pPr>
      <w:bookmarkStart w:id="1" w:name="_Hlk185319166"/>
      <w:r w:rsidRPr="00961939">
        <w:t>X.Y</w:t>
      </w:r>
      <w:r w:rsidRPr="000C68CE">
        <w:t>.</w:t>
      </w:r>
      <w:r>
        <w:t>2</w:t>
      </w:r>
      <w:r w:rsidRPr="000C68CE">
        <w:t>.</w:t>
      </w:r>
      <w:r>
        <w:t>3</w:t>
      </w:r>
      <w:r w:rsidRPr="000C68CE">
        <w:tab/>
      </w:r>
      <w:r w:rsidRPr="00A551A0">
        <w:rPr>
          <w:rFonts w:eastAsiaTheme="minorEastAsia"/>
          <w:lang w:eastAsia="en-GB"/>
        </w:rPr>
        <w:t>Applicability</w:t>
      </w:r>
      <w:r>
        <w:t xml:space="preserve"> Reporting</w:t>
      </w:r>
    </w:p>
    <w:p w14:paraId="5ACD8687" w14:textId="77777777" w:rsidR="000F592C" w:rsidRPr="00E837C7" w:rsidRDefault="000F592C" w:rsidP="00A13518">
      <w:pPr>
        <w:pStyle w:val="NO"/>
        <w:ind w:leftChars="232" w:left="1315"/>
        <w:jc w:val="both"/>
        <w:rPr>
          <w:i/>
          <w:iCs/>
        </w:rPr>
      </w:pPr>
      <w:r w:rsidRPr="00093CC5">
        <w:rPr>
          <w:i/>
          <w:iCs/>
        </w:rPr>
        <w:t xml:space="preserve">Editor's note: </w:t>
      </w:r>
      <w:r>
        <w:rPr>
          <w:i/>
          <w:iCs/>
        </w:rPr>
        <w:t>The content in this sub-clause will be further refined/update based on further progress.</w:t>
      </w:r>
    </w:p>
    <w:p w14:paraId="19AEBC97" w14:textId="17A6602C" w:rsidR="000F592C" w:rsidRPr="00A76EB1" w:rsidRDefault="000F592C" w:rsidP="00A13518">
      <w:pPr>
        <w:jc w:val="both"/>
        <w:rPr>
          <w:rFonts w:eastAsia="DengXian"/>
        </w:rPr>
      </w:pPr>
      <w:r>
        <w:rPr>
          <w:rFonts w:eastAsia="DengXian"/>
        </w:rPr>
        <w:t>UE indicates its AI/ML capabilities to the Network via UE capability information. The UE may not always have a suitable model to enable a specific configuration related to a AI/ML capability, and thus</w:t>
      </w:r>
      <w:r w:rsidRPr="00A76EB1">
        <w:rPr>
          <w:rFonts w:eastAsia="DengXian"/>
        </w:rPr>
        <w:t xml:space="preserve"> explicitly signal</w:t>
      </w:r>
      <w:r>
        <w:rPr>
          <w:rFonts w:eastAsia="DengXian"/>
        </w:rPr>
        <w:t>s</w:t>
      </w:r>
      <w:r w:rsidRPr="00A76EB1">
        <w:rPr>
          <w:rFonts w:eastAsia="DengXian"/>
        </w:rPr>
        <w:t xml:space="preserve"> </w:t>
      </w:r>
      <w:r>
        <w:rPr>
          <w:rFonts w:eastAsia="DengXian"/>
        </w:rPr>
        <w:t xml:space="preserve">the </w:t>
      </w:r>
      <w:r w:rsidRPr="00A76EB1">
        <w:rPr>
          <w:rFonts w:eastAsia="DengXian"/>
        </w:rPr>
        <w:t>applicab</w:t>
      </w:r>
      <w:r>
        <w:rPr>
          <w:rFonts w:eastAsia="DengXian"/>
        </w:rPr>
        <w:t>ility of</w:t>
      </w:r>
      <w:r w:rsidRPr="00A76EB1">
        <w:rPr>
          <w:rFonts w:eastAsia="DengXian"/>
        </w:rPr>
        <w:t xml:space="preserve"> configuration</w:t>
      </w:r>
      <w:r>
        <w:rPr>
          <w:rFonts w:eastAsia="DengXian"/>
        </w:rPr>
        <w:t>s,</w:t>
      </w:r>
      <w:r w:rsidRPr="00A76EB1">
        <w:rPr>
          <w:rFonts w:eastAsia="DengXian"/>
        </w:rPr>
        <w:t xml:space="preserve"> subject to applicability determination</w:t>
      </w:r>
      <w:r>
        <w:rPr>
          <w:rFonts w:eastAsia="DengXian"/>
        </w:rPr>
        <w:t>. These configurations are related to AI/ML-enabled feature.</w:t>
      </w:r>
      <w:r w:rsidDel="00FA681A">
        <w:rPr>
          <w:rFonts w:eastAsia="DengXian"/>
        </w:rPr>
        <w:t xml:space="preserve"> </w:t>
      </w:r>
      <w:r>
        <w:rPr>
          <w:rFonts w:eastAsia="DengXian"/>
        </w:rPr>
        <w:t>The applicability reporting procedure for a full inference configuration is depicted in Figure X.Y.2.3-1</w:t>
      </w:r>
    </w:p>
    <w:p w14:paraId="5F85B4A3" w14:textId="77777777" w:rsidR="000F592C" w:rsidRPr="00A13518" w:rsidRDefault="000F592C" w:rsidP="00A13518">
      <w:pPr>
        <w:pStyle w:val="EditorsNote"/>
        <w:jc w:val="both"/>
        <w:rPr>
          <w:rFonts w:eastAsia="DengXian"/>
          <w:i/>
          <w:color w:val="auto"/>
        </w:rPr>
      </w:pPr>
      <w:r w:rsidRPr="00A13518">
        <w:rPr>
          <w:rFonts w:eastAsia="DengXian"/>
          <w:i/>
          <w:color w:val="auto"/>
        </w:rPr>
        <w:t>Editor's note: The definition of NW side additional conditions, UE-side additional conditions, the ‘model’ needs to be added.</w:t>
      </w:r>
    </w:p>
    <w:p w14:paraId="276FAB81" w14:textId="77777777" w:rsidR="000F592C" w:rsidRDefault="000F592C" w:rsidP="000F592C">
      <w:pPr>
        <w:pStyle w:val="TH"/>
        <w:rPr>
          <w:rFonts w:eastAsia="DengXian"/>
        </w:rPr>
      </w:pPr>
      <w:r w:rsidRPr="000C68CE">
        <w:rPr>
          <w:rFonts w:eastAsia="Yu Mincho"/>
          <w:noProof/>
        </w:rPr>
        <w:object w:dxaOrig="5685" w:dyaOrig="4620" w14:anchorId="48A3CFC2">
          <v:shape id="_x0000_i1026" type="#_x0000_t75" style="width:3in;height:172.5pt" o:ole="">
            <v:imagedata r:id="rId15" o:title=""/>
          </v:shape>
          <o:OLEObject Type="Embed" ProgID="Mscgen.Chart" ShapeID="_x0000_i1026" DrawAspect="Content" ObjectID="_1804614666" r:id="rId16"/>
        </w:object>
      </w:r>
    </w:p>
    <w:p w14:paraId="021348FC" w14:textId="4627EDF5" w:rsidR="000F592C" w:rsidRPr="00A76EB1" w:rsidRDefault="000F592C" w:rsidP="000F592C">
      <w:pPr>
        <w:pStyle w:val="TF"/>
        <w:rPr>
          <w:rFonts w:eastAsia="DengXian"/>
        </w:rPr>
      </w:pPr>
      <w:r w:rsidRPr="00A76EB1">
        <w:rPr>
          <w:rFonts w:eastAsia="DengXian"/>
        </w:rPr>
        <w:t xml:space="preserve">Figure X.Y.2.3-1: Procedure for applicability reporting </w:t>
      </w:r>
      <w:r>
        <w:rPr>
          <w:rFonts w:eastAsia="DengXian"/>
        </w:rPr>
        <w:t xml:space="preserve">and </w:t>
      </w:r>
      <w:r w:rsidR="00582290">
        <w:rPr>
          <w:rFonts w:eastAsia="DengXian"/>
        </w:rPr>
        <w:t xml:space="preserve">full </w:t>
      </w:r>
      <w:r>
        <w:rPr>
          <w:rFonts w:eastAsia="DengXian"/>
        </w:rPr>
        <w:t>inference configuration</w:t>
      </w:r>
    </w:p>
    <w:p w14:paraId="38E3AC36" w14:textId="77777777" w:rsidR="000F592C" w:rsidRPr="00A76EB1" w:rsidRDefault="000F592C" w:rsidP="00A13518">
      <w:pPr>
        <w:pStyle w:val="B1"/>
        <w:jc w:val="both"/>
        <w:rPr>
          <w:rFonts w:eastAsia="DengXian"/>
        </w:rPr>
      </w:pPr>
      <w:r w:rsidRPr="00A76EB1">
        <w:rPr>
          <w:rFonts w:eastAsia="DengXian"/>
        </w:rPr>
        <w:t>1.</w:t>
      </w:r>
      <w:r>
        <w:rPr>
          <w:rFonts w:eastAsia="DengXian"/>
        </w:rPr>
        <w:tab/>
      </w:r>
      <w:r w:rsidRPr="00A76EB1">
        <w:rPr>
          <w:rFonts w:eastAsia="DengXian"/>
        </w:rPr>
        <w:t>The network provides inference configuration to UE</w:t>
      </w:r>
      <w:r>
        <w:rPr>
          <w:rFonts w:eastAsia="DengXian"/>
        </w:rPr>
        <w:t xml:space="preserve"> in </w:t>
      </w:r>
      <w:r w:rsidRPr="00A13518">
        <w:rPr>
          <w:rFonts w:eastAsia="DengXian"/>
          <w:i/>
          <w:iCs/>
        </w:rPr>
        <w:t>RRCReconfiguration</w:t>
      </w:r>
      <w:r>
        <w:rPr>
          <w:rFonts w:eastAsia="DengXian"/>
        </w:rPr>
        <w:t xml:space="preserve"> message</w:t>
      </w:r>
      <w:r w:rsidRPr="00A76EB1">
        <w:rPr>
          <w:rFonts w:eastAsia="DengXian"/>
        </w:rPr>
        <w:t xml:space="preserve">. </w:t>
      </w:r>
    </w:p>
    <w:p w14:paraId="11526418" w14:textId="77777777" w:rsidR="000F592C" w:rsidRPr="00A76EB1" w:rsidRDefault="000F592C" w:rsidP="00A13518">
      <w:pPr>
        <w:pStyle w:val="B1"/>
        <w:jc w:val="both"/>
        <w:rPr>
          <w:rFonts w:eastAsia="DengXian"/>
        </w:rPr>
      </w:pPr>
      <w:r>
        <w:rPr>
          <w:rFonts w:eastAsia="DengXian"/>
        </w:rPr>
        <w:t>2</w:t>
      </w:r>
      <w:r w:rsidRPr="00A76EB1">
        <w:rPr>
          <w:rFonts w:eastAsia="DengXian"/>
        </w:rPr>
        <w:t>.</w:t>
      </w:r>
      <w:r>
        <w:rPr>
          <w:rFonts w:eastAsia="DengXian"/>
        </w:rPr>
        <w:tab/>
      </w:r>
      <w:r w:rsidRPr="00A76EB1">
        <w:rPr>
          <w:rFonts w:eastAsia="DengXian"/>
        </w:rPr>
        <w:t xml:space="preserve">UE </w:t>
      </w:r>
      <w:r>
        <w:rPr>
          <w:rFonts w:eastAsia="DengXian"/>
        </w:rPr>
        <w:t xml:space="preserve">provides its </w:t>
      </w:r>
      <w:r w:rsidRPr="00A76EB1">
        <w:rPr>
          <w:rFonts w:eastAsia="DengXian"/>
        </w:rPr>
        <w:t>applicability report to the network</w:t>
      </w:r>
      <w:r>
        <w:rPr>
          <w:rFonts w:eastAsia="DengXian"/>
        </w:rPr>
        <w:t xml:space="preserve"> in the </w:t>
      </w:r>
      <w:r w:rsidRPr="00A13518">
        <w:rPr>
          <w:rFonts w:eastAsia="DengXian"/>
          <w:i/>
          <w:iCs/>
        </w:rPr>
        <w:t>RRCReconfigurationComplete</w:t>
      </w:r>
      <w:r w:rsidRPr="00A76EB1">
        <w:rPr>
          <w:rFonts w:eastAsia="DengXian"/>
        </w:rPr>
        <w:t xml:space="preserve"> message.</w:t>
      </w:r>
      <w:r>
        <w:rPr>
          <w:rFonts w:eastAsia="DengXian"/>
        </w:rPr>
        <w:t xml:space="preserve"> </w:t>
      </w:r>
      <w:r w:rsidRPr="00A76EB1">
        <w:rPr>
          <w:rFonts w:eastAsia="DengXian"/>
        </w:rPr>
        <w:t>The UE determines the applicability of the inference configuration based on network-side additional conditions (if provided), UE-side additional conditions, and availability of the model within the UE.</w:t>
      </w:r>
    </w:p>
    <w:p w14:paraId="20D6BA59" w14:textId="60C75608" w:rsidR="000F592C" w:rsidRPr="00A76EB1" w:rsidRDefault="000F592C" w:rsidP="00A13518">
      <w:pPr>
        <w:pStyle w:val="B1"/>
        <w:jc w:val="both"/>
        <w:rPr>
          <w:rFonts w:eastAsia="DengXian"/>
        </w:rPr>
      </w:pPr>
      <w:r>
        <w:rPr>
          <w:rFonts w:eastAsia="DengXian"/>
        </w:rPr>
        <w:t>3</w:t>
      </w:r>
      <w:r w:rsidRPr="00A76EB1">
        <w:rPr>
          <w:rFonts w:eastAsia="DengXian"/>
        </w:rPr>
        <w:t>.</w:t>
      </w:r>
      <w:r>
        <w:rPr>
          <w:rFonts w:eastAsia="DengXian"/>
        </w:rPr>
        <w:tab/>
      </w:r>
      <w:r w:rsidRPr="00A76EB1">
        <w:rPr>
          <w:rFonts w:eastAsia="DengXian"/>
        </w:rPr>
        <w:t xml:space="preserve">The network </w:t>
      </w:r>
      <w:r>
        <w:rPr>
          <w:rFonts w:eastAsia="DengXian"/>
        </w:rPr>
        <w:t>activates one of the applicable inference configurations</w:t>
      </w:r>
      <w:r w:rsidRPr="00A76EB1">
        <w:rPr>
          <w:rFonts w:eastAsia="DengXian"/>
        </w:rPr>
        <w:t>.</w:t>
      </w:r>
      <w:r>
        <w:rPr>
          <w:rFonts w:eastAsia="DengXian"/>
        </w:rPr>
        <w:t xml:space="preserve"> This can happen via RRC Reconfiguration procedure or lower layer signalling. </w:t>
      </w:r>
    </w:p>
    <w:p w14:paraId="68B7A2B3" w14:textId="2F0E4E52" w:rsidR="000F592C" w:rsidRPr="00CB7943" w:rsidRDefault="000F592C" w:rsidP="00A13518">
      <w:pPr>
        <w:pStyle w:val="B1"/>
        <w:jc w:val="both"/>
        <w:rPr>
          <w:rFonts w:eastAsia="DengXian"/>
        </w:rPr>
      </w:pPr>
      <w:r>
        <w:rPr>
          <w:rFonts w:eastAsia="DengXian"/>
        </w:rPr>
        <w:t>4.</w:t>
      </w:r>
      <w:r>
        <w:rPr>
          <w:rFonts w:eastAsia="DengXian"/>
        </w:rPr>
        <w:tab/>
        <w:t xml:space="preserve">Any time after </w:t>
      </w:r>
      <w:r w:rsidR="00496953">
        <w:rPr>
          <w:rFonts w:eastAsia="DengXian"/>
        </w:rPr>
        <w:t>S</w:t>
      </w:r>
      <w:r>
        <w:rPr>
          <w:rFonts w:eastAsia="DengXian"/>
        </w:rPr>
        <w:t>tep 2</w:t>
      </w:r>
      <w:r w:rsidR="00496953">
        <w:rPr>
          <w:rFonts w:eastAsia="DengXian"/>
        </w:rPr>
        <w:t>, once</w:t>
      </w:r>
      <w:r w:rsidRPr="00CB7943">
        <w:rPr>
          <w:rFonts w:eastAsia="DengXian"/>
        </w:rPr>
        <w:t xml:space="preserve"> </w:t>
      </w:r>
      <w:r>
        <w:rPr>
          <w:rFonts w:eastAsia="DengXian"/>
        </w:rPr>
        <w:t>the</w:t>
      </w:r>
      <w:r w:rsidRPr="00CB7943">
        <w:rPr>
          <w:rFonts w:eastAsia="DengXian"/>
        </w:rPr>
        <w:t xml:space="preserve"> applicability of the configuration changes, the UE report</w:t>
      </w:r>
      <w:r>
        <w:rPr>
          <w:rFonts w:eastAsia="DengXian"/>
        </w:rPr>
        <w:t>s the</w:t>
      </w:r>
      <w:r w:rsidRPr="00CB7943">
        <w:rPr>
          <w:rFonts w:eastAsia="DengXian"/>
        </w:rPr>
        <w:t xml:space="preserve"> </w:t>
      </w:r>
      <w:r>
        <w:rPr>
          <w:rFonts w:eastAsia="DengXian"/>
        </w:rPr>
        <w:t xml:space="preserve">change in the </w:t>
      </w:r>
      <w:r w:rsidRPr="00CB7943">
        <w:rPr>
          <w:rFonts w:eastAsia="DengXian"/>
        </w:rPr>
        <w:t xml:space="preserve">applicability </w:t>
      </w:r>
      <w:r>
        <w:rPr>
          <w:rFonts w:eastAsia="DengXian"/>
        </w:rPr>
        <w:t xml:space="preserve">to the network </w:t>
      </w:r>
      <w:r w:rsidR="00E16252">
        <w:rPr>
          <w:rFonts w:eastAsia="DengXian"/>
        </w:rPr>
        <w:t>via</w:t>
      </w:r>
      <w:r>
        <w:rPr>
          <w:rFonts w:eastAsia="DengXian"/>
        </w:rPr>
        <w:t xml:space="preserve"> </w:t>
      </w:r>
      <w:r w:rsidRPr="00A13518">
        <w:rPr>
          <w:rFonts w:eastAsia="DengXian"/>
          <w:i/>
          <w:iCs/>
        </w:rPr>
        <w:t>UEAssistanceInformation</w:t>
      </w:r>
      <w:r w:rsidRPr="00CB7943">
        <w:rPr>
          <w:rFonts w:eastAsia="DengXian"/>
        </w:rPr>
        <w:t xml:space="preserve"> message.</w:t>
      </w:r>
      <w:r>
        <w:rPr>
          <w:rFonts w:eastAsia="DengXian"/>
        </w:rPr>
        <w:t xml:space="preserve"> This message may trigger (e.g., when an active configuration becomes inapplicable) a new inference configuration (</w:t>
      </w:r>
      <w:r w:rsidR="00FE26E2">
        <w:rPr>
          <w:rFonts w:eastAsia="DengXian"/>
        </w:rPr>
        <w:t>S</w:t>
      </w:r>
      <w:r>
        <w:rPr>
          <w:rFonts w:eastAsia="DengXian"/>
        </w:rPr>
        <w:t xml:space="preserve">tep 1) or </w:t>
      </w:r>
      <w:r w:rsidR="00AF414E">
        <w:rPr>
          <w:rFonts w:eastAsia="DengXian"/>
        </w:rPr>
        <w:t>an</w:t>
      </w:r>
      <w:r>
        <w:rPr>
          <w:rFonts w:eastAsia="DengXian"/>
        </w:rPr>
        <w:t xml:space="preserve"> activation </w:t>
      </w:r>
      <w:r w:rsidR="004D794B">
        <w:rPr>
          <w:rFonts w:eastAsia="DengXian"/>
        </w:rPr>
        <w:t xml:space="preserve">of </w:t>
      </w:r>
      <w:r w:rsidR="006C415A">
        <w:rPr>
          <w:rFonts w:eastAsia="DengXian"/>
        </w:rPr>
        <w:t xml:space="preserve">another </w:t>
      </w:r>
      <w:r w:rsidR="004D794B">
        <w:rPr>
          <w:rFonts w:eastAsia="DengXian"/>
        </w:rPr>
        <w:t>inference configuration</w:t>
      </w:r>
      <w:r>
        <w:rPr>
          <w:rFonts w:eastAsia="DengXian"/>
        </w:rPr>
        <w:t xml:space="preserve"> (</w:t>
      </w:r>
      <w:r w:rsidR="00FE26E2">
        <w:rPr>
          <w:rFonts w:eastAsia="DengXian"/>
        </w:rPr>
        <w:t>S</w:t>
      </w:r>
      <w:r>
        <w:rPr>
          <w:rFonts w:eastAsia="DengXian"/>
        </w:rPr>
        <w:t>tep 3).</w:t>
      </w:r>
    </w:p>
    <w:p w14:paraId="2286D14D" w14:textId="77777777" w:rsidR="000F592C" w:rsidRPr="00A13518" w:rsidRDefault="000F592C" w:rsidP="00A13518">
      <w:pPr>
        <w:pStyle w:val="EditorsNote"/>
        <w:jc w:val="both"/>
        <w:rPr>
          <w:i/>
        </w:rPr>
      </w:pPr>
      <w:r w:rsidRPr="00A13518">
        <w:rPr>
          <w:i/>
          <w:color w:val="auto"/>
        </w:rPr>
        <w:t xml:space="preserve">Editor's note: FFS if we report explicit cause of applicability change. </w:t>
      </w:r>
    </w:p>
    <w:p w14:paraId="31263A21" w14:textId="1D080FB5" w:rsidR="004D794B" w:rsidRPr="00E349C6" w:rsidRDefault="004D794B" w:rsidP="004D794B">
      <w:pPr>
        <w:rPr>
          <w:rFonts w:eastAsia="DengXian"/>
        </w:rPr>
      </w:pPr>
      <w:r w:rsidRPr="00E349C6">
        <w:rPr>
          <w:rFonts w:eastAsia="DengXian"/>
        </w:rPr>
        <w:t xml:space="preserve">When provided with periodic CSI configuration consistent with reported UE capabilities, upon reporting the applicable </w:t>
      </w:r>
      <w:r w:rsidR="002E2165">
        <w:rPr>
          <w:rFonts w:eastAsia="DengXian"/>
        </w:rPr>
        <w:t>configurations</w:t>
      </w:r>
      <w:r w:rsidRPr="00E349C6">
        <w:rPr>
          <w:rFonts w:eastAsia="DengXian"/>
        </w:rPr>
        <w:t>, the UE autonomously activates the applicable</w:t>
      </w:r>
      <w:r>
        <w:rPr>
          <w:rFonts w:eastAsia="DengXian"/>
        </w:rPr>
        <w:t xml:space="preserve"> AI/ML</w:t>
      </w:r>
      <w:r w:rsidRPr="00E349C6">
        <w:rPr>
          <w:rFonts w:eastAsia="DengXian"/>
        </w:rPr>
        <w:t xml:space="preserve"> </w:t>
      </w:r>
      <w:r w:rsidR="002E2165">
        <w:rPr>
          <w:rFonts w:eastAsia="DengXian"/>
        </w:rPr>
        <w:t>configurations</w:t>
      </w:r>
      <w:r w:rsidRPr="00E349C6">
        <w:rPr>
          <w:rFonts w:eastAsia="DengXian"/>
        </w:rPr>
        <w:t xml:space="preserve">. </w:t>
      </w:r>
      <w:r w:rsidRPr="00A13518">
        <w:rPr>
          <w:rFonts w:eastAsia="DengXian"/>
          <w:color w:val="ED7D31" w:themeColor="accent2"/>
        </w:rPr>
        <w:t xml:space="preserve">When an activated applicable AI/ML </w:t>
      </w:r>
      <w:r w:rsidR="002E2165">
        <w:rPr>
          <w:rFonts w:eastAsia="DengXian"/>
          <w:color w:val="ED7D31" w:themeColor="accent2"/>
        </w:rPr>
        <w:t>configuration</w:t>
      </w:r>
      <w:r w:rsidRPr="00A13518">
        <w:rPr>
          <w:rFonts w:eastAsia="DengXian"/>
          <w:color w:val="ED7D31" w:themeColor="accent2"/>
        </w:rPr>
        <w:t xml:space="preserve"> with periodic CSI configuration becomes inapplicable, the UE report</w:t>
      </w:r>
      <w:r w:rsidR="00A24A63">
        <w:rPr>
          <w:rFonts w:eastAsia="DengXian"/>
          <w:color w:val="ED7D31" w:themeColor="accent2"/>
        </w:rPr>
        <w:t>s</w:t>
      </w:r>
      <w:r w:rsidRPr="00A13518">
        <w:rPr>
          <w:rFonts w:eastAsia="DengXian"/>
          <w:color w:val="ED7D31" w:themeColor="accent2"/>
        </w:rPr>
        <w:t xml:space="preserve"> only</w:t>
      </w:r>
      <w:r w:rsidR="00A24A63">
        <w:rPr>
          <w:rFonts w:eastAsia="DengXian"/>
          <w:color w:val="ED7D31" w:themeColor="accent2"/>
        </w:rPr>
        <w:t xml:space="preserve"> the</w:t>
      </w:r>
      <w:r w:rsidRPr="00A13518">
        <w:rPr>
          <w:rFonts w:eastAsia="DengXian"/>
          <w:color w:val="ED7D31" w:themeColor="accent2"/>
        </w:rPr>
        <w:t xml:space="preserve"> measured beams </w:t>
      </w:r>
      <w:r w:rsidR="00722EC6">
        <w:rPr>
          <w:rFonts w:eastAsia="DengXian"/>
          <w:color w:val="ED7D31" w:themeColor="accent2"/>
        </w:rPr>
        <w:t>configured in the</w:t>
      </w:r>
      <w:r w:rsidRPr="00A13518">
        <w:rPr>
          <w:rFonts w:eastAsia="DengXian"/>
          <w:color w:val="ED7D31" w:themeColor="accent2"/>
        </w:rPr>
        <w:t xml:space="preserve"> </w:t>
      </w:r>
      <w:r w:rsidR="002E2165">
        <w:rPr>
          <w:rFonts w:eastAsia="DengXian"/>
          <w:color w:val="ED7D31" w:themeColor="accent2"/>
        </w:rPr>
        <w:t>inapplicable</w:t>
      </w:r>
      <w:r w:rsidRPr="00A13518">
        <w:rPr>
          <w:rFonts w:eastAsia="DengXian"/>
          <w:color w:val="ED7D31" w:themeColor="accent2"/>
        </w:rPr>
        <w:t xml:space="preserve"> configuration until the network deactivates or release this activated </w:t>
      </w:r>
      <w:r w:rsidR="002E2165">
        <w:rPr>
          <w:rFonts w:eastAsia="DengXian"/>
          <w:color w:val="ED7D31" w:themeColor="accent2"/>
        </w:rPr>
        <w:t>configuration</w:t>
      </w:r>
      <w:r w:rsidRPr="00A13518">
        <w:rPr>
          <w:rFonts w:eastAsia="DengXian"/>
        </w:rPr>
        <w:t xml:space="preserve">. </w:t>
      </w:r>
      <w:r w:rsidRPr="00E349C6">
        <w:rPr>
          <w:rFonts w:eastAsia="DengXian"/>
        </w:rPr>
        <w:t xml:space="preserve">When provided with semi-persistent CSI and/or aperiodic CSI configuration, upon reporting the applicable </w:t>
      </w:r>
      <w:r>
        <w:rPr>
          <w:rFonts w:eastAsia="DengXian"/>
        </w:rPr>
        <w:t>AI/ML</w:t>
      </w:r>
      <w:r w:rsidRPr="00E349C6">
        <w:rPr>
          <w:rFonts w:eastAsia="DengXian"/>
        </w:rPr>
        <w:t xml:space="preserve"> </w:t>
      </w:r>
      <w:r w:rsidR="002E2165">
        <w:rPr>
          <w:rFonts w:eastAsia="DengXian"/>
        </w:rPr>
        <w:t>configurations</w:t>
      </w:r>
      <w:r w:rsidRPr="00E349C6">
        <w:rPr>
          <w:rFonts w:eastAsia="DengXian"/>
        </w:rPr>
        <w:t xml:space="preserve">, applicable </w:t>
      </w:r>
      <w:r>
        <w:rPr>
          <w:rFonts w:eastAsia="DengXian"/>
        </w:rPr>
        <w:t>AI/ML</w:t>
      </w:r>
      <w:r w:rsidRPr="00E349C6">
        <w:rPr>
          <w:rFonts w:eastAsia="DengXian"/>
        </w:rPr>
        <w:t xml:space="preserve"> </w:t>
      </w:r>
      <w:r w:rsidR="002E2165">
        <w:rPr>
          <w:rFonts w:eastAsia="DengXian"/>
        </w:rPr>
        <w:t>configuration</w:t>
      </w:r>
      <w:r w:rsidRPr="00E349C6">
        <w:rPr>
          <w:rFonts w:eastAsia="DengXian"/>
        </w:rPr>
        <w:t xml:space="preserve"> activation follows the legacy CSI framework, i.e., semi-persistent reporting can be activated by MAC CE/DCI and aperiodic CSI reporting can be activated by DCI.</w:t>
      </w:r>
    </w:p>
    <w:p w14:paraId="20354309" w14:textId="104E8944" w:rsidR="000F592C" w:rsidRDefault="000F592C" w:rsidP="00A13518">
      <w:pPr>
        <w:jc w:val="both"/>
        <w:rPr>
          <w:rFonts w:eastAsia="DengXian"/>
        </w:rPr>
      </w:pPr>
      <w:r w:rsidRPr="00E349C6">
        <w:rPr>
          <w:rFonts w:eastAsia="DengXian"/>
        </w:rPr>
        <w:t xml:space="preserve">When an activated </w:t>
      </w:r>
      <w:r>
        <w:rPr>
          <w:rFonts w:eastAsia="DengXian"/>
        </w:rPr>
        <w:t xml:space="preserve">AI/ML </w:t>
      </w:r>
      <w:r w:rsidR="00054A8A">
        <w:rPr>
          <w:rFonts w:eastAsia="DengXian"/>
        </w:rPr>
        <w:t>configuration</w:t>
      </w:r>
      <w:r w:rsidRPr="00E349C6">
        <w:rPr>
          <w:rFonts w:eastAsia="DengXian"/>
        </w:rPr>
        <w:t xml:space="preserve"> becomes inapplicable, the UE does not autonomously deactivate it</w:t>
      </w:r>
      <w:r>
        <w:rPr>
          <w:rFonts w:eastAsia="DengXian"/>
        </w:rPr>
        <w:t xml:space="preserve">,but indicates to the network the change in the applicability (see </w:t>
      </w:r>
      <w:r w:rsidR="00DD06CE">
        <w:rPr>
          <w:rFonts w:eastAsia="DengXian"/>
        </w:rPr>
        <w:t>S</w:t>
      </w:r>
      <w:r>
        <w:rPr>
          <w:rFonts w:eastAsia="DengXian"/>
        </w:rPr>
        <w:t xml:space="preserve">tep 4 of Figure </w:t>
      </w:r>
      <w:r w:rsidRPr="00A76EB1">
        <w:rPr>
          <w:rFonts w:eastAsia="DengXian"/>
        </w:rPr>
        <w:t>X.Y.2.3-1</w:t>
      </w:r>
      <w:r>
        <w:rPr>
          <w:rFonts w:eastAsia="DengXian"/>
        </w:rPr>
        <w:t>)</w:t>
      </w:r>
      <w:r w:rsidRPr="00E349C6">
        <w:rPr>
          <w:rFonts w:eastAsia="DengXian"/>
        </w:rPr>
        <w:t xml:space="preserve">. Upon reception of UE indication of the </w:t>
      </w:r>
      <w:r w:rsidR="003B5966">
        <w:rPr>
          <w:rFonts w:eastAsia="DengXian"/>
        </w:rPr>
        <w:t>configuration</w:t>
      </w:r>
      <w:r w:rsidRPr="00E349C6">
        <w:rPr>
          <w:rFonts w:eastAsia="DengXian"/>
        </w:rPr>
        <w:t xml:space="preserve"> becoming </w:t>
      </w:r>
      <w:r w:rsidR="003B5966">
        <w:rPr>
          <w:rFonts w:eastAsia="DengXian"/>
        </w:rPr>
        <w:t>in</w:t>
      </w:r>
      <w:r w:rsidRPr="00E349C6">
        <w:rPr>
          <w:rFonts w:eastAsia="DengXian"/>
        </w:rPr>
        <w:t>applicable, the network should deactivate or release this activated</w:t>
      </w:r>
      <w:r w:rsidR="001B252B">
        <w:rPr>
          <w:rFonts w:eastAsia="DengXian"/>
        </w:rPr>
        <w:t xml:space="preserve"> full inference</w:t>
      </w:r>
      <w:r w:rsidRPr="00E349C6">
        <w:rPr>
          <w:rFonts w:eastAsia="DengXian"/>
        </w:rPr>
        <w:t xml:space="preserve"> </w:t>
      </w:r>
      <w:r w:rsidR="00B329E0">
        <w:rPr>
          <w:rFonts w:eastAsia="DengXian"/>
        </w:rPr>
        <w:t>configuration</w:t>
      </w:r>
      <w:r w:rsidRPr="00E349C6">
        <w:rPr>
          <w:rFonts w:eastAsia="DengXian"/>
        </w:rPr>
        <w:t>.</w:t>
      </w:r>
    </w:p>
    <w:p w14:paraId="36597DAC" w14:textId="77777777" w:rsidR="000F592C" w:rsidRPr="00A13518" w:rsidRDefault="000F592C" w:rsidP="00A13518">
      <w:pPr>
        <w:pStyle w:val="EditorsNote"/>
        <w:jc w:val="both"/>
        <w:rPr>
          <w:i/>
        </w:rPr>
      </w:pPr>
      <w:r w:rsidRPr="00A13518">
        <w:rPr>
          <w:i/>
          <w:color w:val="auto"/>
        </w:rPr>
        <w:lastRenderedPageBreak/>
        <w:t>Editor's note: FFS signaling details for option B (e.g.</w:t>
      </w:r>
      <w:r w:rsidRPr="00A13518">
        <w:rPr>
          <w:rFonts w:ascii="SimSun" w:eastAsia="SimSun" w:hAnsi="SimSun" w:cs="SimSun"/>
          <w:i/>
          <w:color w:val="auto"/>
        </w:rPr>
        <w:t>,</w:t>
      </w:r>
      <w:r w:rsidRPr="00A13518">
        <w:rPr>
          <w:i/>
          <w:color w:val="auto"/>
        </w:rPr>
        <w:t xml:space="preserve"> whether it is signaling in CSI-Report Config or otherconfig) and activation.</w:t>
      </w:r>
    </w:p>
    <w:p w14:paraId="2236FB50" w14:textId="13813633" w:rsidR="000F592C" w:rsidRPr="00355810" w:rsidRDefault="000F592C" w:rsidP="00A13518">
      <w:pPr>
        <w:jc w:val="both"/>
        <w:rPr>
          <w:rFonts w:eastAsia="DengXian"/>
        </w:rPr>
      </w:pPr>
      <w:r>
        <w:rPr>
          <w:rFonts w:eastAsia="DengXian"/>
        </w:rPr>
        <w:t xml:space="preserve">During handover, </w:t>
      </w:r>
      <w:r w:rsidRPr="004B3F12">
        <w:rPr>
          <w:rFonts w:eastAsia="DengXian"/>
        </w:rPr>
        <w:t xml:space="preserve">the UE may receive </w:t>
      </w:r>
      <w:r>
        <w:rPr>
          <w:rFonts w:eastAsia="DengXian"/>
        </w:rPr>
        <w:t xml:space="preserve">the </w:t>
      </w:r>
      <w:r w:rsidRPr="004B3F12">
        <w:rPr>
          <w:rFonts w:eastAsia="DengXian"/>
        </w:rPr>
        <w:t xml:space="preserve">NW-side additional conditions and the inference configuration related to the target gNB </w:t>
      </w:r>
      <w:r>
        <w:rPr>
          <w:rFonts w:eastAsia="DengXian"/>
        </w:rPr>
        <w:t>. T</w:t>
      </w:r>
      <w:r w:rsidRPr="00355810">
        <w:rPr>
          <w:rFonts w:eastAsia="DengXian"/>
        </w:rPr>
        <w:t>he</w:t>
      </w:r>
      <w:r>
        <w:rPr>
          <w:rFonts w:eastAsia="DengXian"/>
        </w:rPr>
        <w:t>n the</w:t>
      </w:r>
      <w:r w:rsidRPr="00355810">
        <w:rPr>
          <w:rFonts w:eastAsia="DengXian"/>
        </w:rPr>
        <w:t xml:space="preserve"> UE </w:t>
      </w:r>
      <w:r>
        <w:rPr>
          <w:rFonts w:eastAsia="DengXian"/>
        </w:rPr>
        <w:t>provides</w:t>
      </w:r>
      <w:r w:rsidRPr="00355810">
        <w:rPr>
          <w:rFonts w:eastAsia="DengXian"/>
        </w:rPr>
        <w:t xml:space="preserve"> </w:t>
      </w:r>
      <w:r>
        <w:rPr>
          <w:rFonts w:eastAsia="DengXian"/>
        </w:rPr>
        <w:t>its</w:t>
      </w:r>
      <w:r w:rsidRPr="00355810">
        <w:rPr>
          <w:rFonts w:eastAsia="DengXian"/>
        </w:rPr>
        <w:t xml:space="preserve"> </w:t>
      </w:r>
      <w:r>
        <w:t xml:space="preserve">applicability report </w:t>
      </w:r>
      <w:r w:rsidRPr="00355810">
        <w:rPr>
          <w:rFonts w:eastAsia="DengXian"/>
        </w:rPr>
        <w:t>to the</w:t>
      </w:r>
      <w:r>
        <w:rPr>
          <w:rFonts w:eastAsia="DengXian"/>
        </w:rPr>
        <w:t xml:space="preserve"> target gNB after</w:t>
      </w:r>
      <w:r w:rsidRPr="00355810">
        <w:rPr>
          <w:rFonts w:eastAsia="DengXian"/>
        </w:rPr>
        <w:t xml:space="preserve"> the handover</w:t>
      </w:r>
      <w:r>
        <w:rPr>
          <w:rFonts w:eastAsia="DengXian"/>
        </w:rPr>
        <w:t xml:space="preserve"> </w:t>
      </w:r>
      <w:r>
        <w:rPr>
          <w:rFonts w:eastAsia="DengXian" w:hint="eastAsia"/>
        </w:rPr>
        <w:t>completion</w:t>
      </w:r>
      <w:r w:rsidRPr="00355810">
        <w:rPr>
          <w:rFonts w:eastAsia="DengXian"/>
        </w:rPr>
        <w:t>.</w:t>
      </w:r>
    </w:p>
    <w:p w14:paraId="3253FF02" w14:textId="77777777" w:rsidR="000F592C" w:rsidRPr="00A13518" w:rsidRDefault="000F592C" w:rsidP="00A13518">
      <w:pPr>
        <w:pStyle w:val="EditorsNote"/>
        <w:jc w:val="both"/>
        <w:rPr>
          <w:rFonts w:eastAsia="DengXian"/>
          <w:i/>
        </w:rPr>
      </w:pPr>
      <w:r w:rsidRPr="00A13518">
        <w:rPr>
          <w:i/>
          <w:color w:val="auto"/>
        </w:rPr>
        <w:t>Editor's note: FFS how the applicable functionality is decided if NW-side additional condition is not provided</w:t>
      </w:r>
    </w:p>
    <w:p w14:paraId="0E4D734A" w14:textId="77777777" w:rsidR="00C7727F" w:rsidRPr="00BF0A9F" w:rsidRDefault="00C7727F" w:rsidP="00C7727F">
      <w:pPr>
        <w:pStyle w:val="NO"/>
      </w:pPr>
      <w:r w:rsidRPr="00BF0A9F">
        <w:t xml:space="preserve">NOTE </w:t>
      </w:r>
      <w:r>
        <w:t>1</w:t>
      </w:r>
      <w:r w:rsidRPr="00BF0A9F">
        <w:t>:</w:t>
      </w:r>
      <w:r w:rsidRPr="00BF0A9F">
        <w:rPr>
          <w:rStyle w:val="CommentReference"/>
        </w:rPr>
        <w:tab/>
      </w:r>
      <w:r w:rsidRPr="00BF0A9F">
        <w:t xml:space="preserve">UAI can be sent from the source gNB to the target gNB using existing signaling. </w:t>
      </w:r>
    </w:p>
    <w:p w14:paraId="2B33AC4E" w14:textId="77777777" w:rsidR="000F592C" w:rsidRDefault="000F592C" w:rsidP="00A13518">
      <w:pPr>
        <w:jc w:val="both"/>
        <w:rPr>
          <w:rFonts w:eastAsia="DengXian"/>
        </w:rPr>
      </w:pPr>
      <w:r w:rsidRPr="00686CD0">
        <w:rPr>
          <w:rFonts w:eastAsia="DengXian"/>
        </w:rPr>
        <w:t xml:space="preserve">For </w:t>
      </w:r>
      <w:r>
        <w:rPr>
          <w:rFonts w:eastAsia="DengXian"/>
        </w:rPr>
        <w:t>NW-side model</w:t>
      </w:r>
      <w:r w:rsidRPr="00686CD0">
        <w:rPr>
          <w:rFonts w:eastAsia="DengXian"/>
        </w:rPr>
        <w:t xml:space="preserve">, the </w:t>
      </w:r>
      <w:r>
        <w:rPr>
          <w:rFonts w:eastAsia="DengXian"/>
        </w:rPr>
        <w:t>CSI report</w:t>
      </w:r>
      <w:r w:rsidRPr="00686CD0">
        <w:rPr>
          <w:rFonts w:eastAsia="DengXian"/>
        </w:rPr>
        <w:t xml:space="preserve"> framework</w:t>
      </w:r>
      <w:r>
        <w:rPr>
          <w:rFonts w:eastAsia="DengXian"/>
        </w:rPr>
        <w:t xml:space="preserve"> is</w:t>
      </w:r>
      <w:r w:rsidRPr="00686CD0">
        <w:rPr>
          <w:rFonts w:eastAsia="DengXian"/>
        </w:rPr>
        <w:t xml:space="preserve"> used </w:t>
      </w:r>
      <w:r>
        <w:rPr>
          <w:rFonts w:eastAsia="DengXian"/>
        </w:rPr>
        <w:t>to acquire</w:t>
      </w:r>
      <w:r w:rsidRPr="00686CD0">
        <w:rPr>
          <w:rFonts w:eastAsia="DengXian"/>
        </w:rPr>
        <w:t xml:space="preserve"> input data </w:t>
      </w:r>
      <w:r>
        <w:rPr>
          <w:rFonts w:eastAsia="DengXian"/>
        </w:rPr>
        <w:t xml:space="preserve">for </w:t>
      </w:r>
      <w:r w:rsidRPr="00686CD0">
        <w:rPr>
          <w:rFonts w:eastAsia="DengXian"/>
        </w:rPr>
        <w:t>inference.</w:t>
      </w:r>
      <w:r w:rsidRPr="00977DFC">
        <w:rPr>
          <w:rFonts w:eastAsia="DengXian"/>
        </w:rPr>
        <w:t xml:space="preserve"> </w:t>
      </w:r>
    </w:p>
    <w:p w14:paraId="7865FE74" w14:textId="77777777" w:rsidR="000F592C" w:rsidRDefault="000F592C" w:rsidP="00A13518">
      <w:pPr>
        <w:pStyle w:val="NO"/>
        <w:jc w:val="both"/>
      </w:pPr>
      <w:r w:rsidRPr="00BF0A9F">
        <w:t xml:space="preserve">NOTE </w:t>
      </w:r>
      <w:r>
        <w:t>2</w:t>
      </w:r>
      <w:r w:rsidRPr="00BF0A9F">
        <w:t>:</w:t>
      </w:r>
      <w:r w:rsidRPr="00BF0A9F">
        <w:tab/>
        <w:t xml:space="preserve">For </w:t>
      </w:r>
      <w:r>
        <w:t>NW</w:t>
      </w:r>
      <w:r w:rsidRPr="00794215">
        <w:t>-side model, required network side additional condition is left up to the network</w:t>
      </w:r>
      <w:r w:rsidRPr="00BF0A9F">
        <w:t xml:space="preserve"> implementation.</w:t>
      </w:r>
    </w:p>
    <w:p w14:paraId="44641D8A" w14:textId="286DA5B5" w:rsidR="000F592C" w:rsidRDefault="000F592C" w:rsidP="00A13518">
      <w:pPr>
        <w:jc w:val="both"/>
      </w:pPr>
      <w:r>
        <w:t>The UE can be first provided one or m</w:t>
      </w:r>
      <w:r w:rsidR="008E076D">
        <w:t>ultiple</w:t>
      </w:r>
      <w:r>
        <w:t xml:space="preserve"> sets of inference-related parameters instead of the full </w:t>
      </w:r>
      <w:r w:rsidR="00EE318B">
        <w:t xml:space="preserve">inference </w:t>
      </w:r>
      <w:r>
        <w:t>configuration to decrease the signalling overhead during the applicability determination procedure. These parameters are a subset of those included in a full inference configuration. The outcome of this procedure is that the gNB receives enough information to configure the UE with full inference configuration(s) as described above, which align</w:t>
      </w:r>
      <w:r w:rsidR="00E44450">
        <w:t>s</w:t>
      </w:r>
      <w:r>
        <w:t xml:space="preserve"> with the one or m</w:t>
      </w:r>
      <w:r w:rsidR="00CB5326">
        <w:t>ultiple</w:t>
      </w:r>
      <w:r>
        <w:t xml:space="preserve"> sets of inference-related parameters. A call flow is provided in Figure X.Y.2.3-2 below.</w:t>
      </w:r>
    </w:p>
    <w:p w14:paraId="4FCE1731" w14:textId="77777777" w:rsidR="000F592C" w:rsidRDefault="000F592C" w:rsidP="000F592C"/>
    <w:p w14:paraId="305C8765" w14:textId="77777777" w:rsidR="000F592C" w:rsidRDefault="000F592C" w:rsidP="000F592C">
      <w:pPr>
        <w:jc w:val="center"/>
        <w:rPr>
          <w:rFonts w:eastAsia="Yu Mincho"/>
          <w:noProof/>
        </w:rPr>
      </w:pPr>
      <w:r w:rsidRPr="000C68CE">
        <w:rPr>
          <w:rFonts w:eastAsia="Yu Mincho"/>
          <w:noProof/>
        </w:rPr>
        <w:object w:dxaOrig="5430" w:dyaOrig="4110" w14:anchorId="4F662FB9">
          <v:shape id="_x0000_i1027" type="#_x0000_t75" style="width:201.75pt;height:151.5pt" o:ole="">
            <v:imagedata r:id="rId17" o:title=""/>
          </v:shape>
          <o:OLEObject Type="Embed" ProgID="Mscgen.Chart" ShapeID="_x0000_i1027" DrawAspect="Content" ObjectID="_1804614667" r:id="rId18"/>
        </w:object>
      </w:r>
    </w:p>
    <w:p w14:paraId="68C30A4D" w14:textId="117AD3E5" w:rsidR="000F592C" w:rsidRDefault="000F592C" w:rsidP="000F592C">
      <w:pPr>
        <w:pStyle w:val="TF"/>
        <w:rPr>
          <w:rFonts w:eastAsia="DengXian"/>
        </w:rPr>
      </w:pPr>
      <w:r w:rsidRPr="00A76EB1">
        <w:rPr>
          <w:rFonts w:eastAsia="DengXian"/>
        </w:rPr>
        <w:t>Figure X.Y.2.3-</w:t>
      </w:r>
      <w:r>
        <w:rPr>
          <w:rFonts w:eastAsia="DengXian"/>
        </w:rPr>
        <w:t>2</w:t>
      </w:r>
      <w:r w:rsidRPr="00A76EB1">
        <w:rPr>
          <w:rFonts w:eastAsia="DengXian"/>
        </w:rPr>
        <w:t xml:space="preserve">: Procedure for applicability reporting </w:t>
      </w:r>
      <w:r w:rsidR="003B1A70">
        <w:rPr>
          <w:rFonts w:eastAsia="DengXian"/>
        </w:rPr>
        <w:t>and</w:t>
      </w:r>
      <w:r>
        <w:rPr>
          <w:rFonts w:eastAsia="DengXian"/>
        </w:rPr>
        <w:t xml:space="preserve"> sets of inference-related parameters</w:t>
      </w:r>
    </w:p>
    <w:bookmarkEnd w:id="1"/>
    <w:p w14:paraId="203AE983" w14:textId="563AB53E" w:rsidR="000764E9" w:rsidRPr="00DF06DA" w:rsidRDefault="000F592C" w:rsidP="00A13518">
      <w:pPr>
        <w:jc w:val="both"/>
        <w:rPr>
          <w:lang w:val="en-US"/>
        </w:rPr>
      </w:pPr>
      <w:r>
        <w:rPr>
          <w:lang w:val="en-US"/>
        </w:rPr>
        <w:t>The steps of the call flow of Figure X.Y.2.3-2 mirror those of Figure X.Y.2.3-1, but without the activation of inference. This procedure on its own is insufficient to configure a UE for inference, and a full inference configuration would need to follow.</w:t>
      </w:r>
    </w:p>
    <w:p w14:paraId="16705F31" w14:textId="60B213FC" w:rsidR="00A45E07" w:rsidRPr="00CD4C7B" w:rsidRDefault="00F60018" w:rsidP="00294CCF">
      <w:pPr>
        <w:pStyle w:val="Heading1"/>
      </w:pPr>
      <w:r>
        <w:t>8</w:t>
      </w:r>
      <w:r w:rsidR="00A45E07">
        <w:tab/>
        <w:t>References</w:t>
      </w:r>
    </w:p>
    <w:p w14:paraId="70009EC2" w14:textId="4C9A89FB" w:rsidR="00A45E07" w:rsidRDefault="00A45E07" w:rsidP="0055451E">
      <w:pPr>
        <w:rPr>
          <w:bCs/>
        </w:rPr>
      </w:pPr>
      <w:r>
        <w:rPr>
          <w:bCs/>
        </w:rPr>
        <w:t xml:space="preserve">[1] </w:t>
      </w:r>
      <w:r w:rsidRPr="0068185F">
        <w:rPr>
          <w:bCs/>
        </w:rPr>
        <w:t>R1-2410898</w:t>
      </w:r>
      <w:r>
        <w:rPr>
          <w:bCs/>
        </w:rPr>
        <w:t>, “</w:t>
      </w:r>
      <w:r w:rsidR="0055451E" w:rsidRPr="0055451E">
        <w:rPr>
          <w:bCs/>
        </w:rPr>
        <w:t>RAN2 Chair’s Notes”, 3GPP TSG RAN WG2 #12</w:t>
      </w:r>
      <w:r w:rsidR="0055451E">
        <w:rPr>
          <w:bCs/>
        </w:rPr>
        <w:t>9</w:t>
      </w:r>
      <w:r w:rsidR="0055451E" w:rsidRPr="0055451E">
        <w:rPr>
          <w:bCs/>
        </w:rPr>
        <w:t>,</w:t>
      </w:r>
      <w:r w:rsidR="0055451E">
        <w:rPr>
          <w:bCs/>
        </w:rPr>
        <w:t xml:space="preserve"> Athens</w:t>
      </w:r>
      <w:r w:rsidR="0055451E" w:rsidRPr="0055451E">
        <w:rPr>
          <w:bCs/>
        </w:rPr>
        <w:t xml:space="preserve">, </w:t>
      </w:r>
      <w:r w:rsidR="0055451E">
        <w:rPr>
          <w:bCs/>
        </w:rPr>
        <w:t>Greece</w:t>
      </w:r>
      <w:r w:rsidR="0055451E" w:rsidRPr="0055451E">
        <w:rPr>
          <w:bCs/>
        </w:rPr>
        <w:t xml:space="preserve">, </w:t>
      </w:r>
      <w:r w:rsidR="0055451E">
        <w:rPr>
          <w:bCs/>
        </w:rPr>
        <w:t>February</w:t>
      </w:r>
      <w:r w:rsidR="0055451E" w:rsidRPr="0055451E">
        <w:rPr>
          <w:bCs/>
        </w:rPr>
        <w:t xml:space="preserve"> 1</w:t>
      </w:r>
      <w:r w:rsidR="00ED5C89">
        <w:rPr>
          <w:bCs/>
        </w:rPr>
        <w:t>7</w:t>
      </w:r>
      <w:r w:rsidR="0055451E" w:rsidRPr="0055451E">
        <w:rPr>
          <w:bCs/>
        </w:rPr>
        <w:t xml:space="preserve"> – 2</w:t>
      </w:r>
      <w:r w:rsidR="00ED5C89">
        <w:rPr>
          <w:bCs/>
        </w:rPr>
        <w:t>1</w:t>
      </w:r>
      <w:r w:rsidR="0055451E" w:rsidRPr="0055451E">
        <w:rPr>
          <w:bCs/>
        </w:rPr>
        <w:t>, 202</w:t>
      </w:r>
      <w:r w:rsidR="00ED5C89">
        <w:rPr>
          <w:bCs/>
        </w:rPr>
        <w:t>5</w:t>
      </w:r>
      <w:r w:rsidR="0055451E" w:rsidRPr="0055451E">
        <w:rPr>
          <w:bCs/>
        </w:rPr>
        <w:t>.</w:t>
      </w:r>
    </w:p>
    <w:p w14:paraId="62D76F03" w14:textId="15C017D4" w:rsidR="00A45E07" w:rsidRPr="009E1B15" w:rsidRDefault="00A45E07" w:rsidP="00A45E07">
      <w:r>
        <w:rPr>
          <w:bCs/>
        </w:rPr>
        <w:t>[2]</w:t>
      </w:r>
      <w:r w:rsidRPr="00E254FE">
        <w:rPr>
          <w:bCs/>
        </w:rPr>
        <w:t xml:space="preserve"> R1-2407554, “</w:t>
      </w:r>
      <w:r w:rsidR="00307299" w:rsidRPr="0055451E">
        <w:rPr>
          <w:bCs/>
        </w:rPr>
        <w:t>RAN2 Chair’s Notes”, 3GPP TSG RAN WG2 #12</w:t>
      </w:r>
      <w:r w:rsidR="00307299">
        <w:rPr>
          <w:bCs/>
        </w:rPr>
        <w:t>8</w:t>
      </w:r>
      <w:r w:rsidR="00307299" w:rsidRPr="0055451E">
        <w:rPr>
          <w:bCs/>
        </w:rPr>
        <w:t>,</w:t>
      </w:r>
      <w:r w:rsidR="00307299">
        <w:rPr>
          <w:bCs/>
        </w:rPr>
        <w:t xml:space="preserve"> Orlando</w:t>
      </w:r>
      <w:r w:rsidR="00307299" w:rsidRPr="0055451E">
        <w:rPr>
          <w:bCs/>
        </w:rPr>
        <w:t xml:space="preserve">, </w:t>
      </w:r>
      <w:r w:rsidR="00307299">
        <w:rPr>
          <w:bCs/>
        </w:rPr>
        <w:t>US</w:t>
      </w:r>
      <w:r w:rsidR="00307299" w:rsidRPr="0055451E">
        <w:rPr>
          <w:bCs/>
        </w:rPr>
        <w:t xml:space="preserve">, </w:t>
      </w:r>
      <w:r w:rsidR="00770E3B">
        <w:rPr>
          <w:bCs/>
        </w:rPr>
        <w:t>November</w:t>
      </w:r>
      <w:r w:rsidR="00307299" w:rsidRPr="0055451E">
        <w:rPr>
          <w:bCs/>
        </w:rPr>
        <w:t xml:space="preserve"> </w:t>
      </w:r>
      <w:r w:rsidR="007025BF">
        <w:rPr>
          <w:bCs/>
        </w:rPr>
        <w:t>18</w:t>
      </w:r>
      <w:r w:rsidR="00307299" w:rsidRPr="0055451E">
        <w:rPr>
          <w:bCs/>
        </w:rPr>
        <w:t xml:space="preserve"> – 2</w:t>
      </w:r>
      <w:r w:rsidR="007025BF">
        <w:rPr>
          <w:bCs/>
        </w:rPr>
        <w:t>2</w:t>
      </w:r>
      <w:r w:rsidR="00307299" w:rsidRPr="0055451E">
        <w:rPr>
          <w:bCs/>
        </w:rPr>
        <w:t>, 202</w:t>
      </w:r>
      <w:r w:rsidR="00307299">
        <w:rPr>
          <w:bCs/>
        </w:rPr>
        <w:t>4</w:t>
      </w:r>
      <w:r w:rsidR="00307299" w:rsidRPr="0055451E">
        <w:rPr>
          <w:bCs/>
        </w:rPr>
        <w:t>.</w:t>
      </w:r>
    </w:p>
    <w:p w14:paraId="56D38FE0" w14:textId="0FE95ED8" w:rsidR="00F77A03" w:rsidRPr="00F77A03" w:rsidRDefault="00F77A03" w:rsidP="00F77A03">
      <w:r>
        <w:rPr>
          <w:b/>
          <w:bCs/>
        </w:rPr>
        <w:t xml:space="preserve">[3] </w:t>
      </w:r>
      <w:r w:rsidRPr="00A13518">
        <w:t xml:space="preserve">[POST129][024][AI PHY] Stage 2 running CR (vivo) </w:t>
      </w:r>
      <w:hyperlink r:id="rId19" w:tgtFrame="_blank" w:tooltip="https://www.3gpp.org/ftp/email_discussions/ran2/%5bran2%23129%5d/%5bpost129%5d%5b024%5d%5bai%20phy%5d%20stage%202%20running%20cr%20(vivo)/r2-25xxxxx_introduction%20of%20ai%20for%20air%20interface%20feature%20in%2038300_v00_rapp.docx" w:history="1">
        <w:r w:rsidRPr="00F77A03">
          <w:rPr>
            <w:rStyle w:val="Hyperlink"/>
          </w:rPr>
          <w:t>R2-25xxxxx_Introduction of AI for Air interface feature in 38300</w:t>
        </w:r>
      </w:hyperlink>
    </w:p>
    <w:p w14:paraId="7DCAADB6" w14:textId="77777777" w:rsidR="00A45E07" w:rsidRPr="00E437B1" w:rsidRDefault="00A45E07" w:rsidP="00A45E07"/>
    <w:p w14:paraId="63772756" w14:textId="77777777" w:rsidR="00A45E07" w:rsidRPr="00A209D6" w:rsidRDefault="00A45E07" w:rsidP="00A45E07">
      <w:r w:rsidDel="00E30525">
        <w:t xml:space="preserve"> </w:t>
      </w:r>
    </w:p>
    <w:p w14:paraId="35F222F4" w14:textId="753D613F" w:rsidR="00080512" w:rsidRPr="00A209D6" w:rsidRDefault="00080512" w:rsidP="009339CB"/>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F3A9" w14:textId="77777777" w:rsidR="002F1DD5" w:rsidRDefault="002F1DD5">
      <w:r>
        <w:separator/>
      </w:r>
    </w:p>
  </w:endnote>
  <w:endnote w:type="continuationSeparator" w:id="0">
    <w:p w14:paraId="2FFB7514" w14:textId="77777777" w:rsidR="002F1DD5" w:rsidRDefault="002F1DD5">
      <w:r>
        <w:continuationSeparator/>
      </w:r>
    </w:p>
  </w:endnote>
  <w:endnote w:type="continuationNotice" w:id="1">
    <w:p w14:paraId="6560006C" w14:textId="77777777" w:rsidR="002F1DD5" w:rsidRDefault="002F1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5A2DC" w14:textId="77777777" w:rsidR="002F1DD5" w:rsidRDefault="002F1DD5">
      <w:r>
        <w:separator/>
      </w:r>
    </w:p>
  </w:footnote>
  <w:footnote w:type="continuationSeparator" w:id="0">
    <w:p w14:paraId="7CDA30C0" w14:textId="77777777" w:rsidR="002F1DD5" w:rsidRDefault="002F1DD5">
      <w:r>
        <w:continuationSeparator/>
      </w:r>
    </w:p>
  </w:footnote>
  <w:footnote w:type="continuationNotice" w:id="1">
    <w:p w14:paraId="19616322" w14:textId="77777777" w:rsidR="002F1DD5" w:rsidRDefault="002F1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intelligence2.xml><?xml version="1.0" encoding="utf-8"?>
<int2:intelligence xmlns:int2="http://schemas.microsoft.com/office/intelligence/2020/intelligence" xmlns:oel="http://schemas.microsoft.com/office/2019/extlst">
  <int2:observations>
    <int2:textHash int2:hashCode="Hw5o5IaAGLI+yD" int2:id="V7urw46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675CA"/>
    <w:multiLevelType w:val="hybridMultilevel"/>
    <w:tmpl w:val="3E26945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436D5C"/>
    <w:multiLevelType w:val="hybridMultilevel"/>
    <w:tmpl w:val="5E52C8A0"/>
    <w:lvl w:ilvl="0" w:tplc="4ED4847C">
      <w:start w:val="1"/>
      <w:numFmt w:val="bullet"/>
      <w:lvlText w:val=""/>
      <w:lvlJc w:val="left"/>
      <w:pPr>
        <w:tabs>
          <w:tab w:val="num" w:pos="720"/>
        </w:tabs>
        <w:ind w:left="720" w:hanging="360"/>
      </w:pPr>
      <w:rPr>
        <w:rFonts w:ascii="Symbol" w:hAnsi="Symbol" w:hint="default"/>
      </w:rPr>
    </w:lvl>
    <w:lvl w:ilvl="1" w:tplc="1ED890E2" w:tentative="1">
      <w:start w:val="1"/>
      <w:numFmt w:val="bullet"/>
      <w:lvlText w:val=""/>
      <w:lvlJc w:val="left"/>
      <w:pPr>
        <w:tabs>
          <w:tab w:val="num" w:pos="1440"/>
        </w:tabs>
        <w:ind w:left="1440" w:hanging="360"/>
      </w:pPr>
      <w:rPr>
        <w:rFonts w:ascii="Symbol" w:hAnsi="Symbol" w:hint="default"/>
      </w:rPr>
    </w:lvl>
    <w:lvl w:ilvl="2" w:tplc="C592F34E" w:tentative="1">
      <w:start w:val="1"/>
      <w:numFmt w:val="bullet"/>
      <w:lvlText w:val=""/>
      <w:lvlJc w:val="left"/>
      <w:pPr>
        <w:tabs>
          <w:tab w:val="num" w:pos="2160"/>
        </w:tabs>
        <w:ind w:left="2160" w:hanging="360"/>
      </w:pPr>
      <w:rPr>
        <w:rFonts w:ascii="Symbol" w:hAnsi="Symbol" w:hint="default"/>
      </w:rPr>
    </w:lvl>
    <w:lvl w:ilvl="3" w:tplc="9E00EB18" w:tentative="1">
      <w:start w:val="1"/>
      <w:numFmt w:val="bullet"/>
      <w:lvlText w:val=""/>
      <w:lvlJc w:val="left"/>
      <w:pPr>
        <w:tabs>
          <w:tab w:val="num" w:pos="2880"/>
        </w:tabs>
        <w:ind w:left="2880" w:hanging="360"/>
      </w:pPr>
      <w:rPr>
        <w:rFonts w:ascii="Symbol" w:hAnsi="Symbol" w:hint="default"/>
      </w:rPr>
    </w:lvl>
    <w:lvl w:ilvl="4" w:tplc="7FEE3B58" w:tentative="1">
      <w:start w:val="1"/>
      <w:numFmt w:val="bullet"/>
      <w:lvlText w:val=""/>
      <w:lvlJc w:val="left"/>
      <w:pPr>
        <w:tabs>
          <w:tab w:val="num" w:pos="3600"/>
        </w:tabs>
        <w:ind w:left="3600" w:hanging="360"/>
      </w:pPr>
      <w:rPr>
        <w:rFonts w:ascii="Symbol" w:hAnsi="Symbol" w:hint="default"/>
      </w:rPr>
    </w:lvl>
    <w:lvl w:ilvl="5" w:tplc="E9FE612C" w:tentative="1">
      <w:start w:val="1"/>
      <w:numFmt w:val="bullet"/>
      <w:lvlText w:val=""/>
      <w:lvlJc w:val="left"/>
      <w:pPr>
        <w:tabs>
          <w:tab w:val="num" w:pos="4320"/>
        </w:tabs>
        <w:ind w:left="4320" w:hanging="360"/>
      </w:pPr>
      <w:rPr>
        <w:rFonts w:ascii="Symbol" w:hAnsi="Symbol" w:hint="default"/>
      </w:rPr>
    </w:lvl>
    <w:lvl w:ilvl="6" w:tplc="745EDE84" w:tentative="1">
      <w:start w:val="1"/>
      <w:numFmt w:val="bullet"/>
      <w:lvlText w:val=""/>
      <w:lvlJc w:val="left"/>
      <w:pPr>
        <w:tabs>
          <w:tab w:val="num" w:pos="5040"/>
        </w:tabs>
        <w:ind w:left="5040" w:hanging="360"/>
      </w:pPr>
      <w:rPr>
        <w:rFonts w:ascii="Symbol" w:hAnsi="Symbol" w:hint="default"/>
      </w:rPr>
    </w:lvl>
    <w:lvl w:ilvl="7" w:tplc="E6C0ECC6" w:tentative="1">
      <w:start w:val="1"/>
      <w:numFmt w:val="bullet"/>
      <w:lvlText w:val=""/>
      <w:lvlJc w:val="left"/>
      <w:pPr>
        <w:tabs>
          <w:tab w:val="num" w:pos="5760"/>
        </w:tabs>
        <w:ind w:left="5760" w:hanging="360"/>
      </w:pPr>
      <w:rPr>
        <w:rFonts w:ascii="Symbol" w:hAnsi="Symbol" w:hint="default"/>
      </w:rPr>
    </w:lvl>
    <w:lvl w:ilvl="8" w:tplc="162627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982430"/>
    <w:multiLevelType w:val="hybridMultilevel"/>
    <w:tmpl w:val="FAE2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FA74F6"/>
    <w:multiLevelType w:val="multilevel"/>
    <w:tmpl w:val="C53C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B83F29"/>
    <w:multiLevelType w:val="hybridMultilevel"/>
    <w:tmpl w:val="742081AC"/>
    <w:lvl w:ilvl="0" w:tplc="4B10F38E">
      <w:start w:val="1"/>
      <w:numFmt w:val="decimal"/>
      <w:lvlText w:val="%1."/>
      <w:lvlJc w:val="left"/>
      <w:pPr>
        <w:tabs>
          <w:tab w:val="num" w:pos="720"/>
        </w:tabs>
        <w:ind w:left="720" w:hanging="360"/>
      </w:pPr>
    </w:lvl>
    <w:lvl w:ilvl="1" w:tplc="1932D680" w:tentative="1">
      <w:start w:val="1"/>
      <w:numFmt w:val="decimal"/>
      <w:lvlText w:val="%2."/>
      <w:lvlJc w:val="left"/>
      <w:pPr>
        <w:tabs>
          <w:tab w:val="num" w:pos="1440"/>
        </w:tabs>
        <w:ind w:left="1440" w:hanging="360"/>
      </w:pPr>
    </w:lvl>
    <w:lvl w:ilvl="2" w:tplc="76E4827C">
      <w:numFmt w:val="bullet"/>
      <w:lvlText w:val=""/>
      <w:lvlJc w:val="left"/>
      <w:pPr>
        <w:tabs>
          <w:tab w:val="num" w:pos="2160"/>
        </w:tabs>
        <w:ind w:left="2160" w:hanging="360"/>
      </w:pPr>
      <w:rPr>
        <w:rFonts w:ascii="Wingdings" w:hAnsi="Wingdings" w:hint="default"/>
      </w:rPr>
    </w:lvl>
    <w:lvl w:ilvl="3" w:tplc="4E6E441E" w:tentative="1">
      <w:start w:val="1"/>
      <w:numFmt w:val="decimal"/>
      <w:lvlText w:val="%4."/>
      <w:lvlJc w:val="left"/>
      <w:pPr>
        <w:tabs>
          <w:tab w:val="num" w:pos="2880"/>
        </w:tabs>
        <w:ind w:left="2880" w:hanging="360"/>
      </w:pPr>
    </w:lvl>
    <w:lvl w:ilvl="4" w:tplc="93408F5C" w:tentative="1">
      <w:start w:val="1"/>
      <w:numFmt w:val="decimal"/>
      <w:lvlText w:val="%5."/>
      <w:lvlJc w:val="left"/>
      <w:pPr>
        <w:tabs>
          <w:tab w:val="num" w:pos="3600"/>
        </w:tabs>
        <w:ind w:left="3600" w:hanging="360"/>
      </w:pPr>
    </w:lvl>
    <w:lvl w:ilvl="5" w:tplc="53045C06" w:tentative="1">
      <w:start w:val="1"/>
      <w:numFmt w:val="decimal"/>
      <w:lvlText w:val="%6."/>
      <w:lvlJc w:val="left"/>
      <w:pPr>
        <w:tabs>
          <w:tab w:val="num" w:pos="4320"/>
        </w:tabs>
        <w:ind w:left="4320" w:hanging="360"/>
      </w:pPr>
    </w:lvl>
    <w:lvl w:ilvl="6" w:tplc="E3583078" w:tentative="1">
      <w:start w:val="1"/>
      <w:numFmt w:val="decimal"/>
      <w:lvlText w:val="%7."/>
      <w:lvlJc w:val="left"/>
      <w:pPr>
        <w:tabs>
          <w:tab w:val="num" w:pos="5040"/>
        </w:tabs>
        <w:ind w:left="5040" w:hanging="360"/>
      </w:pPr>
    </w:lvl>
    <w:lvl w:ilvl="7" w:tplc="E786AC18" w:tentative="1">
      <w:start w:val="1"/>
      <w:numFmt w:val="decimal"/>
      <w:lvlText w:val="%8."/>
      <w:lvlJc w:val="left"/>
      <w:pPr>
        <w:tabs>
          <w:tab w:val="num" w:pos="5760"/>
        </w:tabs>
        <w:ind w:left="5760" w:hanging="360"/>
      </w:pPr>
    </w:lvl>
    <w:lvl w:ilvl="8" w:tplc="97EE0AA2" w:tentative="1">
      <w:start w:val="1"/>
      <w:numFmt w:val="decimal"/>
      <w:lvlText w:val="%9."/>
      <w:lvlJc w:val="left"/>
      <w:pPr>
        <w:tabs>
          <w:tab w:val="num" w:pos="6480"/>
        </w:tabs>
        <w:ind w:left="6480" w:hanging="360"/>
      </w:pPr>
    </w:lvl>
  </w:abstractNum>
  <w:abstractNum w:abstractNumId="16" w15:restartNumberingAfterBreak="0">
    <w:nsid w:val="26BF1F3E"/>
    <w:multiLevelType w:val="hybridMultilevel"/>
    <w:tmpl w:val="2E329F6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2D0B3032"/>
    <w:multiLevelType w:val="hybridMultilevel"/>
    <w:tmpl w:val="7934286E"/>
    <w:lvl w:ilvl="0" w:tplc="57966C0A">
      <w:start w:val="1"/>
      <w:numFmt w:val="decimal"/>
      <w:lvlText w:val="%1."/>
      <w:lvlJc w:val="left"/>
      <w:pPr>
        <w:tabs>
          <w:tab w:val="num" w:pos="720"/>
        </w:tabs>
        <w:ind w:left="720" w:hanging="360"/>
      </w:pPr>
    </w:lvl>
    <w:lvl w:ilvl="1" w:tplc="15EA3416" w:tentative="1">
      <w:start w:val="1"/>
      <w:numFmt w:val="decimal"/>
      <w:lvlText w:val="%2."/>
      <w:lvlJc w:val="left"/>
      <w:pPr>
        <w:tabs>
          <w:tab w:val="num" w:pos="1440"/>
        </w:tabs>
        <w:ind w:left="1440" w:hanging="360"/>
      </w:pPr>
    </w:lvl>
    <w:lvl w:ilvl="2" w:tplc="9B5CA3AE" w:tentative="1">
      <w:start w:val="1"/>
      <w:numFmt w:val="decimal"/>
      <w:lvlText w:val="%3."/>
      <w:lvlJc w:val="left"/>
      <w:pPr>
        <w:tabs>
          <w:tab w:val="num" w:pos="2160"/>
        </w:tabs>
        <w:ind w:left="2160" w:hanging="360"/>
      </w:pPr>
    </w:lvl>
    <w:lvl w:ilvl="3" w:tplc="F2508C5A" w:tentative="1">
      <w:start w:val="1"/>
      <w:numFmt w:val="decimal"/>
      <w:lvlText w:val="%4."/>
      <w:lvlJc w:val="left"/>
      <w:pPr>
        <w:tabs>
          <w:tab w:val="num" w:pos="2880"/>
        </w:tabs>
        <w:ind w:left="2880" w:hanging="360"/>
      </w:pPr>
    </w:lvl>
    <w:lvl w:ilvl="4" w:tplc="C952F2AE" w:tentative="1">
      <w:start w:val="1"/>
      <w:numFmt w:val="decimal"/>
      <w:lvlText w:val="%5."/>
      <w:lvlJc w:val="left"/>
      <w:pPr>
        <w:tabs>
          <w:tab w:val="num" w:pos="3600"/>
        </w:tabs>
        <w:ind w:left="3600" w:hanging="360"/>
      </w:pPr>
    </w:lvl>
    <w:lvl w:ilvl="5" w:tplc="B6A8C3F2" w:tentative="1">
      <w:start w:val="1"/>
      <w:numFmt w:val="decimal"/>
      <w:lvlText w:val="%6."/>
      <w:lvlJc w:val="left"/>
      <w:pPr>
        <w:tabs>
          <w:tab w:val="num" w:pos="4320"/>
        </w:tabs>
        <w:ind w:left="4320" w:hanging="360"/>
      </w:pPr>
    </w:lvl>
    <w:lvl w:ilvl="6" w:tplc="BE78B93C" w:tentative="1">
      <w:start w:val="1"/>
      <w:numFmt w:val="decimal"/>
      <w:lvlText w:val="%7."/>
      <w:lvlJc w:val="left"/>
      <w:pPr>
        <w:tabs>
          <w:tab w:val="num" w:pos="5040"/>
        </w:tabs>
        <w:ind w:left="5040" w:hanging="360"/>
      </w:pPr>
    </w:lvl>
    <w:lvl w:ilvl="7" w:tplc="D2B6399C" w:tentative="1">
      <w:start w:val="1"/>
      <w:numFmt w:val="decimal"/>
      <w:lvlText w:val="%8."/>
      <w:lvlJc w:val="left"/>
      <w:pPr>
        <w:tabs>
          <w:tab w:val="num" w:pos="5760"/>
        </w:tabs>
        <w:ind w:left="5760" w:hanging="360"/>
      </w:pPr>
    </w:lvl>
    <w:lvl w:ilvl="8" w:tplc="863069C4" w:tentative="1">
      <w:start w:val="1"/>
      <w:numFmt w:val="decimal"/>
      <w:lvlText w:val="%9."/>
      <w:lvlJc w:val="left"/>
      <w:pPr>
        <w:tabs>
          <w:tab w:val="num" w:pos="6480"/>
        </w:tabs>
        <w:ind w:left="6480" w:hanging="360"/>
      </w:pPr>
    </w:lvl>
  </w:abstractNum>
  <w:abstractNum w:abstractNumId="19" w15:restartNumberingAfterBreak="0">
    <w:nsid w:val="30CF34F1"/>
    <w:multiLevelType w:val="hybridMultilevel"/>
    <w:tmpl w:val="7450C158"/>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0"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20B42"/>
    <w:multiLevelType w:val="hybridMultilevel"/>
    <w:tmpl w:val="0CD82C0A"/>
    <w:lvl w:ilvl="0" w:tplc="06FADE4A">
      <w:start w:val="1"/>
      <w:numFmt w:val="bullet"/>
      <w:lvlText w:val=""/>
      <w:lvlJc w:val="left"/>
      <w:pPr>
        <w:ind w:left="2320" w:hanging="360"/>
      </w:pPr>
      <w:rPr>
        <w:rFonts w:ascii="Symbol" w:hAnsi="Symbol"/>
      </w:rPr>
    </w:lvl>
    <w:lvl w:ilvl="1" w:tplc="3C0856CE">
      <w:start w:val="1"/>
      <w:numFmt w:val="bullet"/>
      <w:lvlText w:val=""/>
      <w:lvlJc w:val="left"/>
      <w:pPr>
        <w:ind w:left="2320" w:hanging="360"/>
      </w:pPr>
      <w:rPr>
        <w:rFonts w:ascii="Symbol" w:hAnsi="Symbol"/>
      </w:rPr>
    </w:lvl>
    <w:lvl w:ilvl="2" w:tplc="B6682114">
      <w:start w:val="1"/>
      <w:numFmt w:val="bullet"/>
      <w:lvlText w:val=""/>
      <w:lvlJc w:val="left"/>
      <w:pPr>
        <w:ind w:left="2320" w:hanging="360"/>
      </w:pPr>
      <w:rPr>
        <w:rFonts w:ascii="Symbol" w:hAnsi="Symbol"/>
      </w:rPr>
    </w:lvl>
    <w:lvl w:ilvl="3" w:tplc="62388B16">
      <w:start w:val="1"/>
      <w:numFmt w:val="bullet"/>
      <w:lvlText w:val=""/>
      <w:lvlJc w:val="left"/>
      <w:pPr>
        <w:ind w:left="2320" w:hanging="360"/>
      </w:pPr>
      <w:rPr>
        <w:rFonts w:ascii="Symbol" w:hAnsi="Symbol"/>
      </w:rPr>
    </w:lvl>
    <w:lvl w:ilvl="4" w:tplc="662AB9A2">
      <w:start w:val="1"/>
      <w:numFmt w:val="bullet"/>
      <w:lvlText w:val=""/>
      <w:lvlJc w:val="left"/>
      <w:pPr>
        <w:ind w:left="2320" w:hanging="360"/>
      </w:pPr>
      <w:rPr>
        <w:rFonts w:ascii="Symbol" w:hAnsi="Symbol"/>
      </w:rPr>
    </w:lvl>
    <w:lvl w:ilvl="5" w:tplc="2B943DA4">
      <w:start w:val="1"/>
      <w:numFmt w:val="bullet"/>
      <w:lvlText w:val=""/>
      <w:lvlJc w:val="left"/>
      <w:pPr>
        <w:ind w:left="2320" w:hanging="360"/>
      </w:pPr>
      <w:rPr>
        <w:rFonts w:ascii="Symbol" w:hAnsi="Symbol"/>
      </w:rPr>
    </w:lvl>
    <w:lvl w:ilvl="6" w:tplc="35789508">
      <w:start w:val="1"/>
      <w:numFmt w:val="bullet"/>
      <w:lvlText w:val=""/>
      <w:lvlJc w:val="left"/>
      <w:pPr>
        <w:ind w:left="2320" w:hanging="360"/>
      </w:pPr>
      <w:rPr>
        <w:rFonts w:ascii="Symbol" w:hAnsi="Symbol"/>
      </w:rPr>
    </w:lvl>
    <w:lvl w:ilvl="7" w:tplc="D1761F26">
      <w:start w:val="1"/>
      <w:numFmt w:val="bullet"/>
      <w:lvlText w:val=""/>
      <w:lvlJc w:val="left"/>
      <w:pPr>
        <w:ind w:left="2320" w:hanging="360"/>
      </w:pPr>
      <w:rPr>
        <w:rFonts w:ascii="Symbol" w:hAnsi="Symbol"/>
      </w:rPr>
    </w:lvl>
    <w:lvl w:ilvl="8" w:tplc="41CED786">
      <w:start w:val="1"/>
      <w:numFmt w:val="bullet"/>
      <w:lvlText w:val=""/>
      <w:lvlJc w:val="left"/>
      <w:pPr>
        <w:ind w:left="2320" w:hanging="360"/>
      </w:pPr>
      <w:rPr>
        <w:rFonts w:ascii="Symbol" w:hAnsi="Symbol"/>
      </w:rPr>
    </w:lvl>
  </w:abstractNum>
  <w:abstractNum w:abstractNumId="22" w15:restartNumberingAfterBreak="0">
    <w:nsid w:val="3B420C9C"/>
    <w:multiLevelType w:val="hybridMultilevel"/>
    <w:tmpl w:val="FDF2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A2A47"/>
    <w:multiLevelType w:val="hybridMultilevel"/>
    <w:tmpl w:val="35929580"/>
    <w:lvl w:ilvl="0" w:tplc="E73A1B02">
      <w:start w:val="1"/>
      <w:numFmt w:val="decimal"/>
      <w:lvlText w:val="%1."/>
      <w:lvlJc w:val="left"/>
      <w:pPr>
        <w:ind w:left="2320" w:hanging="360"/>
      </w:pPr>
    </w:lvl>
    <w:lvl w:ilvl="1" w:tplc="A348B030">
      <w:start w:val="1"/>
      <w:numFmt w:val="decimal"/>
      <w:lvlText w:val="%2."/>
      <w:lvlJc w:val="left"/>
      <w:pPr>
        <w:ind w:left="2320" w:hanging="360"/>
      </w:pPr>
    </w:lvl>
    <w:lvl w:ilvl="2" w:tplc="C41CDE8C">
      <w:start w:val="1"/>
      <w:numFmt w:val="decimal"/>
      <w:lvlText w:val="%3."/>
      <w:lvlJc w:val="left"/>
      <w:pPr>
        <w:ind w:left="2320" w:hanging="360"/>
      </w:pPr>
    </w:lvl>
    <w:lvl w:ilvl="3" w:tplc="475AAB28">
      <w:start w:val="1"/>
      <w:numFmt w:val="decimal"/>
      <w:lvlText w:val="%4."/>
      <w:lvlJc w:val="left"/>
      <w:pPr>
        <w:ind w:left="2320" w:hanging="360"/>
      </w:pPr>
    </w:lvl>
    <w:lvl w:ilvl="4" w:tplc="8758C336">
      <w:start w:val="1"/>
      <w:numFmt w:val="decimal"/>
      <w:lvlText w:val="%5."/>
      <w:lvlJc w:val="left"/>
      <w:pPr>
        <w:ind w:left="2320" w:hanging="360"/>
      </w:pPr>
    </w:lvl>
    <w:lvl w:ilvl="5" w:tplc="6054DF06">
      <w:start w:val="1"/>
      <w:numFmt w:val="decimal"/>
      <w:lvlText w:val="%6."/>
      <w:lvlJc w:val="left"/>
      <w:pPr>
        <w:ind w:left="2320" w:hanging="360"/>
      </w:pPr>
    </w:lvl>
    <w:lvl w:ilvl="6" w:tplc="7FEA95A0">
      <w:start w:val="1"/>
      <w:numFmt w:val="decimal"/>
      <w:lvlText w:val="%7."/>
      <w:lvlJc w:val="left"/>
      <w:pPr>
        <w:ind w:left="2320" w:hanging="360"/>
      </w:pPr>
    </w:lvl>
    <w:lvl w:ilvl="7" w:tplc="84D8BB06">
      <w:start w:val="1"/>
      <w:numFmt w:val="decimal"/>
      <w:lvlText w:val="%8."/>
      <w:lvlJc w:val="left"/>
      <w:pPr>
        <w:ind w:left="2320" w:hanging="360"/>
      </w:pPr>
    </w:lvl>
    <w:lvl w:ilvl="8" w:tplc="7AA6D240">
      <w:start w:val="1"/>
      <w:numFmt w:val="decimal"/>
      <w:lvlText w:val="%9."/>
      <w:lvlJc w:val="left"/>
      <w:pPr>
        <w:ind w:left="2320" w:hanging="360"/>
      </w:pPr>
    </w:lvl>
  </w:abstractNum>
  <w:abstractNum w:abstractNumId="24" w15:restartNumberingAfterBreak="0">
    <w:nsid w:val="3FBB1CA4"/>
    <w:multiLevelType w:val="hybridMultilevel"/>
    <w:tmpl w:val="297244F0"/>
    <w:lvl w:ilvl="0" w:tplc="8564E920">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420D286F"/>
    <w:multiLevelType w:val="hybridMultilevel"/>
    <w:tmpl w:val="443E4D60"/>
    <w:lvl w:ilvl="0" w:tplc="043A962A">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454B0995"/>
    <w:multiLevelType w:val="hybridMultilevel"/>
    <w:tmpl w:val="F6CA61E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8" w15:restartNumberingAfterBreak="0">
    <w:nsid w:val="486F1E8A"/>
    <w:multiLevelType w:val="hybridMultilevel"/>
    <w:tmpl w:val="6B10DF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4EF0191C"/>
    <w:multiLevelType w:val="hybridMultilevel"/>
    <w:tmpl w:val="7934286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E94C4A"/>
    <w:multiLevelType w:val="multilevel"/>
    <w:tmpl w:val="0418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072676"/>
    <w:multiLevelType w:val="hybridMultilevel"/>
    <w:tmpl w:val="54CA2CDE"/>
    <w:lvl w:ilvl="0" w:tplc="94365FD6">
      <w:start w:val="1"/>
      <w:numFmt w:val="bullet"/>
      <w:lvlText w:val=""/>
      <w:lvlJc w:val="left"/>
      <w:pPr>
        <w:tabs>
          <w:tab w:val="num" w:pos="720"/>
        </w:tabs>
        <w:ind w:left="720" w:hanging="360"/>
      </w:pPr>
      <w:rPr>
        <w:rFonts w:ascii="Symbol" w:hAnsi="Symbol" w:hint="default"/>
      </w:rPr>
    </w:lvl>
    <w:lvl w:ilvl="1" w:tplc="FAF40652" w:tentative="1">
      <w:start w:val="1"/>
      <w:numFmt w:val="bullet"/>
      <w:lvlText w:val=""/>
      <w:lvlJc w:val="left"/>
      <w:pPr>
        <w:tabs>
          <w:tab w:val="num" w:pos="1440"/>
        </w:tabs>
        <w:ind w:left="1440" w:hanging="360"/>
      </w:pPr>
      <w:rPr>
        <w:rFonts w:ascii="Symbol" w:hAnsi="Symbol" w:hint="default"/>
      </w:rPr>
    </w:lvl>
    <w:lvl w:ilvl="2" w:tplc="E5046ED4" w:tentative="1">
      <w:start w:val="1"/>
      <w:numFmt w:val="bullet"/>
      <w:lvlText w:val=""/>
      <w:lvlJc w:val="left"/>
      <w:pPr>
        <w:tabs>
          <w:tab w:val="num" w:pos="2160"/>
        </w:tabs>
        <w:ind w:left="2160" w:hanging="360"/>
      </w:pPr>
      <w:rPr>
        <w:rFonts w:ascii="Symbol" w:hAnsi="Symbol" w:hint="default"/>
      </w:rPr>
    </w:lvl>
    <w:lvl w:ilvl="3" w:tplc="182E2178" w:tentative="1">
      <w:start w:val="1"/>
      <w:numFmt w:val="bullet"/>
      <w:lvlText w:val=""/>
      <w:lvlJc w:val="left"/>
      <w:pPr>
        <w:tabs>
          <w:tab w:val="num" w:pos="2880"/>
        </w:tabs>
        <w:ind w:left="2880" w:hanging="360"/>
      </w:pPr>
      <w:rPr>
        <w:rFonts w:ascii="Symbol" w:hAnsi="Symbol" w:hint="default"/>
      </w:rPr>
    </w:lvl>
    <w:lvl w:ilvl="4" w:tplc="845E9F5A" w:tentative="1">
      <w:start w:val="1"/>
      <w:numFmt w:val="bullet"/>
      <w:lvlText w:val=""/>
      <w:lvlJc w:val="left"/>
      <w:pPr>
        <w:tabs>
          <w:tab w:val="num" w:pos="3600"/>
        </w:tabs>
        <w:ind w:left="3600" w:hanging="360"/>
      </w:pPr>
      <w:rPr>
        <w:rFonts w:ascii="Symbol" w:hAnsi="Symbol" w:hint="default"/>
      </w:rPr>
    </w:lvl>
    <w:lvl w:ilvl="5" w:tplc="D286105C" w:tentative="1">
      <w:start w:val="1"/>
      <w:numFmt w:val="bullet"/>
      <w:lvlText w:val=""/>
      <w:lvlJc w:val="left"/>
      <w:pPr>
        <w:tabs>
          <w:tab w:val="num" w:pos="4320"/>
        </w:tabs>
        <w:ind w:left="4320" w:hanging="360"/>
      </w:pPr>
      <w:rPr>
        <w:rFonts w:ascii="Symbol" w:hAnsi="Symbol" w:hint="default"/>
      </w:rPr>
    </w:lvl>
    <w:lvl w:ilvl="6" w:tplc="08A2AAB2" w:tentative="1">
      <w:start w:val="1"/>
      <w:numFmt w:val="bullet"/>
      <w:lvlText w:val=""/>
      <w:lvlJc w:val="left"/>
      <w:pPr>
        <w:tabs>
          <w:tab w:val="num" w:pos="5040"/>
        </w:tabs>
        <w:ind w:left="5040" w:hanging="360"/>
      </w:pPr>
      <w:rPr>
        <w:rFonts w:ascii="Symbol" w:hAnsi="Symbol" w:hint="default"/>
      </w:rPr>
    </w:lvl>
    <w:lvl w:ilvl="7" w:tplc="193C54FE" w:tentative="1">
      <w:start w:val="1"/>
      <w:numFmt w:val="bullet"/>
      <w:lvlText w:val=""/>
      <w:lvlJc w:val="left"/>
      <w:pPr>
        <w:tabs>
          <w:tab w:val="num" w:pos="5760"/>
        </w:tabs>
        <w:ind w:left="5760" w:hanging="360"/>
      </w:pPr>
      <w:rPr>
        <w:rFonts w:ascii="Symbol" w:hAnsi="Symbol" w:hint="default"/>
      </w:rPr>
    </w:lvl>
    <w:lvl w:ilvl="8" w:tplc="ED162A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C7F1C3A"/>
    <w:multiLevelType w:val="hybridMultilevel"/>
    <w:tmpl w:val="0FBAA8F0"/>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C659F"/>
    <w:multiLevelType w:val="hybridMultilevel"/>
    <w:tmpl w:val="9B9C5FC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7" w15:restartNumberingAfterBreak="0">
    <w:nsid w:val="72CF3F30"/>
    <w:multiLevelType w:val="hybridMultilevel"/>
    <w:tmpl w:val="B83A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A42D7C"/>
    <w:multiLevelType w:val="hybridMultilevel"/>
    <w:tmpl w:val="2FD2D98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9" w15:restartNumberingAfterBreak="0">
    <w:nsid w:val="73BD6D18"/>
    <w:multiLevelType w:val="hybridMultilevel"/>
    <w:tmpl w:val="E5E8992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836010C"/>
    <w:multiLevelType w:val="hybridMultilevel"/>
    <w:tmpl w:val="8B1C28E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1" w15:restartNumberingAfterBreak="0">
    <w:nsid w:val="7AE572CE"/>
    <w:multiLevelType w:val="hybridMultilevel"/>
    <w:tmpl w:val="076059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86686"/>
    <w:multiLevelType w:val="multilevel"/>
    <w:tmpl w:val="DAEC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71106892">
    <w:abstractNumId w:val="13"/>
  </w:num>
  <w:num w:numId="12" w16cid:durableId="1611277786">
    <w:abstractNumId w:val="28"/>
  </w:num>
  <w:num w:numId="13" w16cid:durableId="1440876958">
    <w:abstractNumId w:val="10"/>
  </w:num>
  <w:num w:numId="14" w16cid:durableId="17699680">
    <w:abstractNumId w:val="33"/>
  </w:num>
  <w:num w:numId="15" w16cid:durableId="187565178">
    <w:abstractNumId w:val="22"/>
  </w:num>
  <w:num w:numId="16" w16cid:durableId="1284072770">
    <w:abstractNumId w:val="32"/>
  </w:num>
  <w:num w:numId="17" w16cid:durableId="762799397">
    <w:abstractNumId w:val="41"/>
  </w:num>
  <w:num w:numId="18" w16cid:durableId="454830815">
    <w:abstractNumId w:val="30"/>
  </w:num>
  <w:num w:numId="19" w16cid:durableId="789129044">
    <w:abstractNumId w:val="27"/>
  </w:num>
  <w:num w:numId="20" w16cid:durableId="2094431032">
    <w:abstractNumId w:val="18"/>
  </w:num>
  <w:num w:numId="21" w16cid:durableId="748962478">
    <w:abstractNumId w:val="15"/>
  </w:num>
  <w:num w:numId="22" w16cid:durableId="939797081">
    <w:abstractNumId w:val="11"/>
  </w:num>
  <w:num w:numId="23" w16cid:durableId="1497306529">
    <w:abstractNumId w:val="21"/>
  </w:num>
  <w:num w:numId="24" w16cid:durableId="1189216420">
    <w:abstractNumId w:val="23"/>
  </w:num>
  <w:num w:numId="25" w16cid:durableId="1458455178">
    <w:abstractNumId w:val="40"/>
  </w:num>
  <w:num w:numId="26" w16cid:durableId="1053499363">
    <w:abstractNumId w:val="36"/>
  </w:num>
  <w:num w:numId="27" w16cid:durableId="287856159">
    <w:abstractNumId w:val="19"/>
  </w:num>
  <w:num w:numId="28" w16cid:durableId="1775904082">
    <w:abstractNumId w:val="39"/>
  </w:num>
  <w:num w:numId="29" w16cid:durableId="435828569">
    <w:abstractNumId w:val="16"/>
  </w:num>
  <w:num w:numId="30" w16cid:durableId="174852517">
    <w:abstractNumId w:val="24"/>
  </w:num>
  <w:num w:numId="31" w16cid:durableId="812409225">
    <w:abstractNumId w:val="25"/>
  </w:num>
  <w:num w:numId="32" w16cid:durableId="246505471">
    <w:abstractNumId w:val="29"/>
  </w:num>
  <w:num w:numId="33" w16cid:durableId="2102484457">
    <w:abstractNumId w:val="38"/>
  </w:num>
  <w:num w:numId="34" w16cid:durableId="2104916782">
    <w:abstractNumId w:val="34"/>
  </w:num>
  <w:num w:numId="35" w16cid:durableId="449054991">
    <w:abstractNumId w:val="17"/>
  </w:num>
  <w:num w:numId="36" w16cid:durableId="104932489">
    <w:abstractNumId w:val="12"/>
  </w:num>
  <w:num w:numId="37" w16cid:durableId="1403529083">
    <w:abstractNumId w:val="26"/>
  </w:num>
  <w:num w:numId="38" w16cid:durableId="1161580359">
    <w:abstractNumId w:val="35"/>
  </w:num>
  <w:num w:numId="39" w16cid:durableId="1201477697">
    <w:abstractNumId w:val="20"/>
  </w:num>
  <w:num w:numId="40" w16cid:durableId="1287472597">
    <w:abstractNumId w:val="31"/>
  </w:num>
  <w:num w:numId="41" w16cid:durableId="1444379965">
    <w:abstractNumId w:val="42"/>
  </w:num>
  <w:num w:numId="42" w16cid:durableId="2028092884">
    <w:abstractNumId w:val="14"/>
  </w:num>
  <w:num w:numId="43" w16cid:durableId="598373239">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0C"/>
    <w:rsid w:val="0000024B"/>
    <w:rsid w:val="000004F0"/>
    <w:rsid w:val="00000A05"/>
    <w:rsid w:val="00000D4C"/>
    <w:rsid w:val="00000DAF"/>
    <w:rsid w:val="00000EAB"/>
    <w:rsid w:val="000017D8"/>
    <w:rsid w:val="000018FA"/>
    <w:rsid w:val="00001EB7"/>
    <w:rsid w:val="0000253B"/>
    <w:rsid w:val="0000258E"/>
    <w:rsid w:val="000025DF"/>
    <w:rsid w:val="0000299A"/>
    <w:rsid w:val="00002BD6"/>
    <w:rsid w:val="00002C4A"/>
    <w:rsid w:val="000030E2"/>
    <w:rsid w:val="00003782"/>
    <w:rsid w:val="00003D95"/>
    <w:rsid w:val="0000464B"/>
    <w:rsid w:val="00004BB3"/>
    <w:rsid w:val="00004BD5"/>
    <w:rsid w:val="00004D93"/>
    <w:rsid w:val="00004F26"/>
    <w:rsid w:val="00005069"/>
    <w:rsid w:val="00005536"/>
    <w:rsid w:val="000057D9"/>
    <w:rsid w:val="00005BA0"/>
    <w:rsid w:val="00005C67"/>
    <w:rsid w:val="00005D4A"/>
    <w:rsid w:val="00005D71"/>
    <w:rsid w:val="00006983"/>
    <w:rsid w:val="00006C10"/>
    <w:rsid w:val="00006DAF"/>
    <w:rsid w:val="00007061"/>
    <w:rsid w:val="000075A7"/>
    <w:rsid w:val="000075E5"/>
    <w:rsid w:val="0000767C"/>
    <w:rsid w:val="00007B48"/>
    <w:rsid w:val="000102C8"/>
    <w:rsid w:val="00010361"/>
    <w:rsid w:val="00010AB6"/>
    <w:rsid w:val="00010CA2"/>
    <w:rsid w:val="00010D85"/>
    <w:rsid w:val="00011117"/>
    <w:rsid w:val="000114EC"/>
    <w:rsid w:val="00011BE8"/>
    <w:rsid w:val="00011F29"/>
    <w:rsid w:val="000121C3"/>
    <w:rsid w:val="000122EE"/>
    <w:rsid w:val="0001270B"/>
    <w:rsid w:val="0001282C"/>
    <w:rsid w:val="00012D38"/>
    <w:rsid w:val="00012E79"/>
    <w:rsid w:val="00012E91"/>
    <w:rsid w:val="00013337"/>
    <w:rsid w:val="00013755"/>
    <w:rsid w:val="000137AE"/>
    <w:rsid w:val="00013A05"/>
    <w:rsid w:val="00013A70"/>
    <w:rsid w:val="00013E07"/>
    <w:rsid w:val="000141E2"/>
    <w:rsid w:val="00014341"/>
    <w:rsid w:val="000146A3"/>
    <w:rsid w:val="000153FA"/>
    <w:rsid w:val="00015764"/>
    <w:rsid w:val="000158C2"/>
    <w:rsid w:val="00015926"/>
    <w:rsid w:val="000159C1"/>
    <w:rsid w:val="00015C6C"/>
    <w:rsid w:val="00015FC4"/>
    <w:rsid w:val="00015FD4"/>
    <w:rsid w:val="000160B0"/>
    <w:rsid w:val="00016557"/>
    <w:rsid w:val="00016F9E"/>
    <w:rsid w:val="00017D84"/>
    <w:rsid w:val="000200C8"/>
    <w:rsid w:val="000200EF"/>
    <w:rsid w:val="000206B0"/>
    <w:rsid w:val="0002078D"/>
    <w:rsid w:val="00020AA9"/>
    <w:rsid w:val="00020E18"/>
    <w:rsid w:val="000220B1"/>
    <w:rsid w:val="000220B2"/>
    <w:rsid w:val="0002238B"/>
    <w:rsid w:val="000224D6"/>
    <w:rsid w:val="000226E2"/>
    <w:rsid w:val="00022781"/>
    <w:rsid w:val="0002337A"/>
    <w:rsid w:val="0002390B"/>
    <w:rsid w:val="00023C40"/>
    <w:rsid w:val="00024202"/>
    <w:rsid w:val="00024344"/>
    <w:rsid w:val="0002442B"/>
    <w:rsid w:val="00024A58"/>
    <w:rsid w:val="00024C04"/>
    <w:rsid w:val="00024E5D"/>
    <w:rsid w:val="00024FE6"/>
    <w:rsid w:val="00025010"/>
    <w:rsid w:val="0002507D"/>
    <w:rsid w:val="0002508D"/>
    <w:rsid w:val="00025319"/>
    <w:rsid w:val="00025419"/>
    <w:rsid w:val="0002542C"/>
    <w:rsid w:val="0002573F"/>
    <w:rsid w:val="00025A47"/>
    <w:rsid w:val="0002643B"/>
    <w:rsid w:val="000264CF"/>
    <w:rsid w:val="000266F9"/>
    <w:rsid w:val="00026B29"/>
    <w:rsid w:val="00026C13"/>
    <w:rsid w:val="00027003"/>
    <w:rsid w:val="0002702F"/>
    <w:rsid w:val="000271D0"/>
    <w:rsid w:val="000276E0"/>
    <w:rsid w:val="00027BF3"/>
    <w:rsid w:val="00027C01"/>
    <w:rsid w:val="0003045D"/>
    <w:rsid w:val="00030782"/>
    <w:rsid w:val="00030787"/>
    <w:rsid w:val="00030ABC"/>
    <w:rsid w:val="00030E4F"/>
    <w:rsid w:val="00031209"/>
    <w:rsid w:val="000318CD"/>
    <w:rsid w:val="00031B86"/>
    <w:rsid w:val="00031D46"/>
    <w:rsid w:val="00031E69"/>
    <w:rsid w:val="00032557"/>
    <w:rsid w:val="00032741"/>
    <w:rsid w:val="00032AF1"/>
    <w:rsid w:val="000331A3"/>
    <w:rsid w:val="00033397"/>
    <w:rsid w:val="00033A8E"/>
    <w:rsid w:val="00033DBE"/>
    <w:rsid w:val="00033EC3"/>
    <w:rsid w:val="000340C2"/>
    <w:rsid w:val="0003452B"/>
    <w:rsid w:val="00034553"/>
    <w:rsid w:val="000345D3"/>
    <w:rsid w:val="0003512F"/>
    <w:rsid w:val="000354CB"/>
    <w:rsid w:val="00035618"/>
    <w:rsid w:val="00035944"/>
    <w:rsid w:val="00035C08"/>
    <w:rsid w:val="0003621A"/>
    <w:rsid w:val="000367CC"/>
    <w:rsid w:val="00036851"/>
    <w:rsid w:val="00036867"/>
    <w:rsid w:val="00036868"/>
    <w:rsid w:val="00036D5C"/>
    <w:rsid w:val="00036DA4"/>
    <w:rsid w:val="0003706F"/>
    <w:rsid w:val="000373C1"/>
    <w:rsid w:val="0003749D"/>
    <w:rsid w:val="00037A1A"/>
    <w:rsid w:val="00037B75"/>
    <w:rsid w:val="00037F19"/>
    <w:rsid w:val="00037F80"/>
    <w:rsid w:val="00037FCE"/>
    <w:rsid w:val="0004005D"/>
    <w:rsid w:val="00040095"/>
    <w:rsid w:val="0004014A"/>
    <w:rsid w:val="000402D7"/>
    <w:rsid w:val="00040347"/>
    <w:rsid w:val="00040923"/>
    <w:rsid w:val="00040A41"/>
    <w:rsid w:val="00040BFB"/>
    <w:rsid w:val="00040C58"/>
    <w:rsid w:val="00040CB1"/>
    <w:rsid w:val="00040D08"/>
    <w:rsid w:val="00041695"/>
    <w:rsid w:val="00041965"/>
    <w:rsid w:val="000419AD"/>
    <w:rsid w:val="0004275E"/>
    <w:rsid w:val="00042854"/>
    <w:rsid w:val="0004339C"/>
    <w:rsid w:val="000435DC"/>
    <w:rsid w:val="00043832"/>
    <w:rsid w:val="00043F5E"/>
    <w:rsid w:val="0004410B"/>
    <w:rsid w:val="00044263"/>
    <w:rsid w:val="000442A7"/>
    <w:rsid w:val="00044473"/>
    <w:rsid w:val="0004461F"/>
    <w:rsid w:val="00044A1A"/>
    <w:rsid w:val="0004593F"/>
    <w:rsid w:val="00045CA1"/>
    <w:rsid w:val="000460F8"/>
    <w:rsid w:val="00046D00"/>
    <w:rsid w:val="00046E13"/>
    <w:rsid w:val="00046ED3"/>
    <w:rsid w:val="000477CC"/>
    <w:rsid w:val="00047AA0"/>
    <w:rsid w:val="00047AB3"/>
    <w:rsid w:val="00047B11"/>
    <w:rsid w:val="00047C84"/>
    <w:rsid w:val="00047C99"/>
    <w:rsid w:val="00047F05"/>
    <w:rsid w:val="00050015"/>
    <w:rsid w:val="0005005B"/>
    <w:rsid w:val="000505F9"/>
    <w:rsid w:val="00050995"/>
    <w:rsid w:val="00051466"/>
    <w:rsid w:val="00051701"/>
    <w:rsid w:val="00051BEE"/>
    <w:rsid w:val="00051D0E"/>
    <w:rsid w:val="0005284F"/>
    <w:rsid w:val="000528D2"/>
    <w:rsid w:val="00052C0C"/>
    <w:rsid w:val="00052F4C"/>
    <w:rsid w:val="000533A6"/>
    <w:rsid w:val="000536B4"/>
    <w:rsid w:val="000541B5"/>
    <w:rsid w:val="000543E2"/>
    <w:rsid w:val="0005457B"/>
    <w:rsid w:val="000547FD"/>
    <w:rsid w:val="0005492C"/>
    <w:rsid w:val="00054A8A"/>
    <w:rsid w:val="0005534D"/>
    <w:rsid w:val="0005568C"/>
    <w:rsid w:val="000557A1"/>
    <w:rsid w:val="000559F5"/>
    <w:rsid w:val="00055AAB"/>
    <w:rsid w:val="00055F19"/>
    <w:rsid w:val="000565D1"/>
    <w:rsid w:val="00056DA6"/>
    <w:rsid w:val="000571EB"/>
    <w:rsid w:val="000574D1"/>
    <w:rsid w:val="00057AD1"/>
    <w:rsid w:val="00057FF7"/>
    <w:rsid w:val="00060114"/>
    <w:rsid w:val="000601E2"/>
    <w:rsid w:val="00060264"/>
    <w:rsid w:val="00060497"/>
    <w:rsid w:val="0006066B"/>
    <w:rsid w:val="00060703"/>
    <w:rsid w:val="00060761"/>
    <w:rsid w:val="00060872"/>
    <w:rsid w:val="00060D55"/>
    <w:rsid w:val="00061315"/>
    <w:rsid w:val="0006246D"/>
    <w:rsid w:val="0006251E"/>
    <w:rsid w:val="00062ABF"/>
    <w:rsid w:val="00062C2A"/>
    <w:rsid w:val="000633DF"/>
    <w:rsid w:val="00063D33"/>
    <w:rsid w:val="00063E24"/>
    <w:rsid w:val="000640C7"/>
    <w:rsid w:val="00064183"/>
    <w:rsid w:val="000643CA"/>
    <w:rsid w:val="000645E9"/>
    <w:rsid w:val="00065007"/>
    <w:rsid w:val="000650C8"/>
    <w:rsid w:val="000651F7"/>
    <w:rsid w:val="00065268"/>
    <w:rsid w:val="000652AA"/>
    <w:rsid w:val="00065D0E"/>
    <w:rsid w:val="00065EA7"/>
    <w:rsid w:val="000660C1"/>
    <w:rsid w:val="00067358"/>
    <w:rsid w:val="00067816"/>
    <w:rsid w:val="00067B51"/>
    <w:rsid w:val="000700AD"/>
    <w:rsid w:val="00070431"/>
    <w:rsid w:val="000705D4"/>
    <w:rsid w:val="000707A5"/>
    <w:rsid w:val="00070B12"/>
    <w:rsid w:val="00070B3D"/>
    <w:rsid w:val="00071084"/>
    <w:rsid w:val="0007120E"/>
    <w:rsid w:val="0007160B"/>
    <w:rsid w:val="0007184B"/>
    <w:rsid w:val="00071B5D"/>
    <w:rsid w:val="00071D18"/>
    <w:rsid w:val="00072672"/>
    <w:rsid w:val="000727F2"/>
    <w:rsid w:val="00072F35"/>
    <w:rsid w:val="00073185"/>
    <w:rsid w:val="00073614"/>
    <w:rsid w:val="00073C9C"/>
    <w:rsid w:val="00073FA2"/>
    <w:rsid w:val="000740EA"/>
    <w:rsid w:val="000741A8"/>
    <w:rsid w:val="0007425B"/>
    <w:rsid w:val="000746E3"/>
    <w:rsid w:val="0007496D"/>
    <w:rsid w:val="000749F2"/>
    <w:rsid w:val="0007500C"/>
    <w:rsid w:val="00075F88"/>
    <w:rsid w:val="000763CA"/>
    <w:rsid w:val="00076412"/>
    <w:rsid w:val="000764E9"/>
    <w:rsid w:val="00076952"/>
    <w:rsid w:val="00077014"/>
    <w:rsid w:val="000770D2"/>
    <w:rsid w:val="000772DF"/>
    <w:rsid w:val="00077423"/>
    <w:rsid w:val="0007747E"/>
    <w:rsid w:val="0007751F"/>
    <w:rsid w:val="00077D50"/>
    <w:rsid w:val="00077D80"/>
    <w:rsid w:val="000802D9"/>
    <w:rsid w:val="00080512"/>
    <w:rsid w:val="00080757"/>
    <w:rsid w:val="0008082B"/>
    <w:rsid w:val="00080981"/>
    <w:rsid w:val="00080995"/>
    <w:rsid w:val="00080CBC"/>
    <w:rsid w:val="00080E52"/>
    <w:rsid w:val="00080F99"/>
    <w:rsid w:val="00081842"/>
    <w:rsid w:val="00081B7E"/>
    <w:rsid w:val="00081DED"/>
    <w:rsid w:val="00082183"/>
    <w:rsid w:val="000826CB"/>
    <w:rsid w:val="0008276F"/>
    <w:rsid w:val="000827A7"/>
    <w:rsid w:val="00082A94"/>
    <w:rsid w:val="00083015"/>
    <w:rsid w:val="00083422"/>
    <w:rsid w:val="000835A4"/>
    <w:rsid w:val="000836E9"/>
    <w:rsid w:val="0008388C"/>
    <w:rsid w:val="00083EE0"/>
    <w:rsid w:val="00084449"/>
    <w:rsid w:val="00084A73"/>
    <w:rsid w:val="00084CF1"/>
    <w:rsid w:val="00084DC2"/>
    <w:rsid w:val="00084E7A"/>
    <w:rsid w:val="00084F1D"/>
    <w:rsid w:val="000850F7"/>
    <w:rsid w:val="00085BA8"/>
    <w:rsid w:val="0008607B"/>
    <w:rsid w:val="00086929"/>
    <w:rsid w:val="0008695C"/>
    <w:rsid w:val="00086E79"/>
    <w:rsid w:val="00086F25"/>
    <w:rsid w:val="00090468"/>
    <w:rsid w:val="000906CF"/>
    <w:rsid w:val="00090A96"/>
    <w:rsid w:val="00090B6B"/>
    <w:rsid w:val="00090E4A"/>
    <w:rsid w:val="0009103D"/>
    <w:rsid w:val="000914AE"/>
    <w:rsid w:val="000919D0"/>
    <w:rsid w:val="00091E93"/>
    <w:rsid w:val="00092039"/>
    <w:rsid w:val="00092565"/>
    <w:rsid w:val="00092A60"/>
    <w:rsid w:val="00092AC0"/>
    <w:rsid w:val="000930EE"/>
    <w:rsid w:val="0009352B"/>
    <w:rsid w:val="00093789"/>
    <w:rsid w:val="00093AF9"/>
    <w:rsid w:val="00093B61"/>
    <w:rsid w:val="00093DBB"/>
    <w:rsid w:val="00094568"/>
    <w:rsid w:val="000946A7"/>
    <w:rsid w:val="000948F6"/>
    <w:rsid w:val="00094D08"/>
    <w:rsid w:val="000952D8"/>
    <w:rsid w:val="000953B2"/>
    <w:rsid w:val="000953D3"/>
    <w:rsid w:val="00095424"/>
    <w:rsid w:val="00095CA3"/>
    <w:rsid w:val="0009608F"/>
    <w:rsid w:val="00096429"/>
    <w:rsid w:val="000964B4"/>
    <w:rsid w:val="000965BB"/>
    <w:rsid w:val="00097831"/>
    <w:rsid w:val="00097B18"/>
    <w:rsid w:val="00097C0A"/>
    <w:rsid w:val="00097D97"/>
    <w:rsid w:val="000A008B"/>
    <w:rsid w:val="000A032C"/>
    <w:rsid w:val="000A037D"/>
    <w:rsid w:val="000A0AC8"/>
    <w:rsid w:val="000A11AA"/>
    <w:rsid w:val="000A1375"/>
    <w:rsid w:val="000A20DB"/>
    <w:rsid w:val="000A2676"/>
    <w:rsid w:val="000A27A0"/>
    <w:rsid w:val="000A2C80"/>
    <w:rsid w:val="000A2FD6"/>
    <w:rsid w:val="000A32D4"/>
    <w:rsid w:val="000A35EF"/>
    <w:rsid w:val="000A3D71"/>
    <w:rsid w:val="000A3E39"/>
    <w:rsid w:val="000A4034"/>
    <w:rsid w:val="000A4169"/>
    <w:rsid w:val="000A42BB"/>
    <w:rsid w:val="000A4659"/>
    <w:rsid w:val="000A4DBC"/>
    <w:rsid w:val="000A4E71"/>
    <w:rsid w:val="000A5378"/>
    <w:rsid w:val="000A53D2"/>
    <w:rsid w:val="000A5F30"/>
    <w:rsid w:val="000A621F"/>
    <w:rsid w:val="000A6301"/>
    <w:rsid w:val="000A649D"/>
    <w:rsid w:val="000A6572"/>
    <w:rsid w:val="000A65C7"/>
    <w:rsid w:val="000A6BF8"/>
    <w:rsid w:val="000A702E"/>
    <w:rsid w:val="000A70B6"/>
    <w:rsid w:val="000A75F7"/>
    <w:rsid w:val="000A766D"/>
    <w:rsid w:val="000A7829"/>
    <w:rsid w:val="000A7A21"/>
    <w:rsid w:val="000B0387"/>
    <w:rsid w:val="000B0428"/>
    <w:rsid w:val="000B08AA"/>
    <w:rsid w:val="000B09AF"/>
    <w:rsid w:val="000B13BA"/>
    <w:rsid w:val="000B1485"/>
    <w:rsid w:val="000B1835"/>
    <w:rsid w:val="000B1D35"/>
    <w:rsid w:val="000B2514"/>
    <w:rsid w:val="000B2705"/>
    <w:rsid w:val="000B2730"/>
    <w:rsid w:val="000B342F"/>
    <w:rsid w:val="000B3993"/>
    <w:rsid w:val="000B477D"/>
    <w:rsid w:val="000B47EB"/>
    <w:rsid w:val="000B4BD5"/>
    <w:rsid w:val="000B4C3D"/>
    <w:rsid w:val="000B53D1"/>
    <w:rsid w:val="000B550C"/>
    <w:rsid w:val="000B5775"/>
    <w:rsid w:val="000B58E9"/>
    <w:rsid w:val="000B6D37"/>
    <w:rsid w:val="000B7951"/>
    <w:rsid w:val="000B7A37"/>
    <w:rsid w:val="000B7AB7"/>
    <w:rsid w:val="000B7B02"/>
    <w:rsid w:val="000B7B2F"/>
    <w:rsid w:val="000B7BCF"/>
    <w:rsid w:val="000B7D60"/>
    <w:rsid w:val="000B7E0B"/>
    <w:rsid w:val="000C01AB"/>
    <w:rsid w:val="000C04F5"/>
    <w:rsid w:val="000C0589"/>
    <w:rsid w:val="000C0C0D"/>
    <w:rsid w:val="000C12E2"/>
    <w:rsid w:val="000C1655"/>
    <w:rsid w:val="000C18AC"/>
    <w:rsid w:val="000C197D"/>
    <w:rsid w:val="000C1D7E"/>
    <w:rsid w:val="000C2C89"/>
    <w:rsid w:val="000C2CE8"/>
    <w:rsid w:val="000C30EC"/>
    <w:rsid w:val="000C3237"/>
    <w:rsid w:val="000C373F"/>
    <w:rsid w:val="000C384A"/>
    <w:rsid w:val="000C3E76"/>
    <w:rsid w:val="000C4145"/>
    <w:rsid w:val="000C4446"/>
    <w:rsid w:val="000C4611"/>
    <w:rsid w:val="000C4794"/>
    <w:rsid w:val="000C4AC7"/>
    <w:rsid w:val="000C522B"/>
    <w:rsid w:val="000C5249"/>
    <w:rsid w:val="000C5D3C"/>
    <w:rsid w:val="000C68CA"/>
    <w:rsid w:val="000C6F81"/>
    <w:rsid w:val="000C6FA1"/>
    <w:rsid w:val="000C6FF1"/>
    <w:rsid w:val="000C728A"/>
    <w:rsid w:val="000C7543"/>
    <w:rsid w:val="000C7DC0"/>
    <w:rsid w:val="000D0382"/>
    <w:rsid w:val="000D0462"/>
    <w:rsid w:val="000D0E63"/>
    <w:rsid w:val="000D1820"/>
    <w:rsid w:val="000D18C5"/>
    <w:rsid w:val="000D1CA9"/>
    <w:rsid w:val="000D1D1E"/>
    <w:rsid w:val="000D1EB8"/>
    <w:rsid w:val="000D215E"/>
    <w:rsid w:val="000D22A5"/>
    <w:rsid w:val="000D2388"/>
    <w:rsid w:val="000D2CC1"/>
    <w:rsid w:val="000D2E8A"/>
    <w:rsid w:val="000D317E"/>
    <w:rsid w:val="000D3181"/>
    <w:rsid w:val="000D31D8"/>
    <w:rsid w:val="000D358D"/>
    <w:rsid w:val="000D3604"/>
    <w:rsid w:val="000D3A4D"/>
    <w:rsid w:val="000D3A8F"/>
    <w:rsid w:val="000D3BF1"/>
    <w:rsid w:val="000D3DFC"/>
    <w:rsid w:val="000D3F14"/>
    <w:rsid w:val="000D3FB6"/>
    <w:rsid w:val="000D4CC4"/>
    <w:rsid w:val="000D542C"/>
    <w:rsid w:val="000D58AB"/>
    <w:rsid w:val="000D6131"/>
    <w:rsid w:val="000D6E54"/>
    <w:rsid w:val="000D7248"/>
    <w:rsid w:val="000D7986"/>
    <w:rsid w:val="000D7B6C"/>
    <w:rsid w:val="000D7C65"/>
    <w:rsid w:val="000E07DB"/>
    <w:rsid w:val="000E0A11"/>
    <w:rsid w:val="000E0B99"/>
    <w:rsid w:val="000E1137"/>
    <w:rsid w:val="000E172B"/>
    <w:rsid w:val="000E1AE2"/>
    <w:rsid w:val="000E1BFF"/>
    <w:rsid w:val="000E1C40"/>
    <w:rsid w:val="000E1E63"/>
    <w:rsid w:val="000E1EA5"/>
    <w:rsid w:val="000E21D6"/>
    <w:rsid w:val="000E23B4"/>
    <w:rsid w:val="000E2410"/>
    <w:rsid w:val="000E27E2"/>
    <w:rsid w:val="000E2A93"/>
    <w:rsid w:val="000E2BBE"/>
    <w:rsid w:val="000E2BC7"/>
    <w:rsid w:val="000E311F"/>
    <w:rsid w:val="000E3679"/>
    <w:rsid w:val="000E3FE9"/>
    <w:rsid w:val="000E4A5A"/>
    <w:rsid w:val="000E4F67"/>
    <w:rsid w:val="000E512E"/>
    <w:rsid w:val="000E53D3"/>
    <w:rsid w:val="000E54D2"/>
    <w:rsid w:val="000E58EF"/>
    <w:rsid w:val="000E5E61"/>
    <w:rsid w:val="000E6FA7"/>
    <w:rsid w:val="000E7586"/>
    <w:rsid w:val="000E767C"/>
    <w:rsid w:val="000E76F9"/>
    <w:rsid w:val="000E7CE8"/>
    <w:rsid w:val="000E7D22"/>
    <w:rsid w:val="000F02BD"/>
    <w:rsid w:val="000F0683"/>
    <w:rsid w:val="000F08D7"/>
    <w:rsid w:val="000F0A8D"/>
    <w:rsid w:val="000F0BD4"/>
    <w:rsid w:val="000F1EC6"/>
    <w:rsid w:val="000F1EE1"/>
    <w:rsid w:val="000F224F"/>
    <w:rsid w:val="000F25D5"/>
    <w:rsid w:val="000F2715"/>
    <w:rsid w:val="000F2C5A"/>
    <w:rsid w:val="000F2CC4"/>
    <w:rsid w:val="000F3020"/>
    <w:rsid w:val="000F30DA"/>
    <w:rsid w:val="000F3570"/>
    <w:rsid w:val="000F364C"/>
    <w:rsid w:val="000F43ED"/>
    <w:rsid w:val="000F476B"/>
    <w:rsid w:val="000F47F7"/>
    <w:rsid w:val="000F4A10"/>
    <w:rsid w:val="000F52FA"/>
    <w:rsid w:val="000F54D6"/>
    <w:rsid w:val="000F58C1"/>
    <w:rsid w:val="000F592C"/>
    <w:rsid w:val="000F6721"/>
    <w:rsid w:val="000F6CD5"/>
    <w:rsid w:val="000F717E"/>
    <w:rsid w:val="000F71C1"/>
    <w:rsid w:val="000F7A82"/>
    <w:rsid w:val="000F7C84"/>
    <w:rsid w:val="000F7FC6"/>
    <w:rsid w:val="00100240"/>
    <w:rsid w:val="00100489"/>
    <w:rsid w:val="00100EDD"/>
    <w:rsid w:val="00100F77"/>
    <w:rsid w:val="00100F83"/>
    <w:rsid w:val="00101300"/>
    <w:rsid w:val="00101317"/>
    <w:rsid w:val="00101470"/>
    <w:rsid w:val="001017A2"/>
    <w:rsid w:val="00101E12"/>
    <w:rsid w:val="001020A0"/>
    <w:rsid w:val="00102475"/>
    <w:rsid w:val="00102694"/>
    <w:rsid w:val="001027B9"/>
    <w:rsid w:val="00102A0C"/>
    <w:rsid w:val="00102B89"/>
    <w:rsid w:val="00102E53"/>
    <w:rsid w:val="00102F0D"/>
    <w:rsid w:val="00103645"/>
    <w:rsid w:val="0010389E"/>
    <w:rsid w:val="001039D0"/>
    <w:rsid w:val="00103B09"/>
    <w:rsid w:val="00103B7F"/>
    <w:rsid w:val="00103C88"/>
    <w:rsid w:val="001041BA"/>
    <w:rsid w:val="00104839"/>
    <w:rsid w:val="00104E44"/>
    <w:rsid w:val="00105442"/>
    <w:rsid w:val="0010548D"/>
    <w:rsid w:val="00105749"/>
    <w:rsid w:val="00105CCE"/>
    <w:rsid w:val="00106046"/>
    <w:rsid w:val="00106B81"/>
    <w:rsid w:val="00106D78"/>
    <w:rsid w:val="00106E91"/>
    <w:rsid w:val="0010702E"/>
    <w:rsid w:val="001076C7"/>
    <w:rsid w:val="0010778C"/>
    <w:rsid w:val="00107932"/>
    <w:rsid w:val="00107F60"/>
    <w:rsid w:val="0011064F"/>
    <w:rsid w:val="001107E2"/>
    <w:rsid w:val="00110B2F"/>
    <w:rsid w:val="00110CC9"/>
    <w:rsid w:val="0011117C"/>
    <w:rsid w:val="00111A90"/>
    <w:rsid w:val="001120F3"/>
    <w:rsid w:val="00112699"/>
    <w:rsid w:val="00112F1A"/>
    <w:rsid w:val="001130DE"/>
    <w:rsid w:val="001133DA"/>
    <w:rsid w:val="00113553"/>
    <w:rsid w:val="00113716"/>
    <w:rsid w:val="00113755"/>
    <w:rsid w:val="00113861"/>
    <w:rsid w:val="001139E2"/>
    <w:rsid w:val="00113A04"/>
    <w:rsid w:val="001140F7"/>
    <w:rsid w:val="00114200"/>
    <w:rsid w:val="001149A8"/>
    <w:rsid w:val="00114AB9"/>
    <w:rsid w:val="00114D5A"/>
    <w:rsid w:val="00114FE8"/>
    <w:rsid w:val="001152B0"/>
    <w:rsid w:val="0011534C"/>
    <w:rsid w:val="00115581"/>
    <w:rsid w:val="00115813"/>
    <w:rsid w:val="001159DF"/>
    <w:rsid w:val="00115B63"/>
    <w:rsid w:val="00115D88"/>
    <w:rsid w:val="00115E4C"/>
    <w:rsid w:val="00116499"/>
    <w:rsid w:val="00116781"/>
    <w:rsid w:val="00116B27"/>
    <w:rsid w:val="00116C86"/>
    <w:rsid w:val="00116C9C"/>
    <w:rsid w:val="00117156"/>
    <w:rsid w:val="0011783E"/>
    <w:rsid w:val="00117EFE"/>
    <w:rsid w:val="00120136"/>
    <w:rsid w:val="00120545"/>
    <w:rsid w:val="00120648"/>
    <w:rsid w:val="001206D3"/>
    <w:rsid w:val="0012097D"/>
    <w:rsid w:val="00121195"/>
    <w:rsid w:val="001217F6"/>
    <w:rsid w:val="00122934"/>
    <w:rsid w:val="00122D59"/>
    <w:rsid w:val="00122DCD"/>
    <w:rsid w:val="0012353E"/>
    <w:rsid w:val="00123789"/>
    <w:rsid w:val="00123B42"/>
    <w:rsid w:val="00123D67"/>
    <w:rsid w:val="00123E68"/>
    <w:rsid w:val="00124435"/>
    <w:rsid w:val="00124C3C"/>
    <w:rsid w:val="0012504A"/>
    <w:rsid w:val="00125A9F"/>
    <w:rsid w:val="00125AAE"/>
    <w:rsid w:val="00125DA9"/>
    <w:rsid w:val="00125F0A"/>
    <w:rsid w:val="0012610D"/>
    <w:rsid w:val="001261C4"/>
    <w:rsid w:val="00126335"/>
    <w:rsid w:val="00126354"/>
    <w:rsid w:val="001268BD"/>
    <w:rsid w:val="001273DA"/>
    <w:rsid w:val="0012785A"/>
    <w:rsid w:val="00130A79"/>
    <w:rsid w:val="00131913"/>
    <w:rsid w:val="00131CF1"/>
    <w:rsid w:val="001320B8"/>
    <w:rsid w:val="001325B3"/>
    <w:rsid w:val="001325C5"/>
    <w:rsid w:val="0013294B"/>
    <w:rsid w:val="001329ED"/>
    <w:rsid w:val="00132BA2"/>
    <w:rsid w:val="00132F8D"/>
    <w:rsid w:val="00134350"/>
    <w:rsid w:val="001343E8"/>
    <w:rsid w:val="00134706"/>
    <w:rsid w:val="00134755"/>
    <w:rsid w:val="001349C0"/>
    <w:rsid w:val="00134E77"/>
    <w:rsid w:val="00134F9C"/>
    <w:rsid w:val="00134FA4"/>
    <w:rsid w:val="001359EF"/>
    <w:rsid w:val="00135C0D"/>
    <w:rsid w:val="0013610D"/>
    <w:rsid w:val="00137321"/>
    <w:rsid w:val="0013798B"/>
    <w:rsid w:val="00137B81"/>
    <w:rsid w:val="001406BC"/>
    <w:rsid w:val="00140757"/>
    <w:rsid w:val="001409F6"/>
    <w:rsid w:val="00140A7D"/>
    <w:rsid w:val="0014167A"/>
    <w:rsid w:val="00141E3D"/>
    <w:rsid w:val="00141F2D"/>
    <w:rsid w:val="00142195"/>
    <w:rsid w:val="001423E8"/>
    <w:rsid w:val="0014279B"/>
    <w:rsid w:val="00142894"/>
    <w:rsid w:val="00142A48"/>
    <w:rsid w:val="00142F76"/>
    <w:rsid w:val="001444CB"/>
    <w:rsid w:val="00144796"/>
    <w:rsid w:val="0014497F"/>
    <w:rsid w:val="00145075"/>
    <w:rsid w:val="001457EB"/>
    <w:rsid w:val="00145D74"/>
    <w:rsid w:val="00145F1D"/>
    <w:rsid w:val="00145F8E"/>
    <w:rsid w:val="001464D6"/>
    <w:rsid w:val="00146567"/>
    <w:rsid w:val="00146800"/>
    <w:rsid w:val="00146F0C"/>
    <w:rsid w:val="00147717"/>
    <w:rsid w:val="0014789C"/>
    <w:rsid w:val="001479ED"/>
    <w:rsid w:val="001501A4"/>
    <w:rsid w:val="001505BA"/>
    <w:rsid w:val="001505D5"/>
    <w:rsid w:val="001506DA"/>
    <w:rsid w:val="00150A02"/>
    <w:rsid w:val="00150C5A"/>
    <w:rsid w:val="00150CAA"/>
    <w:rsid w:val="00150E0D"/>
    <w:rsid w:val="00150F98"/>
    <w:rsid w:val="00151186"/>
    <w:rsid w:val="00151416"/>
    <w:rsid w:val="00151455"/>
    <w:rsid w:val="001519FA"/>
    <w:rsid w:val="00151C5A"/>
    <w:rsid w:val="00151CD6"/>
    <w:rsid w:val="00151CFB"/>
    <w:rsid w:val="00151E86"/>
    <w:rsid w:val="00152197"/>
    <w:rsid w:val="00153131"/>
    <w:rsid w:val="001536A0"/>
    <w:rsid w:val="001538CB"/>
    <w:rsid w:val="00153E71"/>
    <w:rsid w:val="00154946"/>
    <w:rsid w:val="0015544A"/>
    <w:rsid w:val="00155661"/>
    <w:rsid w:val="0015612D"/>
    <w:rsid w:val="00156520"/>
    <w:rsid w:val="0015653A"/>
    <w:rsid w:val="00156618"/>
    <w:rsid w:val="00156697"/>
    <w:rsid w:val="00157001"/>
    <w:rsid w:val="001572FD"/>
    <w:rsid w:val="00157B74"/>
    <w:rsid w:val="00157DED"/>
    <w:rsid w:val="0016026E"/>
    <w:rsid w:val="001603F3"/>
    <w:rsid w:val="0016086A"/>
    <w:rsid w:val="00160D46"/>
    <w:rsid w:val="00160D8A"/>
    <w:rsid w:val="00161029"/>
    <w:rsid w:val="001610E0"/>
    <w:rsid w:val="001610FA"/>
    <w:rsid w:val="00161A00"/>
    <w:rsid w:val="00161D4F"/>
    <w:rsid w:val="001622E8"/>
    <w:rsid w:val="00162392"/>
    <w:rsid w:val="001623F5"/>
    <w:rsid w:val="001634AE"/>
    <w:rsid w:val="001636DD"/>
    <w:rsid w:val="00163AC8"/>
    <w:rsid w:val="00164589"/>
    <w:rsid w:val="001645EE"/>
    <w:rsid w:val="001646B0"/>
    <w:rsid w:val="00164733"/>
    <w:rsid w:val="00164B64"/>
    <w:rsid w:val="00165830"/>
    <w:rsid w:val="00165914"/>
    <w:rsid w:val="001659F1"/>
    <w:rsid w:val="00165E45"/>
    <w:rsid w:val="001661A6"/>
    <w:rsid w:val="001661BA"/>
    <w:rsid w:val="00166202"/>
    <w:rsid w:val="001662E9"/>
    <w:rsid w:val="00166400"/>
    <w:rsid w:val="0016650B"/>
    <w:rsid w:val="00166961"/>
    <w:rsid w:val="001675E6"/>
    <w:rsid w:val="00170483"/>
    <w:rsid w:val="00170623"/>
    <w:rsid w:val="001707A1"/>
    <w:rsid w:val="001708FC"/>
    <w:rsid w:val="00170CE2"/>
    <w:rsid w:val="00170DB3"/>
    <w:rsid w:val="00170E98"/>
    <w:rsid w:val="00170EFE"/>
    <w:rsid w:val="00171004"/>
    <w:rsid w:val="001710E6"/>
    <w:rsid w:val="0017145D"/>
    <w:rsid w:val="00171582"/>
    <w:rsid w:val="0017165F"/>
    <w:rsid w:val="00171BF2"/>
    <w:rsid w:val="0017250F"/>
    <w:rsid w:val="0017305F"/>
    <w:rsid w:val="00173400"/>
    <w:rsid w:val="0017351B"/>
    <w:rsid w:val="001738C6"/>
    <w:rsid w:val="00173CA5"/>
    <w:rsid w:val="001741A0"/>
    <w:rsid w:val="001742E4"/>
    <w:rsid w:val="001748AF"/>
    <w:rsid w:val="001749B9"/>
    <w:rsid w:val="00174BED"/>
    <w:rsid w:val="001753AE"/>
    <w:rsid w:val="001756DF"/>
    <w:rsid w:val="00175E9E"/>
    <w:rsid w:val="00175F72"/>
    <w:rsid w:val="00175FA0"/>
    <w:rsid w:val="0017648A"/>
    <w:rsid w:val="00176C37"/>
    <w:rsid w:val="00177818"/>
    <w:rsid w:val="0017788E"/>
    <w:rsid w:val="00177B66"/>
    <w:rsid w:val="0018006A"/>
    <w:rsid w:val="001800A0"/>
    <w:rsid w:val="0018083C"/>
    <w:rsid w:val="00180E1E"/>
    <w:rsid w:val="001816BC"/>
    <w:rsid w:val="00181A2C"/>
    <w:rsid w:val="00181A8F"/>
    <w:rsid w:val="00181B7E"/>
    <w:rsid w:val="00182832"/>
    <w:rsid w:val="001828A7"/>
    <w:rsid w:val="00182E41"/>
    <w:rsid w:val="00182F1A"/>
    <w:rsid w:val="00182F84"/>
    <w:rsid w:val="00183070"/>
    <w:rsid w:val="0018340F"/>
    <w:rsid w:val="001836A2"/>
    <w:rsid w:val="0018397C"/>
    <w:rsid w:val="00183BA4"/>
    <w:rsid w:val="00183D2C"/>
    <w:rsid w:val="00184330"/>
    <w:rsid w:val="00184922"/>
    <w:rsid w:val="0018542A"/>
    <w:rsid w:val="00185797"/>
    <w:rsid w:val="00185BC8"/>
    <w:rsid w:val="00185E42"/>
    <w:rsid w:val="001864E6"/>
    <w:rsid w:val="0018666D"/>
    <w:rsid w:val="001866CE"/>
    <w:rsid w:val="00186CBD"/>
    <w:rsid w:val="00186D23"/>
    <w:rsid w:val="001872B3"/>
    <w:rsid w:val="00187854"/>
    <w:rsid w:val="00187BD5"/>
    <w:rsid w:val="00187DEF"/>
    <w:rsid w:val="0019012A"/>
    <w:rsid w:val="0019019D"/>
    <w:rsid w:val="001907FC"/>
    <w:rsid w:val="00190A25"/>
    <w:rsid w:val="0019254C"/>
    <w:rsid w:val="001927C9"/>
    <w:rsid w:val="00192D1A"/>
    <w:rsid w:val="001936A2"/>
    <w:rsid w:val="00193BC6"/>
    <w:rsid w:val="00193C99"/>
    <w:rsid w:val="001945A1"/>
    <w:rsid w:val="001945F7"/>
    <w:rsid w:val="00194753"/>
    <w:rsid w:val="001947DC"/>
    <w:rsid w:val="00194940"/>
    <w:rsid w:val="00194A97"/>
    <w:rsid w:val="00194AF8"/>
    <w:rsid w:val="00194CD0"/>
    <w:rsid w:val="0019530C"/>
    <w:rsid w:val="00195559"/>
    <w:rsid w:val="00195AD5"/>
    <w:rsid w:val="00195EAF"/>
    <w:rsid w:val="001963B8"/>
    <w:rsid w:val="00196EC3"/>
    <w:rsid w:val="00197561"/>
    <w:rsid w:val="0019799C"/>
    <w:rsid w:val="00197A6C"/>
    <w:rsid w:val="00197BEE"/>
    <w:rsid w:val="001A01A8"/>
    <w:rsid w:val="001A0AF7"/>
    <w:rsid w:val="001A0B2C"/>
    <w:rsid w:val="001A1263"/>
    <w:rsid w:val="001A225C"/>
    <w:rsid w:val="001A2334"/>
    <w:rsid w:val="001A244E"/>
    <w:rsid w:val="001A247F"/>
    <w:rsid w:val="001A26AB"/>
    <w:rsid w:val="001A2CA0"/>
    <w:rsid w:val="001A3162"/>
    <w:rsid w:val="001A31F9"/>
    <w:rsid w:val="001A409E"/>
    <w:rsid w:val="001A43AF"/>
    <w:rsid w:val="001A44D0"/>
    <w:rsid w:val="001A4599"/>
    <w:rsid w:val="001A4822"/>
    <w:rsid w:val="001A4886"/>
    <w:rsid w:val="001A4A7F"/>
    <w:rsid w:val="001A5446"/>
    <w:rsid w:val="001A5678"/>
    <w:rsid w:val="001A5ADD"/>
    <w:rsid w:val="001A5AEE"/>
    <w:rsid w:val="001A5E2A"/>
    <w:rsid w:val="001A63C0"/>
    <w:rsid w:val="001A6520"/>
    <w:rsid w:val="001A6AA0"/>
    <w:rsid w:val="001A6B1E"/>
    <w:rsid w:val="001A6CA8"/>
    <w:rsid w:val="001A6E98"/>
    <w:rsid w:val="001A728F"/>
    <w:rsid w:val="001A79AE"/>
    <w:rsid w:val="001A7C9B"/>
    <w:rsid w:val="001A7F24"/>
    <w:rsid w:val="001B0926"/>
    <w:rsid w:val="001B0A20"/>
    <w:rsid w:val="001B11D5"/>
    <w:rsid w:val="001B1395"/>
    <w:rsid w:val="001B15D6"/>
    <w:rsid w:val="001B17F0"/>
    <w:rsid w:val="001B1810"/>
    <w:rsid w:val="001B1950"/>
    <w:rsid w:val="001B252B"/>
    <w:rsid w:val="001B25AE"/>
    <w:rsid w:val="001B299A"/>
    <w:rsid w:val="001B2B68"/>
    <w:rsid w:val="001B2BA0"/>
    <w:rsid w:val="001B2E72"/>
    <w:rsid w:val="001B2F55"/>
    <w:rsid w:val="001B2FD0"/>
    <w:rsid w:val="001B3646"/>
    <w:rsid w:val="001B3C86"/>
    <w:rsid w:val="001B3F1F"/>
    <w:rsid w:val="001B4002"/>
    <w:rsid w:val="001B4560"/>
    <w:rsid w:val="001B4749"/>
    <w:rsid w:val="001B4823"/>
    <w:rsid w:val="001B4925"/>
    <w:rsid w:val="001B49A3"/>
    <w:rsid w:val="001B49C9"/>
    <w:rsid w:val="001B49F8"/>
    <w:rsid w:val="001B4E29"/>
    <w:rsid w:val="001B523D"/>
    <w:rsid w:val="001B53F5"/>
    <w:rsid w:val="001B561E"/>
    <w:rsid w:val="001B5D1A"/>
    <w:rsid w:val="001B6282"/>
    <w:rsid w:val="001B641D"/>
    <w:rsid w:val="001B664F"/>
    <w:rsid w:val="001B6810"/>
    <w:rsid w:val="001B6A4B"/>
    <w:rsid w:val="001B73C9"/>
    <w:rsid w:val="001B7475"/>
    <w:rsid w:val="001B7641"/>
    <w:rsid w:val="001B7D8E"/>
    <w:rsid w:val="001C0168"/>
    <w:rsid w:val="001C0577"/>
    <w:rsid w:val="001C08E5"/>
    <w:rsid w:val="001C0F06"/>
    <w:rsid w:val="001C1460"/>
    <w:rsid w:val="001C1516"/>
    <w:rsid w:val="001C1871"/>
    <w:rsid w:val="001C23CC"/>
    <w:rsid w:val="001C23F4"/>
    <w:rsid w:val="001C2592"/>
    <w:rsid w:val="001C29D9"/>
    <w:rsid w:val="001C324E"/>
    <w:rsid w:val="001C3EB8"/>
    <w:rsid w:val="001C401E"/>
    <w:rsid w:val="001C4296"/>
    <w:rsid w:val="001C491F"/>
    <w:rsid w:val="001C4D11"/>
    <w:rsid w:val="001C4DA0"/>
    <w:rsid w:val="001C4F79"/>
    <w:rsid w:val="001C5091"/>
    <w:rsid w:val="001C52A9"/>
    <w:rsid w:val="001C59C2"/>
    <w:rsid w:val="001C5CA5"/>
    <w:rsid w:val="001C5EEF"/>
    <w:rsid w:val="001C6316"/>
    <w:rsid w:val="001C6F64"/>
    <w:rsid w:val="001D0AE8"/>
    <w:rsid w:val="001D11CC"/>
    <w:rsid w:val="001D1AF5"/>
    <w:rsid w:val="001D1CA2"/>
    <w:rsid w:val="001D285A"/>
    <w:rsid w:val="001D28B8"/>
    <w:rsid w:val="001D2AB5"/>
    <w:rsid w:val="001D2D01"/>
    <w:rsid w:val="001D2E84"/>
    <w:rsid w:val="001D3231"/>
    <w:rsid w:val="001D393C"/>
    <w:rsid w:val="001D3D21"/>
    <w:rsid w:val="001D3F80"/>
    <w:rsid w:val="001D42FF"/>
    <w:rsid w:val="001D4519"/>
    <w:rsid w:val="001D4A70"/>
    <w:rsid w:val="001D4C77"/>
    <w:rsid w:val="001D4EC9"/>
    <w:rsid w:val="001D5006"/>
    <w:rsid w:val="001D5210"/>
    <w:rsid w:val="001D5272"/>
    <w:rsid w:val="001D52B9"/>
    <w:rsid w:val="001D598B"/>
    <w:rsid w:val="001D5E4A"/>
    <w:rsid w:val="001D5EFC"/>
    <w:rsid w:val="001D5F8B"/>
    <w:rsid w:val="001D6331"/>
    <w:rsid w:val="001D6C5A"/>
    <w:rsid w:val="001D6D01"/>
    <w:rsid w:val="001D6D2F"/>
    <w:rsid w:val="001D760E"/>
    <w:rsid w:val="001D7723"/>
    <w:rsid w:val="001D7847"/>
    <w:rsid w:val="001D78DC"/>
    <w:rsid w:val="001D7D65"/>
    <w:rsid w:val="001E0074"/>
    <w:rsid w:val="001E007D"/>
    <w:rsid w:val="001E00D8"/>
    <w:rsid w:val="001E0214"/>
    <w:rsid w:val="001E0695"/>
    <w:rsid w:val="001E13F4"/>
    <w:rsid w:val="001E15EF"/>
    <w:rsid w:val="001E1631"/>
    <w:rsid w:val="001E182E"/>
    <w:rsid w:val="001E1B40"/>
    <w:rsid w:val="001E202B"/>
    <w:rsid w:val="001E234F"/>
    <w:rsid w:val="001E2634"/>
    <w:rsid w:val="001E27AA"/>
    <w:rsid w:val="001E31DC"/>
    <w:rsid w:val="001E34EE"/>
    <w:rsid w:val="001E3B23"/>
    <w:rsid w:val="001E4486"/>
    <w:rsid w:val="001E461B"/>
    <w:rsid w:val="001E46ED"/>
    <w:rsid w:val="001E480C"/>
    <w:rsid w:val="001E48C4"/>
    <w:rsid w:val="001E5176"/>
    <w:rsid w:val="001E5397"/>
    <w:rsid w:val="001E5573"/>
    <w:rsid w:val="001E561E"/>
    <w:rsid w:val="001E5634"/>
    <w:rsid w:val="001E57C3"/>
    <w:rsid w:val="001E5931"/>
    <w:rsid w:val="001E59F8"/>
    <w:rsid w:val="001E5E7A"/>
    <w:rsid w:val="001E60F3"/>
    <w:rsid w:val="001E625C"/>
    <w:rsid w:val="001E6AAC"/>
    <w:rsid w:val="001E7474"/>
    <w:rsid w:val="001E7864"/>
    <w:rsid w:val="001E79FE"/>
    <w:rsid w:val="001E7A3A"/>
    <w:rsid w:val="001E7B56"/>
    <w:rsid w:val="001E7C2C"/>
    <w:rsid w:val="001E7F2B"/>
    <w:rsid w:val="001F029A"/>
    <w:rsid w:val="001F02F6"/>
    <w:rsid w:val="001F058F"/>
    <w:rsid w:val="001F08A0"/>
    <w:rsid w:val="001F08BF"/>
    <w:rsid w:val="001F0C66"/>
    <w:rsid w:val="001F123A"/>
    <w:rsid w:val="001F1414"/>
    <w:rsid w:val="001F1491"/>
    <w:rsid w:val="001F15F8"/>
    <w:rsid w:val="001F168B"/>
    <w:rsid w:val="001F177F"/>
    <w:rsid w:val="001F189F"/>
    <w:rsid w:val="001F1CBF"/>
    <w:rsid w:val="001F243C"/>
    <w:rsid w:val="001F2B48"/>
    <w:rsid w:val="001F2D29"/>
    <w:rsid w:val="001F2D54"/>
    <w:rsid w:val="001F3017"/>
    <w:rsid w:val="001F311B"/>
    <w:rsid w:val="001F3321"/>
    <w:rsid w:val="001F3A20"/>
    <w:rsid w:val="001F40F3"/>
    <w:rsid w:val="001F4114"/>
    <w:rsid w:val="001F41ED"/>
    <w:rsid w:val="001F44F0"/>
    <w:rsid w:val="001F4E52"/>
    <w:rsid w:val="001F52CB"/>
    <w:rsid w:val="001F53BC"/>
    <w:rsid w:val="001F541E"/>
    <w:rsid w:val="001F59A9"/>
    <w:rsid w:val="001F5C21"/>
    <w:rsid w:val="001F610B"/>
    <w:rsid w:val="001F667F"/>
    <w:rsid w:val="001F6AA8"/>
    <w:rsid w:val="001F72AC"/>
    <w:rsid w:val="001F73E9"/>
    <w:rsid w:val="001F74F5"/>
    <w:rsid w:val="001F76F0"/>
    <w:rsid w:val="001F7831"/>
    <w:rsid w:val="001F7B16"/>
    <w:rsid w:val="00200710"/>
    <w:rsid w:val="00201979"/>
    <w:rsid w:val="00202132"/>
    <w:rsid w:val="002023A8"/>
    <w:rsid w:val="002032A7"/>
    <w:rsid w:val="002035CA"/>
    <w:rsid w:val="00203645"/>
    <w:rsid w:val="00203856"/>
    <w:rsid w:val="00204045"/>
    <w:rsid w:val="00204442"/>
    <w:rsid w:val="00204898"/>
    <w:rsid w:val="00204AC6"/>
    <w:rsid w:val="00204D85"/>
    <w:rsid w:val="00204F9A"/>
    <w:rsid w:val="00205106"/>
    <w:rsid w:val="00205BE4"/>
    <w:rsid w:val="00205C03"/>
    <w:rsid w:val="00205C15"/>
    <w:rsid w:val="00206074"/>
    <w:rsid w:val="002061B5"/>
    <w:rsid w:val="00206256"/>
    <w:rsid w:val="0020659D"/>
    <w:rsid w:val="00206772"/>
    <w:rsid w:val="00206B63"/>
    <w:rsid w:val="00206C6D"/>
    <w:rsid w:val="00206CE5"/>
    <w:rsid w:val="00206E69"/>
    <w:rsid w:val="0020712B"/>
    <w:rsid w:val="002071C2"/>
    <w:rsid w:val="00207577"/>
    <w:rsid w:val="00207A1B"/>
    <w:rsid w:val="00207D9B"/>
    <w:rsid w:val="00207DB3"/>
    <w:rsid w:val="002109F4"/>
    <w:rsid w:val="00210D79"/>
    <w:rsid w:val="00210DD6"/>
    <w:rsid w:val="002117EA"/>
    <w:rsid w:val="00211BE6"/>
    <w:rsid w:val="00211EA3"/>
    <w:rsid w:val="002121FF"/>
    <w:rsid w:val="002123E5"/>
    <w:rsid w:val="002124FB"/>
    <w:rsid w:val="002126BF"/>
    <w:rsid w:val="00212725"/>
    <w:rsid w:val="00212807"/>
    <w:rsid w:val="00212B4A"/>
    <w:rsid w:val="002137D0"/>
    <w:rsid w:val="00213C02"/>
    <w:rsid w:val="00213CB8"/>
    <w:rsid w:val="0021425A"/>
    <w:rsid w:val="0021448A"/>
    <w:rsid w:val="002148CE"/>
    <w:rsid w:val="00214B4E"/>
    <w:rsid w:val="00214BE9"/>
    <w:rsid w:val="00215C97"/>
    <w:rsid w:val="00216257"/>
    <w:rsid w:val="002166CF"/>
    <w:rsid w:val="00217399"/>
    <w:rsid w:val="002176F9"/>
    <w:rsid w:val="00217784"/>
    <w:rsid w:val="00217AB1"/>
    <w:rsid w:val="00217CE6"/>
    <w:rsid w:val="00217CEB"/>
    <w:rsid w:val="0022007F"/>
    <w:rsid w:val="002202EF"/>
    <w:rsid w:val="002206DD"/>
    <w:rsid w:val="00220895"/>
    <w:rsid w:val="00220A79"/>
    <w:rsid w:val="00220F52"/>
    <w:rsid w:val="002214D3"/>
    <w:rsid w:val="00222145"/>
    <w:rsid w:val="002221F4"/>
    <w:rsid w:val="00222844"/>
    <w:rsid w:val="00223C50"/>
    <w:rsid w:val="00223D04"/>
    <w:rsid w:val="0022450A"/>
    <w:rsid w:val="00224644"/>
    <w:rsid w:val="00224739"/>
    <w:rsid w:val="00224A91"/>
    <w:rsid w:val="0022538E"/>
    <w:rsid w:val="00225DCE"/>
    <w:rsid w:val="0022606D"/>
    <w:rsid w:val="00226421"/>
    <w:rsid w:val="002264FB"/>
    <w:rsid w:val="00226AC9"/>
    <w:rsid w:val="00226E75"/>
    <w:rsid w:val="00226F05"/>
    <w:rsid w:val="002270B6"/>
    <w:rsid w:val="002274A7"/>
    <w:rsid w:val="0022779E"/>
    <w:rsid w:val="002279C8"/>
    <w:rsid w:val="002279CA"/>
    <w:rsid w:val="00227C3F"/>
    <w:rsid w:val="00227CE5"/>
    <w:rsid w:val="002300E9"/>
    <w:rsid w:val="002301B9"/>
    <w:rsid w:val="002305F7"/>
    <w:rsid w:val="00230BCC"/>
    <w:rsid w:val="00230CE9"/>
    <w:rsid w:val="00231317"/>
    <w:rsid w:val="00231330"/>
    <w:rsid w:val="00231502"/>
    <w:rsid w:val="00231590"/>
    <w:rsid w:val="00231728"/>
    <w:rsid w:val="00231920"/>
    <w:rsid w:val="00231A63"/>
    <w:rsid w:val="00231BD0"/>
    <w:rsid w:val="002321EF"/>
    <w:rsid w:val="0023221E"/>
    <w:rsid w:val="002325C5"/>
    <w:rsid w:val="00232C6E"/>
    <w:rsid w:val="00232E4B"/>
    <w:rsid w:val="0023363C"/>
    <w:rsid w:val="00233655"/>
    <w:rsid w:val="00233D55"/>
    <w:rsid w:val="002342F5"/>
    <w:rsid w:val="00234348"/>
    <w:rsid w:val="00234359"/>
    <w:rsid w:val="0023476D"/>
    <w:rsid w:val="0023478C"/>
    <w:rsid w:val="00234C2D"/>
    <w:rsid w:val="00234CC2"/>
    <w:rsid w:val="0023523E"/>
    <w:rsid w:val="00235C69"/>
    <w:rsid w:val="00236162"/>
    <w:rsid w:val="00236350"/>
    <w:rsid w:val="002367BA"/>
    <w:rsid w:val="002374BE"/>
    <w:rsid w:val="0023760B"/>
    <w:rsid w:val="0023764E"/>
    <w:rsid w:val="0023790B"/>
    <w:rsid w:val="002379CB"/>
    <w:rsid w:val="00237C9F"/>
    <w:rsid w:val="002406F1"/>
    <w:rsid w:val="00240C1D"/>
    <w:rsid w:val="00241086"/>
    <w:rsid w:val="0024117B"/>
    <w:rsid w:val="002419EA"/>
    <w:rsid w:val="00241A4C"/>
    <w:rsid w:val="00241AF8"/>
    <w:rsid w:val="00241B1E"/>
    <w:rsid w:val="00241FD8"/>
    <w:rsid w:val="00242246"/>
    <w:rsid w:val="00242CFD"/>
    <w:rsid w:val="00243E6A"/>
    <w:rsid w:val="002442DF"/>
    <w:rsid w:val="00244420"/>
    <w:rsid w:val="00244534"/>
    <w:rsid w:val="0024468E"/>
    <w:rsid w:val="0024499C"/>
    <w:rsid w:val="00244A05"/>
    <w:rsid w:val="00244B07"/>
    <w:rsid w:val="00244EAE"/>
    <w:rsid w:val="00245406"/>
    <w:rsid w:val="0024557E"/>
    <w:rsid w:val="00245FA3"/>
    <w:rsid w:val="00245FCA"/>
    <w:rsid w:val="00246354"/>
    <w:rsid w:val="002463AB"/>
    <w:rsid w:val="002466DB"/>
    <w:rsid w:val="00246DB2"/>
    <w:rsid w:val="00246E10"/>
    <w:rsid w:val="00247175"/>
    <w:rsid w:val="002473F9"/>
    <w:rsid w:val="00247707"/>
    <w:rsid w:val="00250027"/>
    <w:rsid w:val="002503D7"/>
    <w:rsid w:val="00250404"/>
    <w:rsid w:val="002505FD"/>
    <w:rsid w:val="00250C81"/>
    <w:rsid w:val="00250E74"/>
    <w:rsid w:val="00251027"/>
    <w:rsid w:val="002518AB"/>
    <w:rsid w:val="00251EAD"/>
    <w:rsid w:val="00252198"/>
    <w:rsid w:val="0025229C"/>
    <w:rsid w:val="002524B1"/>
    <w:rsid w:val="00253A6D"/>
    <w:rsid w:val="0025474F"/>
    <w:rsid w:val="002549FC"/>
    <w:rsid w:val="00254B73"/>
    <w:rsid w:val="00254BF1"/>
    <w:rsid w:val="002554C7"/>
    <w:rsid w:val="00255702"/>
    <w:rsid w:val="00255A86"/>
    <w:rsid w:val="00255B97"/>
    <w:rsid w:val="00256032"/>
    <w:rsid w:val="00256B74"/>
    <w:rsid w:val="00256B87"/>
    <w:rsid w:val="00256E4E"/>
    <w:rsid w:val="002571FF"/>
    <w:rsid w:val="00257490"/>
    <w:rsid w:val="00257B62"/>
    <w:rsid w:val="00257D6A"/>
    <w:rsid w:val="002609FF"/>
    <w:rsid w:val="00260BEC"/>
    <w:rsid w:val="00260E19"/>
    <w:rsid w:val="002610D8"/>
    <w:rsid w:val="00261252"/>
    <w:rsid w:val="0026177E"/>
    <w:rsid w:val="002619F5"/>
    <w:rsid w:val="00261F4F"/>
    <w:rsid w:val="002621BC"/>
    <w:rsid w:val="00262D1E"/>
    <w:rsid w:val="00262D61"/>
    <w:rsid w:val="002633A3"/>
    <w:rsid w:val="0026399D"/>
    <w:rsid w:val="002639D2"/>
    <w:rsid w:val="00263B27"/>
    <w:rsid w:val="00263BB5"/>
    <w:rsid w:val="00263FB2"/>
    <w:rsid w:val="00264B0C"/>
    <w:rsid w:val="00264BC2"/>
    <w:rsid w:val="0026515C"/>
    <w:rsid w:val="0026538F"/>
    <w:rsid w:val="002654E0"/>
    <w:rsid w:val="00265918"/>
    <w:rsid w:val="00265FB8"/>
    <w:rsid w:val="00266173"/>
    <w:rsid w:val="00266B7A"/>
    <w:rsid w:val="0026794A"/>
    <w:rsid w:val="00267D42"/>
    <w:rsid w:val="00267FD5"/>
    <w:rsid w:val="0027011C"/>
    <w:rsid w:val="00270403"/>
    <w:rsid w:val="002704E9"/>
    <w:rsid w:val="00270AEA"/>
    <w:rsid w:val="00270E1B"/>
    <w:rsid w:val="00271139"/>
    <w:rsid w:val="002716AF"/>
    <w:rsid w:val="002717F3"/>
    <w:rsid w:val="00271955"/>
    <w:rsid w:val="00271C50"/>
    <w:rsid w:val="00272086"/>
    <w:rsid w:val="002725BE"/>
    <w:rsid w:val="002731BA"/>
    <w:rsid w:val="002733C4"/>
    <w:rsid w:val="00273483"/>
    <w:rsid w:val="002735B2"/>
    <w:rsid w:val="00273A9F"/>
    <w:rsid w:val="00273C98"/>
    <w:rsid w:val="0027463E"/>
    <w:rsid w:val="00274671"/>
    <w:rsid w:val="002747EC"/>
    <w:rsid w:val="00275654"/>
    <w:rsid w:val="00276820"/>
    <w:rsid w:val="00276D5C"/>
    <w:rsid w:val="00277351"/>
    <w:rsid w:val="002775C8"/>
    <w:rsid w:val="00277606"/>
    <w:rsid w:val="00280572"/>
    <w:rsid w:val="00280A12"/>
    <w:rsid w:val="00280DED"/>
    <w:rsid w:val="00280ECC"/>
    <w:rsid w:val="00281413"/>
    <w:rsid w:val="00281588"/>
    <w:rsid w:val="00281911"/>
    <w:rsid w:val="00281965"/>
    <w:rsid w:val="00281A58"/>
    <w:rsid w:val="00282619"/>
    <w:rsid w:val="0028272D"/>
    <w:rsid w:val="00283421"/>
    <w:rsid w:val="00283670"/>
    <w:rsid w:val="002836FD"/>
    <w:rsid w:val="0028380E"/>
    <w:rsid w:val="0028394A"/>
    <w:rsid w:val="002839DD"/>
    <w:rsid w:val="00283B02"/>
    <w:rsid w:val="00283CF6"/>
    <w:rsid w:val="00284644"/>
    <w:rsid w:val="00284BF2"/>
    <w:rsid w:val="00284E4F"/>
    <w:rsid w:val="0028511C"/>
    <w:rsid w:val="002855BF"/>
    <w:rsid w:val="002855D7"/>
    <w:rsid w:val="00285851"/>
    <w:rsid w:val="002858EE"/>
    <w:rsid w:val="00286123"/>
    <w:rsid w:val="00286223"/>
    <w:rsid w:val="0028654E"/>
    <w:rsid w:val="00286919"/>
    <w:rsid w:val="002870FC"/>
    <w:rsid w:val="00287833"/>
    <w:rsid w:val="002905E6"/>
    <w:rsid w:val="0029076F"/>
    <w:rsid w:val="00290A7C"/>
    <w:rsid w:val="00290EA4"/>
    <w:rsid w:val="00290F26"/>
    <w:rsid w:val="002913EF"/>
    <w:rsid w:val="00291413"/>
    <w:rsid w:val="00291B0A"/>
    <w:rsid w:val="002925A5"/>
    <w:rsid w:val="002928C2"/>
    <w:rsid w:val="00292A4A"/>
    <w:rsid w:val="00292C6A"/>
    <w:rsid w:val="00292D87"/>
    <w:rsid w:val="00293444"/>
    <w:rsid w:val="00293510"/>
    <w:rsid w:val="00293921"/>
    <w:rsid w:val="00293B16"/>
    <w:rsid w:val="00293DA1"/>
    <w:rsid w:val="00293EFE"/>
    <w:rsid w:val="00293F07"/>
    <w:rsid w:val="00294CB8"/>
    <w:rsid w:val="00294CCF"/>
    <w:rsid w:val="00294CF2"/>
    <w:rsid w:val="00296220"/>
    <w:rsid w:val="0029667D"/>
    <w:rsid w:val="00296865"/>
    <w:rsid w:val="0029695D"/>
    <w:rsid w:val="002969C3"/>
    <w:rsid w:val="00297D43"/>
    <w:rsid w:val="00297E6B"/>
    <w:rsid w:val="00297EBA"/>
    <w:rsid w:val="002A0366"/>
    <w:rsid w:val="002A05FE"/>
    <w:rsid w:val="002A0F74"/>
    <w:rsid w:val="002A12CA"/>
    <w:rsid w:val="002A1620"/>
    <w:rsid w:val="002A1666"/>
    <w:rsid w:val="002A17B2"/>
    <w:rsid w:val="002A1821"/>
    <w:rsid w:val="002A267D"/>
    <w:rsid w:val="002A2935"/>
    <w:rsid w:val="002A31E0"/>
    <w:rsid w:val="002A31F4"/>
    <w:rsid w:val="002A34DD"/>
    <w:rsid w:val="002A36E8"/>
    <w:rsid w:val="002A3AD3"/>
    <w:rsid w:val="002A46D3"/>
    <w:rsid w:val="002A4C93"/>
    <w:rsid w:val="002A52F5"/>
    <w:rsid w:val="002A5446"/>
    <w:rsid w:val="002A5492"/>
    <w:rsid w:val="002A56FF"/>
    <w:rsid w:val="002A5765"/>
    <w:rsid w:val="002A5785"/>
    <w:rsid w:val="002A588A"/>
    <w:rsid w:val="002A5E8C"/>
    <w:rsid w:val="002A5ECF"/>
    <w:rsid w:val="002A6012"/>
    <w:rsid w:val="002A626F"/>
    <w:rsid w:val="002A6342"/>
    <w:rsid w:val="002A718C"/>
    <w:rsid w:val="002A7687"/>
    <w:rsid w:val="002A76C4"/>
    <w:rsid w:val="002A770B"/>
    <w:rsid w:val="002A790F"/>
    <w:rsid w:val="002B03C6"/>
    <w:rsid w:val="002B08F6"/>
    <w:rsid w:val="002B0E10"/>
    <w:rsid w:val="002B0F5C"/>
    <w:rsid w:val="002B13F6"/>
    <w:rsid w:val="002B1561"/>
    <w:rsid w:val="002B18D9"/>
    <w:rsid w:val="002B1AE9"/>
    <w:rsid w:val="002B220C"/>
    <w:rsid w:val="002B24D6"/>
    <w:rsid w:val="002B2503"/>
    <w:rsid w:val="002B2988"/>
    <w:rsid w:val="002B2C3B"/>
    <w:rsid w:val="002B2C59"/>
    <w:rsid w:val="002B2CAB"/>
    <w:rsid w:val="002B2D91"/>
    <w:rsid w:val="002B3DC6"/>
    <w:rsid w:val="002B42BE"/>
    <w:rsid w:val="002B4A27"/>
    <w:rsid w:val="002B4B6A"/>
    <w:rsid w:val="002B4F28"/>
    <w:rsid w:val="002B51D5"/>
    <w:rsid w:val="002B5C37"/>
    <w:rsid w:val="002B6215"/>
    <w:rsid w:val="002B6348"/>
    <w:rsid w:val="002B6B86"/>
    <w:rsid w:val="002B6D68"/>
    <w:rsid w:val="002B6FF7"/>
    <w:rsid w:val="002B7031"/>
    <w:rsid w:val="002B79E2"/>
    <w:rsid w:val="002B7DB5"/>
    <w:rsid w:val="002C0003"/>
    <w:rsid w:val="002C0035"/>
    <w:rsid w:val="002C0139"/>
    <w:rsid w:val="002C02C1"/>
    <w:rsid w:val="002C030B"/>
    <w:rsid w:val="002C036B"/>
    <w:rsid w:val="002C03F7"/>
    <w:rsid w:val="002C0650"/>
    <w:rsid w:val="002C07A8"/>
    <w:rsid w:val="002C0DA6"/>
    <w:rsid w:val="002C0DE7"/>
    <w:rsid w:val="002C1402"/>
    <w:rsid w:val="002C1B85"/>
    <w:rsid w:val="002C22F2"/>
    <w:rsid w:val="002C25BD"/>
    <w:rsid w:val="002C2615"/>
    <w:rsid w:val="002C2E13"/>
    <w:rsid w:val="002C3490"/>
    <w:rsid w:val="002C3829"/>
    <w:rsid w:val="002C3C98"/>
    <w:rsid w:val="002C4E5B"/>
    <w:rsid w:val="002C5055"/>
    <w:rsid w:val="002C5236"/>
    <w:rsid w:val="002C5367"/>
    <w:rsid w:val="002C5B80"/>
    <w:rsid w:val="002C64AA"/>
    <w:rsid w:val="002C695A"/>
    <w:rsid w:val="002C6E20"/>
    <w:rsid w:val="002C70B5"/>
    <w:rsid w:val="002C7106"/>
    <w:rsid w:val="002C758E"/>
    <w:rsid w:val="002C7613"/>
    <w:rsid w:val="002C7C57"/>
    <w:rsid w:val="002C7DAC"/>
    <w:rsid w:val="002C7E6F"/>
    <w:rsid w:val="002D0185"/>
    <w:rsid w:val="002D024A"/>
    <w:rsid w:val="002D07FE"/>
    <w:rsid w:val="002D0BC1"/>
    <w:rsid w:val="002D0D77"/>
    <w:rsid w:val="002D1FDB"/>
    <w:rsid w:val="002D216B"/>
    <w:rsid w:val="002D2189"/>
    <w:rsid w:val="002D2868"/>
    <w:rsid w:val="002D291B"/>
    <w:rsid w:val="002D2BF4"/>
    <w:rsid w:val="002D31D4"/>
    <w:rsid w:val="002D3560"/>
    <w:rsid w:val="002D35C4"/>
    <w:rsid w:val="002D3664"/>
    <w:rsid w:val="002D3F9A"/>
    <w:rsid w:val="002D4A79"/>
    <w:rsid w:val="002D51D8"/>
    <w:rsid w:val="002D58B2"/>
    <w:rsid w:val="002D58B9"/>
    <w:rsid w:val="002D58CE"/>
    <w:rsid w:val="002D5AB9"/>
    <w:rsid w:val="002D5B35"/>
    <w:rsid w:val="002D61CF"/>
    <w:rsid w:val="002D625F"/>
    <w:rsid w:val="002D67E9"/>
    <w:rsid w:val="002D68C1"/>
    <w:rsid w:val="002D69BE"/>
    <w:rsid w:val="002D6B73"/>
    <w:rsid w:val="002D6DBE"/>
    <w:rsid w:val="002D6EE8"/>
    <w:rsid w:val="002D724D"/>
    <w:rsid w:val="002D7546"/>
    <w:rsid w:val="002E0183"/>
    <w:rsid w:val="002E0828"/>
    <w:rsid w:val="002E0B82"/>
    <w:rsid w:val="002E1458"/>
    <w:rsid w:val="002E1732"/>
    <w:rsid w:val="002E18B7"/>
    <w:rsid w:val="002E1E45"/>
    <w:rsid w:val="002E204A"/>
    <w:rsid w:val="002E2165"/>
    <w:rsid w:val="002E21C6"/>
    <w:rsid w:val="002E297F"/>
    <w:rsid w:val="002E29F9"/>
    <w:rsid w:val="002E2A2A"/>
    <w:rsid w:val="002E3F81"/>
    <w:rsid w:val="002E473A"/>
    <w:rsid w:val="002E4808"/>
    <w:rsid w:val="002E4908"/>
    <w:rsid w:val="002E49A0"/>
    <w:rsid w:val="002E4A9D"/>
    <w:rsid w:val="002E4AA8"/>
    <w:rsid w:val="002E4F3D"/>
    <w:rsid w:val="002E54A3"/>
    <w:rsid w:val="002E57F7"/>
    <w:rsid w:val="002E5971"/>
    <w:rsid w:val="002E606E"/>
    <w:rsid w:val="002E6097"/>
    <w:rsid w:val="002E63A5"/>
    <w:rsid w:val="002E63FF"/>
    <w:rsid w:val="002E64FD"/>
    <w:rsid w:val="002E6579"/>
    <w:rsid w:val="002E6B55"/>
    <w:rsid w:val="002E7110"/>
    <w:rsid w:val="002E7F93"/>
    <w:rsid w:val="002F04F4"/>
    <w:rsid w:val="002F08A5"/>
    <w:rsid w:val="002F0D22"/>
    <w:rsid w:val="002F0E92"/>
    <w:rsid w:val="002F0FC8"/>
    <w:rsid w:val="002F11EA"/>
    <w:rsid w:val="002F1D8E"/>
    <w:rsid w:val="002F1DD5"/>
    <w:rsid w:val="002F26CB"/>
    <w:rsid w:val="002F283E"/>
    <w:rsid w:val="002F29AD"/>
    <w:rsid w:val="002F2A4A"/>
    <w:rsid w:val="002F2CE3"/>
    <w:rsid w:val="002F33AE"/>
    <w:rsid w:val="002F3678"/>
    <w:rsid w:val="002F3AC0"/>
    <w:rsid w:val="002F40B6"/>
    <w:rsid w:val="002F4586"/>
    <w:rsid w:val="002F4E21"/>
    <w:rsid w:val="002F676A"/>
    <w:rsid w:val="002F68D1"/>
    <w:rsid w:val="002F6AC7"/>
    <w:rsid w:val="002F6F8D"/>
    <w:rsid w:val="002F7745"/>
    <w:rsid w:val="002F774F"/>
    <w:rsid w:val="002F786C"/>
    <w:rsid w:val="002F7DE4"/>
    <w:rsid w:val="002F7F65"/>
    <w:rsid w:val="00300372"/>
    <w:rsid w:val="003006C8"/>
    <w:rsid w:val="00300AC1"/>
    <w:rsid w:val="00300EC6"/>
    <w:rsid w:val="00301082"/>
    <w:rsid w:val="00301127"/>
    <w:rsid w:val="0030112F"/>
    <w:rsid w:val="00301939"/>
    <w:rsid w:val="003019E5"/>
    <w:rsid w:val="00302AC4"/>
    <w:rsid w:val="00303091"/>
    <w:rsid w:val="003033E9"/>
    <w:rsid w:val="003036BE"/>
    <w:rsid w:val="00303D3E"/>
    <w:rsid w:val="00303FA3"/>
    <w:rsid w:val="00304065"/>
    <w:rsid w:val="003041AC"/>
    <w:rsid w:val="0030422C"/>
    <w:rsid w:val="00304454"/>
    <w:rsid w:val="0030468A"/>
    <w:rsid w:val="00304A7C"/>
    <w:rsid w:val="00304DF9"/>
    <w:rsid w:val="00305527"/>
    <w:rsid w:val="00305682"/>
    <w:rsid w:val="00305A44"/>
    <w:rsid w:val="00305BA4"/>
    <w:rsid w:val="00305DDE"/>
    <w:rsid w:val="00306001"/>
    <w:rsid w:val="00306D0A"/>
    <w:rsid w:val="00306DC7"/>
    <w:rsid w:val="00306EEA"/>
    <w:rsid w:val="00306FB0"/>
    <w:rsid w:val="00307299"/>
    <w:rsid w:val="00307AA3"/>
    <w:rsid w:val="003105D7"/>
    <w:rsid w:val="003107BC"/>
    <w:rsid w:val="003107E4"/>
    <w:rsid w:val="00310B12"/>
    <w:rsid w:val="003110E2"/>
    <w:rsid w:val="003111D9"/>
    <w:rsid w:val="003116A0"/>
    <w:rsid w:val="00311B17"/>
    <w:rsid w:val="00311D3E"/>
    <w:rsid w:val="003121B9"/>
    <w:rsid w:val="003125C9"/>
    <w:rsid w:val="00312749"/>
    <w:rsid w:val="00312B53"/>
    <w:rsid w:val="00313488"/>
    <w:rsid w:val="00313773"/>
    <w:rsid w:val="00313B28"/>
    <w:rsid w:val="00313BF0"/>
    <w:rsid w:val="0031400D"/>
    <w:rsid w:val="003140A5"/>
    <w:rsid w:val="00314215"/>
    <w:rsid w:val="0031442C"/>
    <w:rsid w:val="003149F8"/>
    <w:rsid w:val="00314A57"/>
    <w:rsid w:val="00314F2E"/>
    <w:rsid w:val="00314FC8"/>
    <w:rsid w:val="00315730"/>
    <w:rsid w:val="00315BA3"/>
    <w:rsid w:val="00315C28"/>
    <w:rsid w:val="003161D0"/>
    <w:rsid w:val="0031649A"/>
    <w:rsid w:val="0031655C"/>
    <w:rsid w:val="003165FE"/>
    <w:rsid w:val="0031669D"/>
    <w:rsid w:val="003167F1"/>
    <w:rsid w:val="00316961"/>
    <w:rsid w:val="00316F54"/>
    <w:rsid w:val="00317269"/>
    <w:rsid w:val="003172DC"/>
    <w:rsid w:val="003175A9"/>
    <w:rsid w:val="0031771B"/>
    <w:rsid w:val="0032014F"/>
    <w:rsid w:val="00320310"/>
    <w:rsid w:val="003204E1"/>
    <w:rsid w:val="003204F9"/>
    <w:rsid w:val="003206F8"/>
    <w:rsid w:val="00320870"/>
    <w:rsid w:val="00320882"/>
    <w:rsid w:val="00320D7D"/>
    <w:rsid w:val="0032108D"/>
    <w:rsid w:val="00321407"/>
    <w:rsid w:val="00321624"/>
    <w:rsid w:val="00321712"/>
    <w:rsid w:val="003219A1"/>
    <w:rsid w:val="00321CD4"/>
    <w:rsid w:val="00321D80"/>
    <w:rsid w:val="00321EDA"/>
    <w:rsid w:val="00321EF1"/>
    <w:rsid w:val="00321F64"/>
    <w:rsid w:val="003223B2"/>
    <w:rsid w:val="00322420"/>
    <w:rsid w:val="00322881"/>
    <w:rsid w:val="0032304A"/>
    <w:rsid w:val="0032304D"/>
    <w:rsid w:val="003234DB"/>
    <w:rsid w:val="0032361C"/>
    <w:rsid w:val="003236F2"/>
    <w:rsid w:val="00323A42"/>
    <w:rsid w:val="00323B7D"/>
    <w:rsid w:val="00323EBA"/>
    <w:rsid w:val="00324298"/>
    <w:rsid w:val="00324464"/>
    <w:rsid w:val="00324704"/>
    <w:rsid w:val="00324E61"/>
    <w:rsid w:val="00324E70"/>
    <w:rsid w:val="0032527C"/>
    <w:rsid w:val="003255AC"/>
    <w:rsid w:val="003257FB"/>
    <w:rsid w:val="00325888"/>
    <w:rsid w:val="00325AE3"/>
    <w:rsid w:val="00326069"/>
    <w:rsid w:val="003263EE"/>
    <w:rsid w:val="0032654C"/>
    <w:rsid w:val="00327177"/>
    <w:rsid w:val="00327392"/>
    <w:rsid w:val="0032779B"/>
    <w:rsid w:val="00327EE9"/>
    <w:rsid w:val="00327FB7"/>
    <w:rsid w:val="00330120"/>
    <w:rsid w:val="003304BD"/>
    <w:rsid w:val="00330886"/>
    <w:rsid w:val="0033095A"/>
    <w:rsid w:val="003310F2"/>
    <w:rsid w:val="00331BF1"/>
    <w:rsid w:val="00332346"/>
    <w:rsid w:val="0033265A"/>
    <w:rsid w:val="00332BE2"/>
    <w:rsid w:val="00333540"/>
    <w:rsid w:val="0033387D"/>
    <w:rsid w:val="00334225"/>
    <w:rsid w:val="003345C3"/>
    <w:rsid w:val="00334884"/>
    <w:rsid w:val="00334EBB"/>
    <w:rsid w:val="00335B2E"/>
    <w:rsid w:val="0033626B"/>
    <w:rsid w:val="003364A8"/>
    <w:rsid w:val="0033663D"/>
    <w:rsid w:val="00336BA9"/>
    <w:rsid w:val="00337286"/>
    <w:rsid w:val="003372D2"/>
    <w:rsid w:val="003374BA"/>
    <w:rsid w:val="0033767E"/>
    <w:rsid w:val="00337823"/>
    <w:rsid w:val="00337ADD"/>
    <w:rsid w:val="00337CD5"/>
    <w:rsid w:val="003402B8"/>
    <w:rsid w:val="003403B6"/>
    <w:rsid w:val="003403FB"/>
    <w:rsid w:val="00340479"/>
    <w:rsid w:val="00340A23"/>
    <w:rsid w:val="00341082"/>
    <w:rsid w:val="00341391"/>
    <w:rsid w:val="00341A42"/>
    <w:rsid w:val="00341D4B"/>
    <w:rsid w:val="00342152"/>
    <w:rsid w:val="0034228F"/>
    <w:rsid w:val="00342325"/>
    <w:rsid w:val="00342749"/>
    <w:rsid w:val="00342D35"/>
    <w:rsid w:val="00342E2C"/>
    <w:rsid w:val="00342F71"/>
    <w:rsid w:val="003432B0"/>
    <w:rsid w:val="00343341"/>
    <w:rsid w:val="003437C3"/>
    <w:rsid w:val="00343C6D"/>
    <w:rsid w:val="00343D59"/>
    <w:rsid w:val="00343DE9"/>
    <w:rsid w:val="00344BD3"/>
    <w:rsid w:val="0034542B"/>
    <w:rsid w:val="003456DD"/>
    <w:rsid w:val="00346395"/>
    <w:rsid w:val="003464A2"/>
    <w:rsid w:val="003464B5"/>
    <w:rsid w:val="00346806"/>
    <w:rsid w:val="00347100"/>
    <w:rsid w:val="0035012E"/>
    <w:rsid w:val="003501A2"/>
    <w:rsid w:val="00350324"/>
    <w:rsid w:val="003509FF"/>
    <w:rsid w:val="00351240"/>
    <w:rsid w:val="00351323"/>
    <w:rsid w:val="003517ED"/>
    <w:rsid w:val="0035190D"/>
    <w:rsid w:val="00351A0E"/>
    <w:rsid w:val="00352256"/>
    <w:rsid w:val="003528DB"/>
    <w:rsid w:val="00353005"/>
    <w:rsid w:val="00353174"/>
    <w:rsid w:val="00353279"/>
    <w:rsid w:val="00353374"/>
    <w:rsid w:val="00353557"/>
    <w:rsid w:val="00353558"/>
    <w:rsid w:val="00353DD1"/>
    <w:rsid w:val="0035417C"/>
    <w:rsid w:val="0035462D"/>
    <w:rsid w:val="00354694"/>
    <w:rsid w:val="00354736"/>
    <w:rsid w:val="003547E8"/>
    <w:rsid w:val="00354EF6"/>
    <w:rsid w:val="0035542D"/>
    <w:rsid w:val="00355668"/>
    <w:rsid w:val="00355ABE"/>
    <w:rsid w:val="00355B15"/>
    <w:rsid w:val="00355BF6"/>
    <w:rsid w:val="00355D02"/>
    <w:rsid w:val="00356037"/>
    <w:rsid w:val="00356317"/>
    <w:rsid w:val="00356C2C"/>
    <w:rsid w:val="00356FBC"/>
    <w:rsid w:val="003572BB"/>
    <w:rsid w:val="00357916"/>
    <w:rsid w:val="00360359"/>
    <w:rsid w:val="00360451"/>
    <w:rsid w:val="0036051B"/>
    <w:rsid w:val="00360628"/>
    <w:rsid w:val="003606DB"/>
    <w:rsid w:val="00360E74"/>
    <w:rsid w:val="00360EA5"/>
    <w:rsid w:val="00361BF3"/>
    <w:rsid w:val="00361EB3"/>
    <w:rsid w:val="003622E0"/>
    <w:rsid w:val="00362791"/>
    <w:rsid w:val="00362C3F"/>
    <w:rsid w:val="00363B67"/>
    <w:rsid w:val="00364344"/>
    <w:rsid w:val="0036459E"/>
    <w:rsid w:val="0036495E"/>
    <w:rsid w:val="00364B41"/>
    <w:rsid w:val="00364DFC"/>
    <w:rsid w:val="003651AC"/>
    <w:rsid w:val="00365402"/>
    <w:rsid w:val="00365AFB"/>
    <w:rsid w:val="00365F2B"/>
    <w:rsid w:val="003662FE"/>
    <w:rsid w:val="00366313"/>
    <w:rsid w:val="00366415"/>
    <w:rsid w:val="003665A5"/>
    <w:rsid w:val="00366906"/>
    <w:rsid w:val="003669CB"/>
    <w:rsid w:val="003670D5"/>
    <w:rsid w:val="0036716F"/>
    <w:rsid w:val="00367C14"/>
    <w:rsid w:val="00367C19"/>
    <w:rsid w:val="00367F2E"/>
    <w:rsid w:val="0037006B"/>
    <w:rsid w:val="00370650"/>
    <w:rsid w:val="00370651"/>
    <w:rsid w:val="00370B2E"/>
    <w:rsid w:val="00370E82"/>
    <w:rsid w:val="0037113D"/>
    <w:rsid w:val="0037131F"/>
    <w:rsid w:val="00371371"/>
    <w:rsid w:val="00371406"/>
    <w:rsid w:val="003719FD"/>
    <w:rsid w:val="00371ABB"/>
    <w:rsid w:val="00371B56"/>
    <w:rsid w:val="003720F9"/>
    <w:rsid w:val="00372795"/>
    <w:rsid w:val="003728AB"/>
    <w:rsid w:val="00372BB1"/>
    <w:rsid w:val="00372EB7"/>
    <w:rsid w:val="00373132"/>
    <w:rsid w:val="0037316A"/>
    <w:rsid w:val="00373527"/>
    <w:rsid w:val="00373744"/>
    <w:rsid w:val="00373A20"/>
    <w:rsid w:val="00373B62"/>
    <w:rsid w:val="00373CDD"/>
    <w:rsid w:val="00374061"/>
    <w:rsid w:val="00374075"/>
    <w:rsid w:val="003745A8"/>
    <w:rsid w:val="00374695"/>
    <w:rsid w:val="0037506F"/>
    <w:rsid w:val="00375076"/>
    <w:rsid w:val="00376229"/>
    <w:rsid w:val="00376572"/>
    <w:rsid w:val="00376651"/>
    <w:rsid w:val="003766B3"/>
    <w:rsid w:val="0037678A"/>
    <w:rsid w:val="00376A77"/>
    <w:rsid w:val="00376D5E"/>
    <w:rsid w:val="00377503"/>
    <w:rsid w:val="00377C15"/>
    <w:rsid w:val="00377E03"/>
    <w:rsid w:val="00380280"/>
    <w:rsid w:val="00380C06"/>
    <w:rsid w:val="00380DBE"/>
    <w:rsid w:val="0038164B"/>
    <w:rsid w:val="003817B6"/>
    <w:rsid w:val="0038184F"/>
    <w:rsid w:val="0038210D"/>
    <w:rsid w:val="00382A22"/>
    <w:rsid w:val="00382C1F"/>
    <w:rsid w:val="00382C31"/>
    <w:rsid w:val="00383096"/>
    <w:rsid w:val="00383214"/>
    <w:rsid w:val="00383507"/>
    <w:rsid w:val="00383C47"/>
    <w:rsid w:val="00383FCA"/>
    <w:rsid w:val="00384240"/>
    <w:rsid w:val="00384D0C"/>
    <w:rsid w:val="00384D5B"/>
    <w:rsid w:val="003854BC"/>
    <w:rsid w:val="003856AD"/>
    <w:rsid w:val="003857D9"/>
    <w:rsid w:val="003859EF"/>
    <w:rsid w:val="00386B88"/>
    <w:rsid w:val="00386F6C"/>
    <w:rsid w:val="00386F6D"/>
    <w:rsid w:val="003870B6"/>
    <w:rsid w:val="0038726B"/>
    <w:rsid w:val="00387786"/>
    <w:rsid w:val="0038791F"/>
    <w:rsid w:val="003879AD"/>
    <w:rsid w:val="00390390"/>
    <w:rsid w:val="00391075"/>
    <w:rsid w:val="003914AD"/>
    <w:rsid w:val="003923A7"/>
    <w:rsid w:val="00392580"/>
    <w:rsid w:val="003925D2"/>
    <w:rsid w:val="003926A1"/>
    <w:rsid w:val="003929BE"/>
    <w:rsid w:val="00392B05"/>
    <w:rsid w:val="00392CAA"/>
    <w:rsid w:val="0039330B"/>
    <w:rsid w:val="0039346C"/>
    <w:rsid w:val="003935D1"/>
    <w:rsid w:val="00393703"/>
    <w:rsid w:val="0039389B"/>
    <w:rsid w:val="00393AA5"/>
    <w:rsid w:val="00393AC3"/>
    <w:rsid w:val="00393DEB"/>
    <w:rsid w:val="00394959"/>
    <w:rsid w:val="00394AE2"/>
    <w:rsid w:val="00394AE9"/>
    <w:rsid w:val="00394B57"/>
    <w:rsid w:val="00394FA5"/>
    <w:rsid w:val="00395487"/>
    <w:rsid w:val="003954D4"/>
    <w:rsid w:val="00395583"/>
    <w:rsid w:val="003956F6"/>
    <w:rsid w:val="00395A17"/>
    <w:rsid w:val="00395A56"/>
    <w:rsid w:val="00395B71"/>
    <w:rsid w:val="00396775"/>
    <w:rsid w:val="0039682B"/>
    <w:rsid w:val="00396881"/>
    <w:rsid w:val="00396D1B"/>
    <w:rsid w:val="00396ED1"/>
    <w:rsid w:val="00396F4A"/>
    <w:rsid w:val="00396FD7"/>
    <w:rsid w:val="00397446"/>
    <w:rsid w:val="003978D3"/>
    <w:rsid w:val="00397923"/>
    <w:rsid w:val="00397F36"/>
    <w:rsid w:val="003A03BF"/>
    <w:rsid w:val="003A0470"/>
    <w:rsid w:val="003A047D"/>
    <w:rsid w:val="003A05F7"/>
    <w:rsid w:val="003A0752"/>
    <w:rsid w:val="003A08B4"/>
    <w:rsid w:val="003A0FF6"/>
    <w:rsid w:val="003A1339"/>
    <w:rsid w:val="003A1AB9"/>
    <w:rsid w:val="003A271A"/>
    <w:rsid w:val="003A2DA4"/>
    <w:rsid w:val="003A3253"/>
    <w:rsid w:val="003A3562"/>
    <w:rsid w:val="003A39A6"/>
    <w:rsid w:val="003A3BE5"/>
    <w:rsid w:val="003A3C10"/>
    <w:rsid w:val="003A3F92"/>
    <w:rsid w:val="003A41EF"/>
    <w:rsid w:val="003A4334"/>
    <w:rsid w:val="003A488B"/>
    <w:rsid w:val="003A48BB"/>
    <w:rsid w:val="003A4D15"/>
    <w:rsid w:val="003A4ED8"/>
    <w:rsid w:val="003A53AE"/>
    <w:rsid w:val="003A5733"/>
    <w:rsid w:val="003A58C2"/>
    <w:rsid w:val="003A65C6"/>
    <w:rsid w:val="003A6CDA"/>
    <w:rsid w:val="003A7001"/>
    <w:rsid w:val="003A71D3"/>
    <w:rsid w:val="003A736B"/>
    <w:rsid w:val="003A7DF2"/>
    <w:rsid w:val="003A7E92"/>
    <w:rsid w:val="003B013D"/>
    <w:rsid w:val="003B04F3"/>
    <w:rsid w:val="003B08EB"/>
    <w:rsid w:val="003B1944"/>
    <w:rsid w:val="003B19E8"/>
    <w:rsid w:val="003B1A70"/>
    <w:rsid w:val="003B1C47"/>
    <w:rsid w:val="003B1DFD"/>
    <w:rsid w:val="003B2424"/>
    <w:rsid w:val="003B272D"/>
    <w:rsid w:val="003B2E93"/>
    <w:rsid w:val="003B32F0"/>
    <w:rsid w:val="003B3911"/>
    <w:rsid w:val="003B3B43"/>
    <w:rsid w:val="003B3D92"/>
    <w:rsid w:val="003B40AD"/>
    <w:rsid w:val="003B4416"/>
    <w:rsid w:val="003B45BC"/>
    <w:rsid w:val="003B4891"/>
    <w:rsid w:val="003B545B"/>
    <w:rsid w:val="003B5699"/>
    <w:rsid w:val="003B56B7"/>
    <w:rsid w:val="003B5966"/>
    <w:rsid w:val="003B5DFF"/>
    <w:rsid w:val="003B5F5B"/>
    <w:rsid w:val="003B6179"/>
    <w:rsid w:val="003B64AC"/>
    <w:rsid w:val="003B669D"/>
    <w:rsid w:val="003B6871"/>
    <w:rsid w:val="003B6A5E"/>
    <w:rsid w:val="003B6B61"/>
    <w:rsid w:val="003B6C85"/>
    <w:rsid w:val="003B6C96"/>
    <w:rsid w:val="003B6CCF"/>
    <w:rsid w:val="003B6D3E"/>
    <w:rsid w:val="003B74E6"/>
    <w:rsid w:val="003B7907"/>
    <w:rsid w:val="003B7ACB"/>
    <w:rsid w:val="003C0313"/>
    <w:rsid w:val="003C03C9"/>
    <w:rsid w:val="003C09FD"/>
    <w:rsid w:val="003C0A64"/>
    <w:rsid w:val="003C0C09"/>
    <w:rsid w:val="003C0E46"/>
    <w:rsid w:val="003C11EB"/>
    <w:rsid w:val="003C1302"/>
    <w:rsid w:val="003C1D38"/>
    <w:rsid w:val="003C2272"/>
    <w:rsid w:val="003C26A3"/>
    <w:rsid w:val="003C327F"/>
    <w:rsid w:val="003C3586"/>
    <w:rsid w:val="003C35C9"/>
    <w:rsid w:val="003C3EC0"/>
    <w:rsid w:val="003C469B"/>
    <w:rsid w:val="003C4E37"/>
    <w:rsid w:val="003C5881"/>
    <w:rsid w:val="003C64B7"/>
    <w:rsid w:val="003C6587"/>
    <w:rsid w:val="003C678E"/>
    <w:rsid w:val="003C6985"/>
    <w:rsid w:val="003C6C5E"/>
    <w:rsid w:val="003C6C86"/>
    <w:rsid w:val="003C6D7E"/>
    <w:rsid w:val="003C70A7"/>
    <w:rsid w:val="003C7B7B"/>
    <w:rsid w:val="003C7DC7"/>
    <w:rsid w:val="003C7EC2"/>
    <w:rsid w:val="003C7F0A"/>
    <w:rsid w:val="003D0FD0"/>
    <w:rsid w:val="003D121C"/>
    <w:rsid w:val="003D163B"/>
    <w:rsid w:val="003D164A"/>
    <w:rsid w:val="003D1C2A"/>
    <w:rsid w:val="003D1FD1"/>
    <w:rsid w:val="003D2088"/>
    <w:rsid w:val="003D2407"/>
    <w:rsid w:val="003D2673"/>
    <w:rsid w:val="003D32F8"/>
    <w:rsid w:val="003D3376"/>
    <w:rsid w:val="003D3BCA"/>
    <w:rsid w:val="003D4644"/>
    <w:rsid w:val="003D47FE"/>
    <w:rsid w:val="003D489E"/>
    <w:rsid w:val="003D4A3F"/>
    <w:rsid w:val="003D4CDA"/>
    <w:rsid w:val="003D4FC6"/>
    <w:rsid w:val="003D5350"/>
    <w:rsid w:val="003D576E"/>
    <w:rsid w:val="003D60E0"/>
    <w:rsid w:val="003D62F8"/>
    <w:rsid w:val="003D6B42"/>
    <w:rsid w:val="003D6C8D"/>
    <w:rsid w:val="003D6CCE"/>
    <w:rsid w:val="003D6FE6"/>
    <w:rsid w:val="003D78DB"/>
    <w:rsid w:val="003D7AAB"/>
    <w:rsid w:val="003D7CA7"/>
    <w:rsid w:val="003D7D7A"/>
    <w:rsid w:val="003D7F08"/>
    <w:rsid w:val="003E03DD"/>
    <w:rsid w:val="003E0870"/>
    <w:rsid w:val="003E0E16"/>
    <w:rsid w:val="003E16BE"/>
    <w:rsid w:val="003E1CB2"/>
    <w:rsid w:val="003E1E4B"/>
    <w:rsid w:val="003E1E9D"/>
    <w:rsid w:val="003E2B28"/>
    <w:rsid w:val="003E2E43"/>
    <w:rsid w:val="003E302A"/>
    <w:rsid w:val="003E324C"/>
    <w:rsid w:val="003E36B9"/>
    <w:rsid w:val="003E377D"/>
    <w:rsid w:val="003E3BB0"/>
    <w:rsid w:val="003E459F"/>
    <w:rsid w:val="003E4755"/>
    <w:rsid w:val="003E4A9F"/>
    <w:rsid w:val="003E4CAE"/>
    <w:rsid w:val="003E5459"/>
    <w:rsid w:val="003E5911"/>
    <w:rsid w:val="003E5E34"/>
    <w:rsid w:val="003E5E3F"/>
    <w:rsid w:val="003E6192"/>
    <w:rsid w:val="003E6583"/>
    <w:rsid w:val="003E692A"/>
    <w:rsid w:val="003E6A37"/>
    <w:rsid w:val="003E7890"/>
    <w:rsid w:val="003E7D8B"/>
    <w:rsid w:val="003E7DD1"/>
    <w:rsid w:val="003F0352"/>
    <w:rsid w:val="003F08E2"/>
    <w:rsid w:val="003F09AE"/>
    <w:rsid w:val="003F0BBA"/>
    <w:rsid w:val="003F165E"/>
    <w:rsid w:val="003F1677"/>
    <w:rsid w:val="003F1725"/>
    <w:rsid w:val="003F19AD"/>
    <w:rsid w:val="003F1BA3"/>
    <w:rsid w:val="003F2146"/>
    <w:rsid w:val="003F2326"/>
    <w:rsid w:val="003F2389"/>
    <w:rsid w:val="003F2A0A"/>
    <w:rsid w:val="003F2E85"/>
    <w:rsid w:val="003F30FF"/>
    <w:rsid w:val="003F3606"/>
    <w:rsid w:val="003F4166"/>
    <w:rsid w:val="003F4499"/>
    <w:rsid w:val="003F46C2"/>
    <w:rsid w:val="003F4B9A"/>
    <w:rsid w:val="003F4DAB"/>
    <w:rsid w:val="003F4E28"/>
    <w:rsid w:val="003F4F83"/>
    <w:rsid w:val="003F5181"/>
    <w:rsid w:val="003F5363"/>
    <w:rsid w:val="003F53EF"/>
    <w:rsid w:val="003F5555"/>
    <w:rsid w:val="003F55C2"/>
    <w:rsid w:val="003F566A"/>
    <w:rsid w:val="003F586F"/>
    <w:rsid w:val="003F5FB7"/>
    <w:rsid w:val="003F7204"/>
    <w:rsid w:val="003F7636"/>
    <w:rsid w:val="003F76B6"/>
    <w:rsid w:val="003F7C38"/>
    <w:rsid w:val="003F7DD9"/>
    <w:rsid w:val="003F7EBA"/>
    <w:rsid w:val="00400095"/>
    <w:rsid w:val="00400266"/>
    <w:rsid w:val="004006E8"/>
    <w:rsid w:val="0040084A"/>
    <w:rsid w:val="0040086E"/>
    <w:rsid w:val="004010E4"/>
    <w:rsid w:val="00401855"/>
    <w:rsid w:val="00401A94"/>
    <w:rsid w:val="00401E70"/>
    <w:rsid w:val="004022B4"/>
    <w:rsid w:val="004022F8"/>
    <w:rsid w:val="00402521"/>
    <w:rsid w:val="004026D8"/>
    <w:rsid w:val="00402CA7"/>
    <w:rsid w:val="00402F0D"/>
    <w:rsid w:val="00403805"/>
    <w:rsid w:val="0040385F"/>
    <w:rsid w:val="00403ACC"/>
    <w:rsid w:val="00403C3F"/>
    <w:rsid w:val="0040408A"/>
    <w:rsid w:val="00404B47"/>
    <w:rsid w:val="00404FDA"/>
    <w:rsid w:val="004053DC"/>
    <w:rsid w:val="0040542E"/>
    <w:rsid w:val="00405597"/>
    <w:rsid w:val="00405C20"/>
    <w:rsid w:val="00405ED5"/>
    <w:rsid w:val="0040655C"/>
    <w:rsid w:val="00406756"/>
    <w:rsid w:val="004069A9"/>
    <w:rsid w:val="00406DC3"/>
    <w:rsid w:val="00407019"/>
    <w:rsid w:val="004075A7"/>
    <w:rsid w:val="00407700"/>
    <w:rsid w:val="00407EE4"/>
    <w:rsid w:val="00410213"/>
    <w:rsid w:val="00410287"/>
    <w:rsid w:val="00410377"/>
    <w:rsid w:val="0041039E"/>
    <w:rsid w:val="00410A69"/>
    <w:rsid w:val="0041116F"/>
    <w:rsid w:val="00411314"/>
    <w:rsid w:val="004117BE"/>
    <w:rsid w:val="0041232D"/>
    <w:rsid w:val="00412A9A"/>
    <w:rsid w:val="00412C2F"/>
    <w:rsid w:val="00412C47"/>
    <w:rsid w:val="00412C83"/>
    <w:rsid w:val="00413228"/>
    <w:rsid w:val="00413842"/>
    <w:rsid w:val="0041391B"/>
    <w:rsid w:val="00413CC2"/>
    <w:rsid w:val="00413ED7"/>
    <w:rsid w:val="00414520"/>
    <w:rsid w:val="00414B0B"/>
    <w:rsid w:val="00414D53"/>
    <w:rsid w:val="00414F67"/>
    <w:rsid w:val="00415090"/>
    <w:rsid w:val="0041588B"/>
    <w:rsid w:val="00415C4D"/>
    <w:rsid w:val="004165B3"/>
    <w:rsid w:val="004166C9"/>
    <w:rsid w:val="00416839"/>
    <w:rsid w:val="00416AB0"/>
    <w:rsid w:val="00417260"/>
    <w:rsid w:val="004173FF"/>
    <w:rsid w:val="00420296"/>
    <w:rsid w:val="004202F9"/>
    <w:rsid w:val="004203A8"/>
    <w:rsid w:val="00420403"/>
    <w:rsid w:val="00420544"/>
    <w:rsid w:val="004209FB"/>
    <w:rsid w:val="00420BE1"/>
    <w:rsid w:val="00421284"/>
    <w:rsid w:val="00421628"/>
    <w:rsid w:val="00421690"/>
    <w:rsid w:val="004217F0"/>
    <w:rsid w:val="00421EA6"/>
    <w:rsid w:val="00423D88"/>
    <w:rsid w:val="0042408C"/>
    <w:rsid w:val="00424188"/>
    <w:rsid w:val="0042460A"/>
    <w:rsid w:val="00424ACD"/>
    <w:rsid w:val="00424AEA"/>
    <w:rsid w:val="00424F3B"/>
    <w:rsid w:val="00424FFD"/>
    <w:rsid w:val="0042526C"/>
    <w:rsid w:val="00425646"/>
    <w:rsid w:val="0042574B"/>
    <w:rsid w:val="00425902"/>
    <w:rsid w:val="004259B5"/>
    <w:rsid w:val="00425D81"/>
    <w:rsid w:val="00425F63"/>
    <w:rsid w:val="00426B6E"/>
    <w:rsid w:val="004270D9"/>
    <w:rsid w:val="004271FB"/>
    <w:rsid w:val="004273D7"/>
    <w:rsid w:val="0042743D"/>
    <w:rsid w:val="004278E3"/>
    <w:rsid w:val="00427986"/>
    <w:rsid w:val="00427B0D"/>
    <w:rsid w:val="00427C9A"/>
    <w:rsid w:val="00427E5F"/>
    <w:rsid w:val="00427ECF"/>
    <w:rsid w:val="00427FCF"/>
    <w:rsid w:val="004302AD"/>
    <w:rsid w:val="00430BEC"/>
    <w:rsid w:val="00430F9C"/>
    <w:rsid w:val="00431015"/>
    <w:rsid w:val="0043132F"/>
    <w:rsid w:val="00431696"/>
    <w:rsid w:val="00431C5A"/>
    <w:rsid w:val="00431C5E"/>
    <w:rsid w:val="00431C64"/>
    <w:rsid w:val="00431E8E"/>
    <w:rsid w:val="004324D8"/>
    <w:rsid w:val="0043258F"/>
    <w:rsid w:val="004327A6"/>
    <w:rsid w:val="004333BC"/>
    <w:rsid w:val="004337DB"/>
    <w:rsid w:val="00433A69"/>
    <w:rsid w:val="00433D18"/>
    <w:rsid w:val="0043403E"/>
    <w:rsid w:val="00434616"/>
    <w:rsid w:val="00434786"/>
    <w:rsid w:val="00434922"/>
    <w:rsid w:val="00434C8B"/>
    <w:rsid w:val="004354A1"/>
    <w:rsid w:val="004357FE"/>
    <w:rsid w:val="00435936"/>
    <w:rsid w:val="00435D3C"/>
    <w:rsid w:val="00435E07"/>
    <w:rsid w:val="00435E94"/>
    <w:rsid w:val="00435F95"/>
    <w:rsid w:val="00436C17"/>
    <w:rsid w:val="00436E3C"/>
    <w:rsid w:val="0043792F"/>
    <w:rsid w:val="0043796F"/>
    <w:rsid w:val="0043798F"/>
    <w:rsid w:val="0044007F"/>
    <w:rsid w:val="004408D4"/>
    <w:rsid w:val="00440C70"/>
    <w:rsid w:val="00440CAA"/>
    <w:rsid w:val="00440CD3"/>
    <w:rsid w:val="00441124"/>
    <w:rsid w:val="0044143F"/>
    <w:rsid w:val="00441679"/>
    <w:rsid w:val="00441976"/>
    <w:rsid w:val="00441F6B"/>
    <w:rsid w:val="0044266F"/>
    <w:rsid w:val="00442A42"/>
    <w:rsid w:val="00443674"/>
    <w:rsid w:val="00443877"/>
    <w:rsid w:val="004444AD"/>
    <w:rsid w:val="00444915"/>
    <w:rsid w:val="00444B1E"/>
    <w:rsid w:val="004450A0"/>
    <w:rsid w:val="004450C0"/>
    <w:rsid w:val="00445BCC"/>
    <w:rsid w:val="00445FBC"/>
    <w:rsid w:val="00446082"/>
    <w:rsid w:val="00446140"/>
    <w:rsid w:val="004464F3"/>
    <w:rsid w:val="0044679E"/>
    <w:rsid w:val="00446929"/>
    <w:rsid w:val="004469EB"/>
    <w:rsid w:val="00446A02"/>
    <w:rsid w:val="00446BA7"/>
    <w:rsid w:val="00446C3A"/>
    <w:rsid w:val="0044710B"/>
    <w:rsid w:val="0044722D"/>
    <w:rsid w:val="004472EC"/>
    <w:rsid w:val="00447459"/>
    <w:rsid w:val="0044772D"/>
    <w:rsid w:val="004479BF"/>
    <w:rsid w:val="00450279"/>
    <w:rsid w:val="00450658"/>
    <w:rsid w:val="00450826"/>
    <w:rsid w:val="00450BA3"/>
    <w:rsid w:val="00450C8C"/>
    <w:rsid w:val="00450F31"/>
    <w:rsid w:val="0045118C"/>
    <w:rsid w:val="004511A2"/>
    <w:rsid w:val="004514C1"/>
    <w:rsid w:val="00451A3F"/>
    <w:rsid w:val="00451B23"/>
    <w:rsid w:val="00451DD9"/>
    <w:rsid w:val="00451F19"/>
    <w:rsid w:val="004520A0"/>
    <w:rsid w:val="00452AC1"/>
    <w:rsid w:val="00453FD0"/>
    <w:rsid w:val="004544C8"/>
    <w:rsid w:val="00454C7F"/>
    <w:rsid w:val="00454CF9"/>
    <w:rsid w:val="00454E10"/>
    <w:rsid w:val="00455175"/>
    <w:rsid w:val="0045561B"/>
    <w:rsid w:val="00455A7F"/>
    <w:rsid w:val="00455E22"/>
    <w:rsid w:val="00456103"/>
    <w:rsid w:val="0045628E"/>
    <w:rsid w:val="0045653E"/>
    <w:rsid w:val="00456908"/>
    <w:rsid w:val="00456AA9"/>
    <w:rsid w:val="00456DB8"/>
    <w:rsid w:val="0045716F"/>
    <w:rsid w:val="004573B4"/>
    <w:rsid w:val="00457490"/>
    <w:rsid w:val="00460735"/>
    <w:rsid w:val="00460AB8"/>
    <w:rsid w:val="00460F97"/>
    <w:rsid w:val="00460FBF"/>
    <w:rsid w:val="00461405"/>
    <w:rsid w:val="0046176F"/>
    <w:rsid w:val="00461974"/>
    <w:rsid w:val="00461EDA"/>
    <w:rsid w:val="00461EF5"/>
    <w:rsid w:val="0046225C"/>
    <w:rsid w:val="0046278D"/>
    <w:rsid w:val="00462ACC"/>
    <w:rsid w:val="00462DDF"/>
    <w:rsid w:val="00462EE2"/>
    <w:rsid w:val="00462F0B"/>
    <w:rsid w:val="004630DA"/>
    <w:rsid w:val="00463B52"/>
    <w:rsid w:val="00463CFF"/>
    <w:rsid w:val="00463D5B"/>
    <w:rsid w:val="0046460D"/>
    <w:rsid w:val="0046480E"/>
    <w:rsid w:val="00464A0B"/>
    <w:rsid w:val="0046534C"/>
    <w:rsid w:val="00465354"/>
    <w:rsid w:val="00465587"/>
    <w:rsid w:val="004661C4"/>
    <w:rsid w:val="00466264"/>
    <w:rsid w:val="004662A1"/>
    <w:rsid w:val="004667C0"/>
    <w:rsid w:val="00466A5A"/>
    <w:rsid w:val="00466D42"/>
    <w:rsid w:val="0046709C"/>
    <w:rsid w:val="00467713"/>
    <w:rsid w:val="00467731"/>
    <w:rsid w:val="004679A9"/>
    <w:rsid w:val="0047072A"/>
    <w:rsid w:val="00470939"/>
    <w:rsid w:val="00470C54"/>
    <w:rsid w:val="0047143F"/>
    <w:rsid w:val="00471819"/>
    <w:rsid w:val="004719B1"/>
    <w:rsid w:val="004726A5"/>
    <w:rsid w:val="00472A07"/>
    <w:rsid w:val="00472A22"/>
    <w:rsid w:val="00472F4F"/>
    <w:rsid w:val="00473427"/>
    <w:rsid w:val="00473511"/>
    <w:rsid w:val="004736E8"/>
    <w:rsid w:val="0047374C"/>
    <w:rsid w:val="00473C81"/>
    <w:rsid w:val="004741CA"/>
    <w:rsid w:val="00474352"/>
    <w:rsid w:val="00474F18"/>
    <w:rsid w:val="00474FDC"/>
    <w:rsid w:val="0047519B"/>
    <w:rsid w:val="00475703"/>
    <w:rsid w:val="00476791"/>
    <w:rsid w:val="004772E3"/>
    <w:rsid w:val="004773C2"/>
    <w:rsid w:val="00477455"/>
    <w:rsid w:val="00477ACA"/>
    <w:rsid w:val="00477F76"/>
    <w:rsid w:val="00480383"/>
    <w:rsid w:val="00480415"/>
    <w:rsid w:val="004808C9"/>
    <w:rsid w:val="0048136D"/>
    <w:rsid w:val="00481773"/>
    <w:rsid w:val="00481C27"/>
    <w:rsid w:val="00481CB8"/>
    <w:rsid w:val="004824A7"/>
    <w:rsid w:val="004827E7"/>
    <w:rsid w:val="0048287F"/>
    <w:rsid w:val="00482C9E"/>
    <w:rsid w:val="00482F59"/>
    <w:rsid w:val="004835AF"/>
    <w:rsid w:val="00483E79"/>
    <w:rsid w:val="0048428B"/>
    <w:rsid w:val="00484FFF"/>
    <w:rsid w:val="0048540E"/>
    <w:rsid w:val="00485527"/>
    <w:rsid w:val="004855EA"/>
    <w:rsid w:val="00485656"/>
    <w:rsid w:val="004859D5"/>
    <w:rsid w:val="00486285"/>
    <w:rsid w:val="004862E6"/>
    <w:rsid w:val="004863D8"/>
    <w:rsid w:val="00486711"/>
    <w:rsid w:val="00486E6A"/>
    <w:rsid w:val="0048787E"/>
    <w:rsid w:val="00487888"/>
    <w:rsid w:val="004878BE"/>
    <w:rsid w:val="00487937"/>
    <w:rsid w:val="004901B1"/>
    <w:rsid w:val="00490271"/>
    <w:rsid w:val="00490B78"/>
    <w:rsid w:val="00490BA3"/>
    <w:rsid w:val="00490D25"/>
    <w:rsid w:val="00490DDF"/>
    <w:rsid w:val="004912A7"/>
    <w:rsid w:val="0049133A"/>
    <w:rsid w:val="0049137E"/>
    <w:rsid w:val="00491597"/>
    <w:rsid w:val="00491D2A"/>
    <w:rsid w:val="00491D4C"/>
    <w:rsid w:val="0049283C"/>
    <w:rsid w:val="00492F82"/>
    <w:rsid w:val="00492FE6"/>
    <w:rsid w:val="004935BB"/>
    <w:rsid w:val="0049389A"/>
    <w:rsid w:val="00493DDA"/>
    <w:rsid w:val="00493FA2"/>
    <w:rsid w:val="00493FDD"/>
    <w:rsid w:val="0049457F"/>
    <w:rsid w:val="004949F2"/>
    <w:rsid w:val="00494BFA"/>
    <w:rsid w:val="00494DD5"/>
    <w:rsid w:val="00495199"/>
    <w:rsid w:val="004953DC"/>
    <w:rsid w:val="004959DA"/>
    <w:rsid w:val="00495AC6"/>
    <w:rsid w:val="004963D0"/>
    <w:rsid w:val="004967A2"/>
    <w:rsid w:val="0049690F"/>
    <w:rsid w:val="00496953"/>
    <w:rsid w:val="004969D2"/>
    <w:rsid w:val="00496E08"/>
    <w:rsid w:val="004971BF"/>
    <w:rsid w:val="00497F81"/>
    <w:rsid w:val="004A0041"/>
    <w:rsid w:val="004A0872"/>
    <w:rsid w:val="004A0993"/>
    <w:rsid w:val="004A124F"/>
    <w:rsid w:val="004A13E7"/>
    <w:rsid w:val="004A1F7B"/>
    <w:rsid w:val="004A24DA"/>
    <w:rsid w:val="004A2974"/>
    <w:rsid w:val="004A2D4F"/>
    <w:rsid w:val="004A37E6"/>
    <w:rsid w:val="004A440B"/>
    <w:rsid w:val="004A44FF"/>
    <w:rsid w:val="004A4735"/>
    <w:rsid w:val="004A4AD5"/>
    <w:rsid w:val="004A50E4"/>
    <w:rsid w:val="004A5266"/>
    <w:rsid w:val="004A56C9"/>
    <w:rsid w:val="004A56D0"/>
    <w:rsid w:val="004A571B"/>
    <w:rsid w:val="004A59BD"/>
    <w:rsid w:val="004A5C18"/>
    <w:rsid w:val="004A5F2B"/>
    <w:rsid w:val="004A622E"/>
    <w:rsid w:val="004A678F"/>
    <w:rsid w:val="004A67C4"/>
    <w:rsid w:val="004A6807"/>
    <w:rsid w:val="004A6AF2"/>
    <w:rsid w:val="004A6E3D"/>
    <w:rsid w:val="004A6ECB"/>
    <w:rsid w:val="004A6F8C"/>
    <w:rsid w:val="004A73A2"/>
    <w:rsid w:val="004A76B8"/>
    <w:rsid w:val="004A7F60"/>
    <w:rsid w:val="004B015C"/>
    <w:rsid w:val="004B0200"/>
    <w:rsid w:val="004B04B9"/>
    <w:rsid w:val="004B051C"/>
    <w:rsid w:val="004B0CE3"/>
    <w:rsid w:val="004B0DCD"/>
    <w:rsid w:val="004B0E02"/>
    <w:rsid w:val="004B0E49"/>
    <w:rsid w:val="004B1A8E"/>
    <w:rsid w:val="004B2A90"/>
    <w:rsid w:val="004B2DD4"/>
    <w:rsid w:val="004B3424"/>
    <w:rsid w:val="004B37B7"/>
    <w:rsid w:val="004B3816"/>
    <w:rsid w:val="004B3BC8"/>
    <w:rsid w:val="004B408D"/>
    <w:rsid w:val="004B4616"/>
    <w:rsid w:val="004B488E"/>
    <w:rsid w:val="004B546B"/>
    <w:rsid w:val="004B54B0"/>
    <w:rsid w:val="004B5837"/>
    <w:rsid w:val="004B58EB"/>
    <w:rsid w:val="004B59C8"/>
    <w:rsid w:val="004B5A2A"/>
    <w:rsid w:val="004B5A78"/>
    <w:rsid w:val="004B5ED8"/>
    <w:rsid w:val="004B6126"/>
    <w:rsid w:val="004B6527"/>
    <w:rsid w:val="004B6B96"/>
    <w:rsid w:val="004B6BBE"/>
    <w:rsid w:val="004B6E25"/>
    <w:rsid w:val="004B7334"/>
    <w:rsid w:val="004B7B66"/>
    <w:rsid w:val="004B7D6E"/>
    <w:rsid w:val="004C0037"/>
    <w:rsid w:val="004C013B"/>
    <w:rsid w:val="004C01A4"/>
    <w:rsid w:val="004C02F3"/>
    <w:rsid w:val="004C042B"/>
    <w:rsid w:val="004C0502"/>
    <w:rsid w:val="004C0558"/>
    <w:rsid w:val="004C09E1"/>
    <w:rsid w:val="004C0F00"/>
    <w:rsid w:val="004C0F2F"/>
    <w:rsid w:val="004C10BB"/>
    <w:rsid w:val="004C1948"/>
    <w:rsid w:val="004C1A45"/>
    <w:rsid w:val="004C1BBA"/>
    <w:rsid w:val="004C1BEF"/>
    <w:rsid w:val="004C1C5C"/>
    <w:rsid w:val="004C20EA"/>
    <w:rsid w:val="004C223B"/>
    <w:rsid w:val="004C23B4"/>
    <w:rsid w:val="004C24E9"/>
    <w:rsid w:val="004C298D"/>
    <w:rsid w:val="004C29D3"/>
    <w:rsid w:val="004C2E07"/>
    <w:rsid w:val="004C36FE"/>
    <w:rsid w:val="004C3BA3"/>
    <w:rsid w:val="004C421A"/>
    <w:rsid w:val="004C445D"/>
    <w:rsid w:val="004C4472"/>
    <w:rsid w:val="004C44D2"/>
    <w:rsid w:val="004C46C2"/>
    <w:rsid w:val="004C46F7"/>
    <w:rsid w:val="004C4F50"/>
    <w:rsid w:val="004C5031"/>
    <w:rsid w:val="004C5097"/>
    <w:rsid w:val="004C5B1D"/>
    <w:rsid w:val="004C6210"/>
    <w:rsid w:val="004C62D2"/>
    <w:rsid w:val="004C6368"/>
    <w:rsid w:val="004C66B9"/>
    <w:rsid w:val="004C6CB3"/>
    <w:rsid w:val="004C6F24"/>
    <w:rsid w:val="004C73DF"/>
    <w:rsid w:val="004C741E"/>
    <w:rsid w:val="004C74BA"/>
    <w:rsid w:val="004C7903"/>
    <w:rsid w:val="004C7AED"/>
    <w:rsid w:val="004D0DE6"/>
    <w:rsid w:val="004D1B3A"/>
    <w:rsid w:val="004D1F1A"/>
    <w:rsid w:val="004D2034"/>
    <w:rsid w:val="004D2102"/>
    <w:rsid w:val="004D22C2"/>
    <w:rsid w:val="004D2429"/>
    <w:rsid w:val="004D26FD"/>
    <w:rsid w:val="004D28B1"/>
    <w:rsid w:val="004D2DF6"/>
    <w:rsid w:val="004D312D"/>
    <w:rsid w:val="004D3219"/>
    <w:rsid w:val="004D3341"/>
    <w:rsid w:val="004D346E"/>
    <w:rsid w:val="004D3484"/>
    <w:rsid w:val="004D3493"/>
    <w:rsid w:val="004D3578"/>
    <w:rsid w:val="004D380D"/>
    <w:rsid w:val="004D3904"/>
    <w:rsid w:val="004D3D18"/>
    <w:rsid w:val="004D3EE9"/>
    <w:rsid w:val="004D50EC"/>
    <w:rsid w:val="004D5710"/>
    <w:rsid w:val="004D579B"/>
    <w:rsid w:val="004D5822"/>
    <w:rsid w:val="004D5B20"/>
    <w:rsid w:val="004D5CA3"/>
    <w:rsid w:val="004D61B3"/>
    <w:rsid w:val="004D65E0"/>
    <w:rsid w:val="004D66FF"/>
    <w:rsid w:val="004D67DD"/>
    <w:rsid w:val="004D68DC"/>
    <w:rsid w:val="004D6AAF"/>
    <w:rsid w:val="004D6C44"/>
    <w:rsid w:val="004D6CB2"/>
    <w:rsid w:val="004D6EEB"/>
    <w:rsid w:val="004D6F33"/>
    <w:rsid w:val="004D78B2"/>
    <w:rsid w:val="004D794B"/>
    <w:rsid w:val="004D7BF9"/>
    <w:rsid w:val="004D7EB9"/>
    <w:rsid w:val="004E0AAB"/>
    <w:rsid w:val="004E0EF6"/>
    <w:rsid w:val="004E0F10"/>
    <w:rsid w:val="004E1579"/>
    <w:rsid w:val="004E17C6"/>
    <w:rsid w:val="004E17E8"/>
    <w:rsid w:val="004E18E8"/>
    <w:rsid w:val="004E1D76"/>
    <w:rsid w:val="004E1FEF"/>
    <w:rsid w:val="004E213A"/>
    <w:rsid w:val="004E21CD"/>
    <w:rsid w:val="004E245B"/>
    <w:rsid w:val="004E26D9"/>
    <w:rsid w:val="004E2798"/>
    <w:rsid w:val="004E29D5"/>
    <w:rsid w:val="004E2E2E"/>
    <w:rsid w:val="004E34D5"/>
    <w:rsid w:val="004E36F2"/>
    <w:rsid w:val="004E3A55"/>
    <w:rsid w:val="004E3A87"/>
    <w:rsid w:val="004E3F99"/>
    <w:rsid w:val="004E42AB"/>
    <w:rsid w:val="004E4343"/>
    <w:rsid w:val="004E4B5D"/>
    <w:rsid w:val="004E4C9B"/>
    <w:rsid w:val="004E4E09"/>
    <w:rsid w:val="004E56C4"/>
    <w:rsid w:val="004E5A8C"/>
    <w:rsid w:val="004E5EAA"/>
    <w:rsid w:val="004E6B4A"/>
    <w:rsid w:val="004E70B4"/>
    <w:rsid w:val="004E7553"/>
    <w:rsid w:val="004E7761"/>
    <w:rsid w:val="004F013C"/>
    <w:rsid w:val="004F01A7"/>
    <w:rsid w:val="004F0A90"/>
    <w:rsid w:val="004F0B3D"/>
    <w:rsid w:val="004F1010"/>
    <w:rsid w:val="004F14FE"/>
    <w:rsid w:val="004F1580"/>
    <w:rsid w:val="004F17CA"/>
    <w:rsid w:val="004F2098"/>
    <w:rsid w:val="004F252B"/>
    <w:rsid w:val="004F2D0B"/>
    <w:rsid w:val="004F2DED"/>
    <w:rsid w:val="004F3387"/>
    <w:rsid w:val="004F35F5"/>
    <w:rsid w:val="004F38DD"/>
    <w:rsid w:val="004F3EC8"/>
    <w:rsid w:val="004F4053"/>
    <w:rsid w:val="004F4242"/>
    <w:rsid w:val="004F43CA"/>
    <w:rsid w:val="004F43E4"/>
    <w:rsid w:val="004F4478"/>
    <w:rsid w:val="004F4540"/>
    <w:rsid w:val="004F455B"/>
    <w:rsid w:val="004F4683"/>
    <w:rsid w:val="004F5255"/>
    <w:rsid w:val="004F5296"/>
    <w:rsid w:val="004F548D"/>
    <w:rsid w:val="004F56AD"/>
    <w:rsid w:val="004F5B89"/>
    <w:rsid w:val="004F5EC3"/>
    <w:rsid w:val="004F6473"/>
    <w:rsid w:val="004F73A7"/>
    <w:rsid w:val="004F7532"/>
    <w:rsid w:val="004F757D"/>
    <w:rsid w:val="004F773C"/>
    <w:rsid w:val="00500585"/>
    <w:rsid w:val="005006A8"/>
    <w:rsid w:val="0050090E"/>
    <w:rsid w:val="00500B9D"/>
    <w:rsid w:val="00501229"/>
    <w:rsid w:val="00502011"/>
    <w:rsid w:val="0050215C"/>
    <w:rsid w:val="005025BE"/>
    <w:rsid w:val="00502896"/>
    <w:rsid w:val="00503148"/>
    <w:rsid w:val="00503171"/>
    <w:rsid w:val="0050339F"/>
    <w:rsid w:val="005034C1"/>
    <w:rsid w:val="00503641"/>
    <w:rsid w:val="00503BFB"/>
    <w:rsid w:val="00503FDE"/>
    <w:rsid w:val="00504077"/>
    <w:rsid w:val="00504182"/>
    <w:rsid w:val="005042ED"/>
    <w:rsid w:val="00504411"/>
    <w:rsid w:val="00504FEF"/>
    <w:rsid w:val="0050511C"/>
    <w:rsid w:val="005063E9"/>
    <w:rsid w:val="005066A5"/>
    <w:rsid w:val="005069CF"/>
    <w:rsid w:val="00506C28"/>
    <w:rsid w:val="00507941"/>
    <w:rsid w:val="00507972"/>
    <w:rsid w:val="00507CA1"/>
    <w:rsid w:val="00507EDD"/>
    <w:rsid w:val="0051002C"/>
    <w:rsid w:val="005106BD"/>
    <w:rsid w:val="00510D32"/>
    <w:rsid w:val="00510E32"/>
    <w:rsid w:val="00511065"/>
    <w:rsid w:val="00511F3C"/>
    <w:rsid w:val="00512041"/>
    <w:rsid w:val="00512397"/>
    <w:rsid w:val="0051292E"/>
    <w:rsid w:val="00512F10"/>
    <w:rsid w:val="005135E1"/>
    <w:rsid w:val="00513A3B"/>
    <w:rsid w:val="0051490B"/>
    <w:rsid w:val="00514D86"/>
    <w:rsid w:val="00515FBA"/>
    <w:rsid w:val="0051614E"/>
    <w:rsid w:val="005168F8"/>
    <w:rsid w:val="0051695C"/>
    <w:rsid w:val="00516EFD"/>
    <w:rsid w:val="00517362"/>
    <w:rsid w:val="005178F5"/>
    <w:rsid w:val="00517D58"/>
    <w:rsid w:val="0052028F"/>
    <w:rsid w:val="00520B7B"/>
    <w:rsid w:val="00520C06"/>
    <w:rsid w:val="005211A0"/>
    <w:rsid w:val="00521227"/>
    <w:rsid w:val="005216DA"/>
    <w:rsid w:val="0052183B"/>
    <w:rsid w:val="00521932"/>
    <w:rsid w:val="00521986"/>
    <w:rsid w:val="00521F97"/>
    <w:rsid w:val="0052241C"/>
    <w:rsid w:val="00522A98"/>
    <w:rsid w:val="00522CF2"/>
    <w:rsid w:val="005230F0"/>
    <w:rsid w:val="0052321F"/>
    <w:rsid w:val="0052335B"/>
    <w:rsid w:val="00523946"/>
    <w:rsid w:val="005239BF"/>
    <w:rsid w:val="00523D33"/>
    <w:rsid w:val="00523DE9"/>
    <w:rsid w:val="00524295"/>
    <w:rsid w:val="00524835"/>
    <w:rsid w:val="00524CC4"/>
    <w:rsid w:val="00524D9F"/>
    <w:rsid w:val="00525AC3"/>
    <w:rsid w:val="00525C16"/>
    <w:rsid w:val="00525D1D"/>
    <w:rsid w:val="00525D43"/>
    <w:rsid w:val="00525F93"/>
    <w:rsid w:val="005262CA"/>
    <w:rsid w:val="00526CC1"/>
    <w:rsid w:val="005270BB"/>
    <w:rsid w:val="005272CA"/>
    <w:rsid w:val="005275BA"/>
    <w:rsid w:val="00527899"/>
    <w:rsid w:val="00527DCE"/>
    <w:rsid w:val="00530B36"/>
    <w:rsid w:val="00530FFA"/>
    <w:rsid w:val="00531250"/>
    <w:rsid w:val="005312A4"/>
    <w:rsid w:val="00531D33"/>
    <w:rsid w:val="00531D4F"/>
    <w:rsid w:val="005326A2"/>
    <w:rsid w:val="00532ABB"/>
    <w:rsid w:val="00532ECB"/>
    <w:rsid w:val="00532F32"/>
    <w:rsid w:val="0053306B"/>
    <w:rsid w:val="00533089"/>
    <w:rsid w:val="005332D0"/>
    <w:rsid w:val="005337B7"/>
    <w:rsid w:val="00533ED2"/>
    <w:rsid w:val="00533F88"/>
    <w:rsid w:val="0053408E"/>
    <w:rsid w:val="0053419D"/>
    <w:rsid w:val="005341BA"/>
    <w:rsid w:val="00534411"/>
    <w:rsid w:val="00534850"/>
    <w:rsid w:val="00534DA0"/>
    <w:rsid w:val="005355D2"/>
    <w:rsid w:val="00535966"/>
    <w:rsid w:val="00535B1E"/>
    <w:rsid w:val="00535FD1"/>
    <w:rsid w:val="00536553"/>
    <w:rsid w:val="005365AD"/>
    <w:rsid w:val="005371AC"/>
    <w:rsid w:val="005371C7"/>
    <w:rsid w:val="005373B9"/>
    <w:rsid w:val="00537809"/>
    <w:rsid w:val="00537B08"/>
    <w:rsid w:val="00537DA8"/>
    <w:rsid w:val="00540667"/>
    <w:rsid w:val="005406D2"/>
    <w:rsid w:val="005408A2"/>
    <w:rsid w:val="00540D63"/>
    <w:rsid w:val="0054123F"/>
    <w:rsid w:val="00541451"/>
    <w:rsid w:val="00541A65"/>
    <w:rsid w:val="00541AAD"/>
    <w:rsid w:val="00541BC3"/>
    <w:rsid w:val="00541DDA"/>
    <w:rsid w:val="005425CC"/>
    <w:rsid w:val="00542B31"/>
    <w:rsid w:val="00542E40"/>
    <w:rsid w:val="005432D9"/>
    <w:rsid w:val="0054362C"/>
    <w:rsid w:val="00543706"/>
    <w:rsid w:val="00543D59"/>
    <w:rsid w:val="00543E6C"/>
    <w:rsid w:val="005440E6"/>
    <w:rsid w:val="00544592"/>
    <w:rsid w:val="0054465F"/>
    <w:rsid w:val="0054494E"/>
    <w:rsid w:val="00544E1C"/>
    <w:rsid w:val="00545085"/>
    <w:rsid w:val="0054552E"/>
    <w:rsid w:val="0054554E"/>
    <w:rsid w:val="00545A94"/>
    <w:rsid w:val="00545CD9"/>
    <w:rsid w:val="00545E32"/>
    <w:rsid w:val="00546058"/>
    <w:rsid w:val="005460C6"/>
    <w:rsid w:val="00546662"/>
    <w:rsid w:val="00546B67"/>
    <w:rsid w:val="00547071"/>
    <w:rsid w:val="005470F7"/>
    <w:rsid w:val="00547A20"/>
    <w:rsid w:val="00547D4B"/>
    <w:rsid w:val="00547E07"/>
    <w:rsid w:val="00550138"/>
    <w:rsid w:val="005505F8"/>
    <w:rsid w:val="00551403"/>
    <w:rsid w:val="00551701"/>
    <w:rsid w:val="00551A5C"/>
    <w:rsid w:val="00551EB7"/>
    <w:rsid w:val="0055278C"/>
    <w:rsid w:val="005528EC"/>
    <w:rsid w:val="0055291B"/>
    <w:rsid w:val="00552EFC"/>
    <w:rsid w:val="00552FC1"/>
    <w:rsid w:val="005530E2"/>
    <w:rsid w:val="005536B0"/>
    <w:rsid w:val="005536EF"/>
    <w:rsid w:val="00553704"/>
    <w:rsid w:val="005539F0"/>
    <w:rsid w:val="00553BB0"/>
    <w:rsid w:val="00553EE2"/>
    <w:rsid w:val="00553FD8"/>
    <w:rsid w:val="005541EA"/>
    <w:rsid w:val="0055451E"/>
    <w:rsid w:val="005548AB"/>
    <w:rsid w:val="005549D3"/>
    <w:rsid w:val="00554BB2"/>
    <w:rsid w:val="00555102"/>
    <w:rsid w:val="0055514E"/>
    <w:rsid w:val="00555717"/>
    <w:rsid w:val="00555FED"/>
    <w:rsid w:val="00556739"/>
    <w:rsid w:val="00556CFE"/>
    <w:rsid w:val="00556F00"/>
    <w:rsid w:val="005572DF"/>
    <w:rsid w:val="0055770F"/>
    <w:rsid w:val="00557712"/>
    <w:rsid w:val="00557838"/>
    <w:rsid w:val="00557D92"/>
    <w:rsid w:val="00557F44"/>
    <w:rsid w:val="005601A1"/>
    <w:rsid w:val="00560600"/>
    <w:rsid w:val="0056076B"/>
    <w:rsid w:val="00560884"/>
    <w:rsid w:val="00560C93"/>
    <w:rsid w:val="0056112B"/>
    <w:rsid w:val="005611FC"/>
    <w:rsid w:val="005616C2"/>
    <w:rsid w:val="005619FB"/>
    <w:rsid w:val="00561AEF"/>
    <w:rsid w:val="005620C6"/>
    <w:rsid w:val="005620DE"/>
    <w:rsid w:val="0056242A"/>
    <w:rsid w:val="00562703"/>
    <w:rsid w:val="005628F3"/>
    <w:rsid w:val="005631C4"/>
    <w:rsid w:val="00563232"/>
    <w:rsid w:val="0056351A"/>
    <w:rsid w:val="005635E5"/>
    <w:rsid w:val="00563AFB"/>
    <w:rsid w:val="005641CC"/>
    <w:rsid w:val="0056458C"/>
    <w:rsid w:val="00564777"/>
    <w:rsid w:val="00564AF8"/>
    <w:rsid w:val="00565087"/>
    <w:rsid w:val="005655AF"/>
    <w:rsid w:val="0056573F"/>
    <w:rsid w:val="00565F91"/>
    <w:rsid w:val="00566205"/>
    <w:rsid w:val="0056632B"/>
    <w:rsid w:val="00566344"/>
    <w:rsid w:val="00566BE7"/>
    <w:rsid w:val="00566E20"/>
    <w:rsid w:val="00566E3D"/>
    <w:rsid w:val="00566F39"/>
    <w:rsid w:val="0056706B"/>
    <w:rsid w:val="005672A6"/>
    <w:rsid w:val="00567B6A"/>
    <w:rsid w:val="00567FB2"/>
    <w:rsid w:val="0057035E"/>
    <w:rsid w:val="005706E9"/>
    <w:rsid w:val="00570D3A"/>
    <w:rsid w:val="00571271"/>
    <w:rsid w:val="00571279"/>
    <w:rsid w:val="005715A5"/>
    <w:rsid w:val="00571681"/>
    <w:rsid w:val="00571692"/>
    <w:rsid w:val="00571A14"/>
    <w:rsid w:val="00571A2F"/>
    <w:rsid w:val="00571BBE"/>
    <w:rsid w:val="00571CA1"/>
    <w:rsid w:val="0057213C"/>
    <w:rsid w:val="00572580"/>
    <w:rsid w:val="005728D9"/>
    <w:rsid w:val="00573250"/>
    <w:rsid w:val="00573F52"/>
    <w:rsid w:val="00574342"/>
    <w:rsid w:val="005744E1"/>
    <w:rsid w:val="0057456A"/>
    <w:rsid w:val="00574B51"/>
    <w:rsid w:val="00574B8F"/>
    <w:rsid w:val="00574BD7"/>
    <w:rsid w:val="00574BDB"/>
    <w:rsid w:val="005751EF"/>
    <w:rsid w:val="00575338"/>
    <w:rsid w:val="0057592F"/>
    <w:rsid w:val="00575FC5"/>
    <w:rsid w:val="0057656C"/>
    <w:rsid w:val="00576C78"/>
    <w:rsid w:val="00576EC6"/>
    <w:rsid w:val="00577286"/>
    <w:rsid w:val="0057791B"/>
    <w:rsid w:val="00577EFB"/>
    <w:rsid w:val="00577F4E"/>
    <w:rsid w:val="0058027D"/>
    <w:rsid w:val="0058031D"/>
    <w:rsid w:val="0058051F"/>
    <w:rsid w:val="00580976"/>
    <w:rsid w:val="00580C9F"/>
    <w:rsid w:val="00580DC1"/>
    <w:rsid w:val="00580F17"/>
    <w:rsid w:val="005812B6"/>
    <w:rsid w:val="005815ED"/>
    <w:rsid w:val="0058196B"/>
    <w:rsid w:val="00581D6C"/>
    <w:rsid w:val="00581F6E"/>
    <w:rsid w:val="00582290"/>
    <w:rsid w:val="0058289A"/>
    <w:rsid w:val="00582C0F"/>
    <w:rsid w:val="00582D8B"/>
    <w:rsid w:val="00583770"/>
    <w:rsid w:val="00583C21"/>
    <w:rsid w:val="00583FC2"/>
    <w:rsid w:val="00584003"/>
    <w:rsid w:val="005840FD"/>
    <w:rsid w:val="00584150"/>
    <w:rsid w:val="0058441E"/>
    <w:rsid w:val="005845EB"/>
    <w:rsid w:val="00584636"/>
    <w:rsid w:val="00584822"/>
    <w:rsid w:val="00584A91"/>
    <w:rsid w:val="00584C5D"/>
    <w:rsid w:val="00584D54"/>
    <w:rsid w:val="00584EFD"/>
    <w:rsid w:val="00585F7F"/>
    <w:rsid w:val="00586CB1"/>
    <w:rsid w:val="00586DF4"/>
    <w:rsid w:val="00587373"/>
    <w:rsid w:val="005873C2"/>
    <w:rsid w:val="00587B35"/>
    <w:rsid w:val="00587C32"/>
    <w:rsid w:val="00590248"/>
    <w:rsid w:val="005906D3"/>
    <w:rsid w:val="00590E0F"/>
    <w:rsid w:val="005910AB"/>
    <w:rsid w:val="005914ED"/>
    <w:rsid w:val="005919BB"/>
    <w:rsid w:val="00591B30"/>
    <w:rsid w:val="00591BE7"/>
    <w:rsid w:val="00591D5D"/>
    <w:rsid w:val="005928BD"/>
    <w:rsid w:val="00592B3F"/>
    <w:rsid w:val="00593733"/>
    <w:rsid w:val="0059392A"/>
    <w:rsid w:val="005939B5"/>
    <w:rsid w:val="00593FE3"/>
    <w:rsid w:val="005940DC"/>
    <w:rsid w:val="00594682"/>
    <w:rsid w:val="00594913"/>
    <w:rsid w:val="00594CB6"/>
    <w:rsid w:val="00594FA6"/>
    <w:rsid w:val="0059522E"/>
    <w:rsid w:val="00595334"/>
    <w:rsid w:val="00595E87"/>
    <w:rsid w:val="005961A9"/>
    <w:rsid w:val="00596290"/>
    <w:rsid w:val="00596F55"/>
    <w:rsid w:val="00597188"/>
    <w:rsid w:val="005976F7"/>
    <w:rsid w:val="0059786A"/>
    <w:rsid w:val="00597A4A"/>
    <w:rsid w:val="00597C37"/>
    <w:rsid w:val="005A0221"/>
    <w:rsid w:val="005A03D0"/>
    <w:rsid w:val="005A09FB"/>
    <w:rsid w:val="005A0D51"/>
    <w:rsid w:val="005A10AF"/>
    <w:rsid w:val="005A1236"/>
    <w:rsid w:val="005A13AB"/>
    <w:rsid w:val="005A1750"/>
    <w:rsid w:val="005A1818"/>
    <w:rsid w:val="005A19BC"/>
    <w:rsid w:val="005A2610"/>
    <w:rsid w:val="005A2779"/>
    <w:rsid w:val="005A2CB8"/>
    <w:rsid w:val="005A2CE5"/>
    <w:rsid w:val="005A364A"/>
    <w:rsid w:val="005A3F94"/>
    <w:rsid w:val="005A4488"/>
    <w:rsid w:val="005A48DA"/>
    <w:rsid w:val="005A49C6"/>
    <w:rsid w:val="005A4C09"/>
    <w:rsid w:val="005A4F9A"/>
    <w:rsid w:val="005A52D7"/>
    <w:rsid w:val="005A5E85"/>
    <w:rsid w:val="005A651E"/>
    <w:rsid w:val="005A70D6"/>
    <w:rsid w:val="005A7855"/>
    <w:rsid w:val="005A7A5B"/>
    <w:rsid w:val="005A7BD0"/>
    <w:rsid w:val="005A7D25"/>
    <w:rsid w:val="005B00D2"/>
    <w:rsid w:val="005B0203"/>
    <w:rsid w:val="005B0490"/>
    <w:rsid w:val="005B0C3A"/>
    <w:rsid w:val="005B11C0"/>
    <w:rsid w:val="005B1323"/>
    <w:rsid w:val="005B16CB"/>
    <w:rsid w:val="005B192B"/>
    <w:rsid w:val="005B1D01"/>
    <w:rsid w:val="005B22AD"/>
    <w:rsid w:val="005B2379"/>
    <w:rsid w:val="005B23C9"/>
    <w:rsid w:val="005B2422"/>
    <w:rsid w:val="005B299D"/>
    <w:rsid w:val="005B2B1B"/>
    <w:rsid w:val="005B2E32"/>
    <w:rsid w:val="005B333C"/>
    <w:rsid w:val="005B3869"/>
    <w:rsid w:val="005B3B89"/>
    <w:rsid w:val="005B3C79"/>
    <w:rsid w:val="005B3CAB"/>
    <w:rsid w:val="005B40CF"/>
    <w:rsid w:val="005B42BB"/>
    <w:rsid w:val="005B46AD"/>
    <w:rsid w:val="005B5245"/>
    <w:rsid w:val="005B5F0D"/>
    <w:rsid w:val="005B613A"/>
    <w:rsid w:val="005B64ED"/>
    <w:rsid w:val="005B67EB"/>
    <w:rsid w:val="005B6867"/>
    <w:rsid w:val="005B694A"/>
    <w:rsid w:val="005B6BF2"/>
    <w:rsid w:val="005B71B4"/>
    <w:rsid w:val="005B7635"/>
    <w:rsid w:val="005B7785"/>
    <w:rsid w:val="005B7D4D"/>
    <w:rsid w:val="005C025F"/>
    <w:rsid w:val="005C0859"/>
    <w:rsid w:val="005C0B60"/>
    <w:rsid w:val="005C0D17"/>
    <w:rsid w:val="005C113E"/>
    <w:rsid w:val="005C1551"/>
    <w:rsid w:val="005C1FCF"/>
    <w:rsid w:val="005C206C"/>
    <w:rsid w:val="005C2170"/>
    <w:rsid w:val="005C26C6"/>
    <w:rsid w:val="005C296D"/>
    <w:rsid w:val="005C3F69"/>
    <w:rsid w:val="005C3FD7"/>
    <w:rsid w:val="005C417B"/>
    <w:rsid w:val="005C436E"/>
    <w:rsid w:val="005C4388"/>
    <w:rsid w:val="005C43B5"/>
    <w:rsid w:val="005C4438"/>
    <w:rsid w:val="005C49D7"/>
    <w:rsid w:val="005C4B90"/>
    <w:rsid w:val="005C4F9D"/>
    <w:rsid w:val="005C565E"/>
    <w:rsid w:val="005C5683"/>
    <w:rsid w:val="005C5854"/>
    <w:rsid w:val="005C5BB6"/>
    <w:rsid w:val="005C5C7B"/>
    <w:rsid w:val="005C5C92"/>
    <w:rsid w:val="005C619C"/>
    <w:rsid w:val="005C62C8"/>
    <w:rsid w:val="005C62E3"/>
    <w:rsid w:val="005C6327"/>
    <w:rsid w:val="005C6423"/>
    <w:rsid w:val="005C659D"/>
    <w:rsid w:val="005C6879"/>
    <w:rsid w:val="005C766E"/>
    <w:rsid w:val="005C78BA"/>
    <w:rsid w:val="005C7CD5"/>
    <w:rsid w:val="005D0086"/>
    <w:rsid w:val="005D0A28"/>
    <w:rsid w:val="005D0B33"/>
    <w:rsid w:val="005D0E89"/>
    <w:rsid w:val="005D1620"/>
    <w:rsid w:val="005D16FA"/>
    <w:rsid w:val="005D1B09"/>
    <w:rsid w:val="005D1EED"/>
    <w:rsid w:val="005D1F71"/>
    <w:rsid w:val="005D1FB6"/>
    <w:rsid w:val="005D20A1"/>
    <w:rsid w:val="005D220A"/>
    <w:rsid w:val="005D234E"/>
    <w:rsid w:val="005D245C"/>
    <w:rsid w:val="005D2662"/>
    <w:rsid w:val="005D2A1E"/>
    <w:rsid w:val="005D2B3E"/>
    <w:rsid w:val="005D2BE4"/>
    <w:rsid w:val="005D3125"/>
    <w:rsid w:val="005D325C"/>
    <w:rsid w:val="005D3F9E"/>
    <w:rsid w:val="005D40A1"/>
    <w:rsid w:val="005D41E4"/>
    <w:rsid w:val="005D48C2"/>
    <w:rsid w:val="005D4CD7"/>
    <w:rsid w:val="005D4E05"/>
    <w:rsid w:val="005D4E32"/>
    <w:rsid w:val="005D5A2B"/>
    <w:rsid w:val="005D5C2F"/>
    <w:rsid w:val="005D629E"/>
    <w:rsid w:val="005D6517"/>
    <w:rsid w:val="005D6532"/>
    <w:rsid w:val="005D6658"/>
    <w:rsid w:val="005D6848"/>
    <w:rsid w:val="005D6EF1"/>
    <w:rsid w:val="005D76D8"/>
    <w:rsid w:val="005D7992"/>
    <w:rsid w:val="005D7A10"/>
    <w:rsid w:val="005D7F05"/>
    <w:rsid w:val="005E01ED"/>
    <w:rsid w:val="005E037A"/>
    <w:rsid w:val="005E04C1"/>
    <w:rsid w:val="005E0C5F"/>
    <w:rsid w:val="005E10EB"/>
    <w:rsid w:val="005E1375"/>
    <w:rsid w:val="005E152C"/>
    <w:rsid w:val="005E1677"/>
    <w:rsid w:val="005E1A00"/>
    <w:rsid w:val="005E1EAB"/>
    <w:rsid w:val="005E1FE3"/>
    <w:rsid w:val="005E213C"/>
    <w:rsid w:val="005E2A84"/>
    <w:rsid w:val="005E31E4"/>
    <w:rsid w:val="005E34AB"/>
    <w:rsid w:val="005E38C2"/>
    <w:rsid w:val="005E3D5A"/>
    <w:rsid w:val="005E4246"/>
    <w:rsid w:val="005E42AE"/>
    <w:rsid w:val="005E48AA"/>
    <w:rsid w:val="005E4B0C"/>
    <w:rsid w:val="005E4F8E"/>
    <w:rsid w:val="005E5268"/>
    <w:rsid w:val="005E5EEC"/>
    <w:rsid w:val="005E5F0B"/>
    <w:rsid w:val="005E603B"/>
    <w:rsid w:val="005E6041"/>
    <w:rsid w:val="005E6398"/>
    <w:rsid w:val="005E6D21"/>
    <w:rsid w:val="005E6F13"/>
    <w:rsid w:val="005E7164"/>
    <w:rsid w:val="005E72A1"/>
    <w:rsid w:val="005E76FC"/>
    <w:rsid w:val="005E7EBE"/>
    <w:rsid w:val="005E7ED7"/>
    <w:rsid w:val="005F0958"/>
    <w:rsid w:val="005F0D99"/>
    <w:rsid w:val="005F1191"/>
    <w:rsid w:val="005F1F5A"/>
    <w:rsid w:val="005F2252"/>
    <w:rsid w:val="005F23B0"/>
    <w:rsid w:val="005F2A24"/>
    <w:rsid w:val="005F3212"/>
    <w:rsid w:val="005F36DD"/>
    <w:rsid w:val="005F384D"/>
    <w:rsid w:val="005F3B31"/>
    <w:rsid w:val="005F3FB2"/>
    <w:rsid w:val="005F4225"/>
    <w:rsid w:val="005F4745"/>
    <w:rsid w:val="005F474D"/>
    <w:rsid w:val="005F4EC3"/>
    <w:rsid w:val="005F4F70"/>
    <w:rsid w:val="005F569F"/>
    <w:rsid w:val="005F589A"/>
    <w:rsid w:val="005F5FDB"/>
    <w:rsid w:val="005F6217"/>
    <w:rsid w:val="005F6AA8"/>
    <w:rsid w:val="005F700E"/>
    <w:rsid w:val="005F7959"/>
    <w:rsid w:val="005F7C14"/>
    <w:rsid w:val="005F7C6F"/>
    <w:rsid w:val="005F7DDD"/>
    <w:rsid w:val="005F7EAF"/>
    <w:rsid w:val="005F7FDC"/>
    <w:rsid w:val="006009C0"/>
    <w:rsid w:val="00600EE8"/>
    <w:rsid w:val="00601436"/>
    <w:rsid w:val="006014D8"/>
    <w:rsid w:val="00601607"/>
    <w:rsid w:val="0060185A"/>
    <w:rsid w:val="00602EFA"/>
    <w:rsid w:val="006033F8"/>
    <w:rsid w:val="00603903"/>
    <w:rsid w:val="00603B7F"/>
    <w:rsid w:val="00603BB4"/>
    <w:rsid w:val="00606277"/>
    <w:rsid w:val="006063EF"/>
    <w:rsid w:val="006064C9"/>
    <w:rsid w:val="00606C3C"/>
    <w:rsid w:val="006074E0"/>
    <w:rsid w:val="00607872"/>
    <w:rsid w:val="00607B6F"/>
    <w:rsid w:val="006101AE"/>
    <w:rsid w:val="006104D3"/>
    <w:rsid w:val="00611036"/>
    <w:rsid w:val="00611566"/>
    <w:rsid w:val="00611741"/>
    <w:rsid w:val="006117FE"/>
    <w:rsid w:val="00611A2C"/>
    <w:rsid w:val="00611AE0"/>
    <w:rsid w:val="00611FEB"/>
    <w:rsid w:val="00612524"/>
    <w:rsid w:val="00612579"/>
    <w:rsid w:val="00612679"/>
    <w:rsid w:val="00612959"/>
    <w:rsid w:val="00612A0A"/>
    <w:rsid w:val="00612A5A"/>
    <w:rsid w:val="00613321"/>
    <w:rsid w:val="006141CB"/>
    <w:rsid w:val="00614690"/>
    <w:rsid w:val="0061474A"/>
    <w:rsid w:val="006148F9"/>
    <w:rsid w:val="006149AF"/>
    <w:rsid w:val="00615037"/>
    <w:rsid w:val="00615308"/>
    <w:rsid w:val="006153DE"/>
    <w:rsid w:val="006153FC"/>
    <w:rsid w:val="0061563E"/>
    <w:rsid w:val="006156B6"/>
    <w:rsid w:val="00615AD1"/>
    <w:rsid w:val="00615FC0"/>
    <w:rsid w:val="00616FA4"/>
    <w:rsid w:val="006170D6"/>
    <w:rsid w:val="006172F5"/>
    <w:rsid w:val="00617357"/>
    <w:rsid w:val="00617F30"/>
    <w:rsid w:val="0062131A"/>
    <w:rsid w:val="00621328"/>
    <w:rsid w:val="006213C2"/>
    <w:rsid w:val="00621925"/>
    <w:rsid w:val="00621935"/>
    <w:rsid w:val="00621AD4"/>
    <w:rsid w:val="00621BBF"/>
    <w:rsid w:val="00621F40"/>
    <w:rsid w:val="0062260D"/>
    <w:rsid w:val="00622688"/>
    <w:rsid w:val="006229F1"/>
    <w:rsid w:val="00622AF6"/>
    <w:rsid w:val="00622D46"/>
    <w:rsid w:val="00623568"/>
    <w:rsid w:val="006241BA"/>
    <w:rsid w:val="0062436B"/>
    <w:rsid w:val="006243C0"/>
    <w:rsid w:val="00624C17"/>
    <w:rsid w:val="00625111"/>
    <w:rsid w:val="00625259"/>
    <w:rsid w:val="0062544C"/>
    <w:rsid w:val="006254A8"/>
    <w:rsid w:val="006258C8"/>
    <w:rsid w:val="006263C6"/>
    <w:rsid w:val="006271A4"/>
    <w:rsid w:val="0062797A"/>
    <w:rsid w:val="006305B0"/>
    <w:rsid w:val="00630758"/>
    <w:rsid w:val="00630F85"/>
    <w:rsid w:val="00631827"/>
    <w:rsid w:val="00631867"/>
    <w:rsid w:val="00631B50"/>
    <w:rsid w:val="00631EDB"/>
    <w:rsid w:val="006323AB"/>
    <w:rsid w:val="006324A2"/>
    <w:rsid w:val="00632593"/>
    <w:rsid w:val="0063280F"/>
    <w:rsid w:val="006328AF"/>
    <w:rsid w:val="00632A15"/>
    <w:rsid w:val="006334EF"/>
    <w:rsid w:val="006335B0"/>
    <w:rsid w:val="006336E9"/>
    <w:rsid w:val="006338B7"/>
    <w:rsid w:val="00633D2E"/>
    <w:rsid w:val="00633D67"/>
    <w:rsid w:val="006341EE"/>
    <w:rsid w:val="00634774"/>
    <w:rsid w:val="00634B7B"/>
    <w:rsid w:val="00634D64"/>
    <w:rsid w:val="00634EB6"/>
    <w:rsid w:val="00635142"/>
    <w:rsid w:val="0063572B"/>
    <w:rsid w:val="006357AE"/>
    <w:rsid w:val="0063652F"/>
    <w:rsid w:val="00636721"/>
    <w:rsid w:val="006368CC"/>
    <w:rsid w:val="006375D1"/>
    <w:rsid w:val="00637658"/>
    <w:rsid w:val="00637AFC"/>
    <w:rsid w:val="00637F0C"/>
    <w:rsid w:val="00640594"/>
    <w:rsid w:val="0064072E"/>
    <w:rsid w:val="0064077C"/>
    <w:rsid w:val="0064123A"/>
    <w:rsid w:val="00641EC9"/>
    <w:rsid w:val="00641F74"/>
    <w:rsid w:val="006429FE"/>
    <w:rsid w:val="00643576"/>
    <w:rsid w:val="006438EA"/>
    <w:rsid w:val="00643A75"/>
    <w:rsid w:val="006443CA"/>
    <w:rsid w:val="00644642"/>
    <w:rsid w:val="006449D3"/>
    <w:rsid w:val="00644E65"/>
    <w:rsid w:val="0064512A"/>
    <w:rsid w:val="006452FC"/>
    <w:rsid w:val="006459ED"/>
    <w:rsid w:val="006460CB"/>
    <w:rsid w:val="00646339"/>
    <w:rsid w:val="006467C4"/>
    <w:rsid w:val="00646A47"/>
    <w:rsid w:val="00646BFB"/>
    <w:rsid w:val="00646C1A"/>
    <w:rsid w:val="00646D99"/>
    <w:rsid w:val="00646E24"/>
    <w:rsid w:val="0064707E"/>
    <w:rsid w:val="00647565"/>
    <w:rsid w:val="006476AD"/>
    <w:rsid w:val="0065006C"/>
    <w:rsid w:val="00650FCD"/>
    <w:rsid w:val="00651039"/>
    <w:rsid w:val="00651278"/>
    <w:rsid w:val="006513AA"/>
    <w:rsid w:val="0065155D"/>
    <w:rsid w:val="00651C04"/>
    <w:rsid w:val="0065259B"/>
    <w:rsid w:val="00652697"/>
    <w:rsid w:val="006528FF"/>
    <w:rsid w:val="00652AB0"/>
    <w:rsid w:val="00652AEB"/>
    <w:rsid w:val="00652B2F"/>
    <w:rsid w:val="00652CC5"/>
    <w:rsid w:val="00652E8C"/>
    <w:rsid w:val="00652FE5"/>
    <w:rsid w:val="00653114"/>
    <w:rsid w:val="00653750"/>
    <w:rsid w:val="00653759"/>
    <w:rsid w:val="00653D49"/>
    <w:rsid w:val="00653EB4"/>
    <w:rsid w:val="00654712"/>
    <w:rsid w:val="006547A7"/>
    <w:rsid w:val="006548FA"/>
    <w:rsid w:val="00654ECB"/>
    <w:rsid w:val="00655052"/>
    <w:rsid w:val="0065556F"/>
    <w:rsid w:val="006555CD"/>
    <w:rsid w:val="006557FD"/>
    <w:rsid w:val="00655E09"/>
    <w:rsid w:val="00656142"/>
    <w:rsid w:val="006562CC"/>
    <w:rsid w:val="00656910"/>
    <w:rsid w:val="006569B1"/>
    <w:rsid w:val="00656B1B"/>
    <w:rsid w:val="00656CE2"/>
    <w:rsid w:val="00656D05"/>
    <w:rsid w:val="00656FF9"/>
    <w:rsid w:val="0065732F"/>
    <w:rsid w:val="006574C0"/>
    <w:rsid w:val="006577CE"/>
    <w:rsid w:val="00657933"/>
    <w:rsid w:val="006601F8"/>
    <w:rsid w:val="00660424"/>
    <w:rsid w:val="00660BE8"/>
    <w:rsid w:val="00660CDA"/>
    <w:rsid w:val="00660E2A"/>
    <w:rsid w:val="00660E31"/>
    <w:rsid w:val="00660FCA"/>
    <w:rsid w:val="006610A2"/>
    <w:rsid w:val="00661781"/>
    <w:rsid w:val="0066180F"/>
    <w:rsid w:val="00661CFF"/>
    <w:rsid w:val="00661EEC"/>
    <w:rsid w:val="00662226"/>
    <w:rsid w:val="006624B6"/>
    <w:rsid w:val="0066255F"/>
    <w:rsid w:val="00662623"/>
    <w:rsid w:val="00662A6F"/>
    <w:rsid w:val="00662B64"/>
    <w:rsid w:val="00662F36"/>
    <w:rsid w:val="00662FB0"/>
    <w:rsid w:val="0066389D"/>
    <w:rsid w:val="00663947"/>
    <w:rsid w:val="00663985"/>
    <w:rsid w:val="00663B2D"/>
    <w:rsid w:val="00663B8A"/>
    <w:rsid w:val="00663CF0"/>
    <w:rsid w:val="00664156"/>
    <w:rsid w:val="006642A7"/>
    <w:rsid w:val="00664823"/>
    <w:rsid w:val="006648CB"/>
    <w:rsid w:val="00664BE4"/>
    <w:rsid w:val="00664C02"/>
    <w:rsid w:val="00664D57"/>
    <w:rsid w:val="00664EBF"/>
    <w:rsid w:val="006651D8"/>
    <w:rsid w:val="0066528D"/>
    <w:rsid w:val="006658C5"/>
    <w:rsid w:val="0066594A"/>
    <w:rsid w:val="00665C28"/>
    <w:rsid w:val="00665F96"/>
    <w:rsid w:val="0066602D"/>
    <w:rsid w:val="00666CD0"/>
    <w:rsid w:val="00666ED7"/>
    <w:rsid w:val="0066734D"/>
    <w:rsid w:val="0066740C"/>
    <w:rsid w:val="00667700"/>
    <w:rsid w:val="006677ED"/>
    <w:rsid w:val="0066790E"/>
    <w:rsid w:val="00667A1C"/>
    <w:rsid w:val="00667C9D"/>
    <w:rsid w:val="00667D06"/>
    <w:rsid w:val="006704DC"/>
    <w:rsid w:val="00670746"/>
    <w:rsid w:val="006708EF"/>
    <w:rsid w:val="00670B91"/>
    <w:rsid w:val="00670B9D"/>
    <w:rsid w:val="00670CB3"/>
    <w:rsid w:val="00670F12"/>
    <w:rsid w:val="00670F74"/>
    <w:rsid w:val="006711BB"/>
    <w:rsid w:val="00671A63"/>
    <w:rsid w:val="00671A74"/>
    <w:rsid w:val="00671B6C"/>
    <w:rsid w:val="00671F53"/>
    <w:rsid w:val="006720A1"/>
    <w:rsid w:val="006725B4"/>
    <w:rsid w:val="00672B42"/>
    <w:rsid w:val="00673B54"/>
    <w:rsid w:val="00673B74"/>
    <w:rsid w:val="00673F05"/>
    <w:rsid w:val="00674024"/>
    <w:rsid w:val="006749F8"/>
    <w:rsid w:val="00674B27"/>
    <w:rsid w:val="00674CBA"/>
    <w:rsid w:val="00674D1E"/>
    <w:rsid w:val="0067521C"/>
    <w:rsid w:val="006756C5"/>
    <w:rsid w:val="00675C27"/>
    <w:rsid w:val="0067608C"/>
    <w:rsid w:val="00676323"/>
    <w:rsid w:val="006763E1"/>
    <w:rsid w:val="0067644C"/>
    <w:rsid w:val="0067648C"/>
    <w:rsid w:val="006768B9"/>
    <w:rsid w:val="006769F9"/>
    <w:rsid w:val="00676EFD"/>
    <w:rsid w:val="00676F16"/>
    <w:rsid w:val="00677371"/>
    <w:rsid w:val="00677588"/>
    <w:rsid w:val="0067772D"/>
    <w:rsid w:val="00677AF5"/>
    <w:rsid w:val="0068037B"/>
    <w:rsid w:val="00680641"/>
    <w:rsid w:val="0068171E"/>
    <w:rsid w:val="0068185F"/>
    <w:rsid w:val="00681A39"/>
    <w:rsid w:val="00682244"/>
    <w:rsid w:val="00682524"/>
    <w:rsid w:val="00682560"/>
    <w:rsid w:val="00682646"/>
    <w:rsid w:val="0068267C"/>
    <w:rsid w:val="0068282F"/>
    <w:rsid w:val="006830C0"/>
    <w:rsid w:val="0068343B"/>
    <w:rsid w:val="006834EC"/>
    <w:rsid w:val="00683798"/>
    <w:rsid w:val="006838B8"/>
    <w:rsid w:val="00683B10"/>
    <w:rsid w:val="00684372"/>
    <w:rsid w:val="006847A0"/>
    <w:rsid w:val="006848C8"/>
    <w:rsid w:val="00684A92"/>
    <w:rsid w:val="00684B96"/>
    <w:rsid w:val="00684E0F"/>
    <w:rsid w:val="00685355"/>
    <w:rsid w:val="006856D5"/>
    <w:rsid w:val="006856F3"/>
    <w:rsid w:val="00685E28"/>
    <w:rsid w:val="00685F57"/>
    <w:rsid w:val="006860D5"/>
    <w:rsid w:val="00686172"/>
    <w:rsid w:val="00686888"/>
    <w:rsid w:val="00686988"/>
    <w:rsid w:val="00686DA7"/>
    <w:rsid w:val="00686F94"/>
    <w:rsid w:val="00686FA8"/>
    <w:rsid w:val="0068702D"/>
    <w:rsid w:val="00687F88"/>
    <w:rsid w:val="006902DB"/>
    <w:rsid w:val="00690363"/>
    <w:rsid w:val="006905F3"/>
    <w:rsid w:val="00690947"/>
    <w:rsid w:val="00690B98"/>
    <w:rsid w:val="00690E7D"/>
    <w:rsid w:val="00691879"/>
    <w:rsid w:val="006923EA"/>
    <w:rsid w:val="00692612"/>
    <w:rsid w:val="00692624"/>
    <w:rsid w:val="0069295F"/>
    <w:rsid w:val="00692E82"/>
    <w:rsid w:val="00693320"/>
    <w:rsid w:val="006933A1"/>
    <w:rsid w:val="006933EB"/>
    <w:rsid w:val="00693975"/>
    <w:rsid w:val="00693BD1"/>
    <w:rsid w:val="0069418B"/>
    <w:rsid w:val="0069433E"/>
    <w:rsid w:val="006943B0"/>
    <w:rsid w:val="006943F7"/>
    <w:rsid w:val="006945A9"/>
    <w:rsid w:val="00695B1E"/>
    <w:rsid w:val="00695C20"/>
    <w:rsid w:val="00695E29"/>
    <w:rsid w:val="00696006"/>
    <w:rsid w:val="00696821"/>
    <w:rsid w:val="00696841"/>
    <w:rsid w:val="00696ACC"/>
    <w:rsid w:val="00696F43"/>
    <w:rsid w:val="006977C5"/>
    <w:rsid w:val="006978AB"/>
    <w:rsid w:val="006978D3"/>
    <w:rsid w:val="00697B13"/>
    <w:rsid w:val="006A0AEF"/>
    <w:rsid w:val="006A0EEB"/>
    <w:rsid w:val="006A10C2"/>
    <w:rsid w:val="006A1437"/>
    <w:rsid w:val="006A1A07"/>
    <w:rsid w:val="006A2B67"/>
    <w:rsid w:val="006A3207"/>
    <w:rsid w:val="006A32A0"/>
    <w:rsid w:val="006A38DB"/>
    <w:rsid w:val="006A3B61"/>
    <w:rsid w:val="006A4444"/>
    <w:rsid w:val="006A46B9"/>
    <w:rsid w:val="006A4777"/>
    <w:rsid w:val="006A47B7"/>
    <w:rsid w:val="006A47C9"/>
    <w:rsid w:val="006A4B1F"/>
    <w:rsid w:val="006A4D8B"/>
    <w:rsid w:val="006A4FD6"/>
    <w:rsid w:val="006A5541"/>
    <w:rsid w:val="006A5738"/>
    <w:rsid w:val="006A5A3D"/>
    <w:rsid w:val="006A5A45"/>
    <w:rsid w:val="006A634A"/>
    <w:rsid w:val="006A63C2"/>
    <w:rsid w:val="006A71F3"/>
    <w:rsid w:val="006A733B"/>
    <w:rsid w:val="006A74D8"/>
    <w:rsid w:val="006B002D"/>
    <w:rsid w:val="006B0752"/>
    <w:rsid w:val="006B0806"/>
    <w:rsid w:val="006B08BE"/>
    <w:rsid w:val="006B0D43"/>
    <w:rsid w:val="006B12DE"/>
    <w:rsid w:val="006B18FF"/>
    <w:rsid w:val="006B1A65"/>
    <w:rsid w:val="006B1D04"/>
    <w:rsid w:val="006B213C"/>
    <w:rsid w:val="006B284D"/>
    <w:rsid w:val="006B39BB"/>
    <w:rsid w:val="006B3D5F"/>
    <w:rsid w:val="006B43C7"/>
    <w:rsid w:val="006B4758"/>
    <w:rsid w:val="006B4990"/>
    <w:rsid w:val="006B4C70"/>
    <w:rsid w:val="006B4D45"/>
    <w:rsid w:val="006B632E"/>
    <w:rsid w:val="006B6C7A"/>
    <w:rsid w:val="006B74AE"/>
    <w:rsid w:val="006B74E3"/>
    <w:rsid w:val="006B758D"/>
    <w:rsid w:val="006B7686"/>
    <w:rsid w:val="006B7C5B"/>
    <w:rsid w:val="006B7F96"/>
    <w:rsid w:val="006C010C"/>
    <w:rsid w:val="006C05DC"/>
    <w:rsid w:val="006C0787"/>
    <w:rsid w:val="006C0C71"/>
    <w:rsid w:val="006C125C"/>
    <w:rsid w:val="006C134E"/>
    <w:rsid w:val="006C19A5"/>
    <w:rsid w:val="006C19C0"/>
    <w:rsid w:val="006C1C75"/>
    <w:rsid w:val="006C237C"/>
    <w:rsid w:val="006C25E9"/>
    <w:rsid w:val="006C2981"/>
    <w:rsid w:val="006C2AE0"/>
    <w:rsid w:val="006C2D8E"/>
    <w:rsid w:val="006C375F"/>
    <w:rsid w:val="006C3EF3"/>
    <w:rsid w:val="006C3F38"/>
    <w:rsid w:val="006C3F9D"/>
    <w:rsid w:val="006C415A"/>
    <w:rsid w:val="006C4519"/>
    <w:rsid w:val="006C4917"/>
    <w:rsid w:val="006C4B05"/>
    <w:rsid w:val="006C50E5"/>
    <w:rsid w:val="006C55EE"/>
    <w:rsid w:val="006C5E9E"/>
    <w:rsid w:val="006C631E"/>
    <w:rsid w:val="006C66D8"/>
    <w:rsid w:val="006C6943"/>
    <w:rsid w:val="006C6A28"/>
    <w:rsid w:val="006C6F2C"/>
    <w:rsid w:val="006C6F80"/>
    <w:rsid w:val="006C6FB3"/>
    <w:rsid w:val="006C702E"/>
    <w:rsid w:val="006C7422"/>
    <w:rsid w:val="006C77F5"/>
    <w:rsid w:val="006C7D41"/>
    <w:rsid w:val="006D094A"/>
    <w:rsid w:val="006D1332"/>
    <w:rsid w:val="006D17B2"/>
    <w:rsid w:val="006D17BB"/>
    <w:rsid w:val="006D1E24"/>
    <w:rsid w:val="006D1F6C"/>
    <w:rsid w:val="006D202B"/>
    <w:rsid w:val="006D210F"/>
    <w:rsid w:val="006D2975"/>
    <w:rsid w:val="006D2C79"/>
    <w:rsid w:val="006D2DFE"/>
    <w:rsid w:val="006D2F5A"/>
    <w:rsid w:val="006D35DE"/>
    <w:rsid w:val="006D362F"/>
    <w:rsid w:val="006D3946"/>
    <w:rsid w:val="006D3E1A"/>
    <w:rsid w:val="006D46EA"/>
    <w:rsid w:val="006D48AD"/>
    <w:rsid w:val="006D4DE2"/>
    <w:rsid w:val="006D5156"/>
    <w:rsid w:val="006D5325"/>
    <w:rsid w:val="006D5B76"/>
    <w:rsid w:val="006D66FE"/>
    <w:rsid w:val="006D6992"/>
    <w:rsid w:val="006D6AAD"/>
    <w:rsid w:val="006D6B54"/>
    <w:rsid w:val="006D6E1A"/>
    <w:rsid w:val="006D700F"/>
    <w:rsid w:val="006D714B"/>
    <w:rsid w:val="006D780E"/>
    <w:rsid w:val="006D7907"/>
    <w:rsid w:val="006D7E47"/>
    <w:rsid w:val="006E0370"/>
    <w:rsid w:val="006E04C3"/>
    <w:rsid w:val="006E0C70"/>
    <w:rsid w:val="006E0F11"/>
    <w:rsid w:val="006E1057"/>
    <w:rsid w:val="006E13E2"/>
    <w:rsid w:val="006E1417"/>
    <w:rsid w:val="006E1702"/>
    <w:rsid w:val="006E1D58"/>
    <w:rsid w:val="006E2177"/>
    <w:rsid w:val="006E24CE"/>
    <w:rsid w:val="006E2BF2"/>
    <w:rsid w:val="006E2CC5"/>
    <w:rsid w:val="006E30A4"/>
    <w:rsid w:val="006E334A"/>
    <w:rsid w:val="006E395D"/>
    <w:rsid w:val="006E3BE3"/>
    <w:rsid w:val="006E3CC4"/>
    <w:rsid w:val="006E4255"/>
    <w:rsid w:val="006E460F"/>
    <w:rsid w:val="006E4984"/>
    <w:rsid w:val="006E4A6D"/>
    <w:rsid w:val="006E594B"/>
    <w:rsid w:val="006E5A3F"/>
    <w:rsid w:val="006E5B76"/>
    <w:rsid w:val="006E5F06"/>
    <w:rsid w:val="006E5FE8"/>
    <w:rsid w:val="006E60EB"/>
    <w:rsid w:val="006E6416"/>
    <w:rsid w:val="006E6BFF"/>
    <w:rsid w:val="006E7166"/>
    <w:rsid w:val="006E729A"/>
    <w:rsid w:val="006E73E4"/>
    <w:rsid w:val="006E7BAC"/>
    <w:rsid w:val="006F0091"/>
    <w:rsid w:val="006F0228"/>
    <w:rsid w:val="006F0701"/>
    <w:rsid w:val="006F07B3"/>
    <w:rsid w:val="006F0CF5"/>
    <w:rsid w:val="006F0E96"/>
    <w:rsid w:val="006F1472"/>
    <w:rsid w:val="006F1B9E"/>
    <w:rsid w:val="006F2342"/>
    <w:rsid w:val="006F250B"/>
    <w:rsid w:val="006F2CF0"/>
    <w:rsid w:val="006F3245"/>
    <w:rsid w:val="006F3261"/>
    <w:rsid w:val="006F3399"/>
    <w:rsid w:val="006F35DA"/>
    <w:rsid w:val="006F3CF3"/>
    <w:rsid w:val="006F3EE7"/>
    <w:rsid w:val="006F3FEF"/>
    <w:rsid w:val="006F483C"/>
    <w:rsid w:val="006F4865"/>
    <w:rsid w:val="006F4F08"/>
    <w:rsid w:val="006F4FB3"/>
    <w:rsid w:val="006F5256"/>
    <w:rsid w:val="006F54BD"/>
    <w:rsid w:val="006F5C01"/>
    <w:rsid w:val="006F609F"/>
    <w:rsid w:val="006F60B9"/>
    <w:rsid w:val="006F66A3"/>
    <w:rsid w:val="006F6882"/>
    <w:rsid w:val="006F6A2C"/>
    <w:rsid w:val="006F6B42"/>
    <w:rsid w:val="006F755D"/>
    <w:rsid w:val="006F7715"/>
    <w:rsid w:val="006F7978"/>
    <w:rsid w:val="006F7CC3"/>
    <w:rsid w:val="006F7D6F"/>
    <w:rsid w:val="006F7E43"/>
    <w:rsid w:val="0070007F"/>
    <w:rsid w:val="007003BB"/>
    <w:rsid w:val="00700435"/>
    <w:rsid w:val="0070049E"/>
    <w:rsid w:val="00700A8C"/>
    <w:rsid w:val="00700D15"/>
    <w:rsid w:val="007017CE"/>
    <w:rsid w:val="007018E0"/>
    <w:rsid w:val="00702115"/>
    <w:rsid w:val="00702357"/>
    <w:rsid w:val="007025BF"/>
    <w:rsid w:val="007026DD"/>
    <w:rsid w:val="0070287C"/>
    <w:rsid w:val="00702D0E"/>
    <w:rsid w:val="007030F4"/>
    <w:rsid w:val="00703178"/>
    <w:rsid w:val="00703411"/>
    <w:rsid w:val="00703B7D"/>
    <w:rsid w:val="00703F43"/>
    <w:rsid w:val="007044C2"/>
    <w:rsid w:val="00704875"/>
    <w:rsid w:val="0070498A"/>
    <w:rsid w:val="00704ACA"/>
    <w:rsid w:val="00704D50"/>
    <w:rsid w:val="007053D0"/>
    <w:rsid w:val="0070545D"/>
    <w:rsid w:val="007056B3"/>
    <w:rsid w:val="00705805"/>
    <w:rsid w:val="00705B18"/>
    <w:rsid w:val="00705DDE"/>
    <w:rsid w:val="00705E08"/>
    <w:rsid w:val="00705F52"/>
    <w:rsid w:val="007062AE"/>
    <w:rsid w:val="007064DC"/>
    <w:rsid w:val="007065D9"/>
    <w:rsid w:val="0070661E"/>
    <w:rsid w:val="0070672C"/>
    <w:rsid w:val="007069DC"/>
    <w:rsid w:val="0070760A"/>
    <w:rsid w:val="00707733"/>
    <w:rsid w:val="00707906"/>
    <w:rsid w:val="00707997"/>
    <w:rsid w:val="00707AAD"/>
    <w:rsid w:val="00707C8A"/>
    <w:rsid w:val="00707CF3"/>
    <w:rsid w:val="00710201"/>
    <w:rsid w:val="00710264"/>
    <w:rsid w:val="007105B8"/>
    <w:rsid w:val="00710886"/>
    <w:rsid w:val="00710903"/>
    <w:rsid w:val="00710B8E"/>
    <w:rsid w:val="00710DA7"/>
    <w:rsid w:val="007112FD"/>
    <w:rsid w:val="00711706"/>
    <w:rsid w:val="00712114"/>
    <w:rsid w:val="00712606"/>
    <w:rsid w:val="00712609"/>
    <w:rsid w:val="0071275D"/>
    <w:rsid w:val="0071289C"/>
    <w:rsid w:val="00712EFC"/>
    <w:rsid w:val="00712F39"/>
    <w:rsid w:val="00713570"/>
    <w:rsid w:val="0071361F"/>
    <w:rsid w:val="007137BE"/>
    <w:rsid w:val="007138B1"/>
    <w:rsid w:val="00713BD6"/>
    <w:rsid w:val="00714713"/>
    <w:rsid w:val="007147F9"/>
    <w:rsid w:val="00714C35"/>
    <w:rsid w:val="007150C8"/>
    <w:rsid w:val="007154D1"/>
    <w:rsid w:val="007155CF"/>
    <w:rsid w:val="00715A20"/>
    <w:rsid w:val="00716E62"/>
    <w:rsid w:val="00716F33"/>
    <w:rsid w:val="007171AE"/>
    <w:rsid w:val="0071734B"/>
    <w:rsid w:val="0071773E"/>
    <w:rsid w:val="007179CE"/>
    <w:rsid w:val="00717D4E"/>
    <w:rsid w:val="00717E5F"/>
    <w:rsid w:val="007202B1"/>
    <w:rsid w:val="007202CF"/>
    <w:rsid w:val="0072061E"/>
    <w:rsid w:val="0072070B"/>
    <w:rsid w:val="0072073A"/>
    <w:rsid w:val="007209AA"/>
    <w:rsid w:val="00720A65"/>
    <w:rsid w:val="007211DE"/>
    <w:rsid w:val="00721333"/>
    <w:rsid w:val="0072149B"/>
    <w:rsid w:val="00721D7A"/>
    <w:rsid w:val="00722B93"/>
    <w:rsid w:val="00722CEE"/>
    <w:rsid w:val="00722EAD"/>
    <w:rsid w:val="00722EC6"/>
    <w:rsid w:val="00722F6A"/>
    <w:rsid w:val="00722FF1"/>
    <w:rsid w:val="007230E1"/>
    <w:rsid w:val="007235D1"/>
    <w:rsid w:val="00723A58"/>
    <w:rsid w:val="00723B23"/>
    <w:rsid w:val="00723F35"/>
    <w:rsid w:val="007242DE"/>
    <w:rsid w:val="00724471"/>
    <w:rsid w:val="00725087"/>
    <w:rsid w:val="00725656"/>
    <w:rsid w:val="00725B47"/>
    <w:rsid w:val="00725BC0"/>
    <w:rsid w:val="00726A5B"/>
    <w:rsid w:val="00726D66"/>
    <w:rsid w:val="00726FD9"/>
    <w:rsid w:val="007276AF"/>
    <w:rsid w:val="00727E5F"/>
    <w:rsid w:val="00730316"/>
    <w:rsid w:val="0073076D"/>
    <w:rsid w:val="007308B8"/>
    <w:rsid w:val="00730CBB"/>
    <w:rsid w:val="00730EE1"/>
    <w:rsid w:val="00730F57"/>
    <w:rsid w:val="00731A28"/>
    <w:rsid w:val="00731A49"/>
    <w:rsid w:val="00731BB4"/>
    <w:rsid w:val="00731BCF"/>
    <w:rsid w:val="007320AC"/>
    <w:rsid w:val="00732133"/>
    <w:rsid w:val="00733739"/>
    <w:rsid w:val="007342B5"/>
    <w:rsid w:val="00734A5B"/>
    <w:rsid w:val="00734A82"/>
    <w:rsid w:val="00734B19"/>
    <w:rsid w:val="00735021"/>
    <w:rsid w:val="0073507E"/>
    <w:rsid w:val="00735333"/>
    <w:rsid w:val="0073554B"/>
    <w:rsid w:val="007358B9"/>
    <w:rsid w:val="00735AA9"/>
    <w:rsid w:val="00735AB0"/>
    <w:rsid w:val="00735B8D"/>
    <w:rsid w:val="00735D6C"/>
    <w:rsid w:val="00736527"/>
    <w:rsid w:val="0073652C"/>
    <w:rsid w:val="00736596"/>
    <w:rsid w:val="00736A48"/>
    <w:rsid w:val="00736C49"/>
    <w:rsid w:val="00736E8A"/>
    <w:rsid w:val="00736F45"/>
    <w:rsid w:val="00737190"/>
    <w:rsid w:val="007379D3"/>
    <w:rsid w:val="00737B02"/>
    <w:rsid w:val="00737DE4"/>
    <w:rsid w:val="00740038"/>
    <w:rsid w:val="00740668"/>
    <w:rsid w:val="007408DF"/>
    <w:rsid w:val="00740AF7"/>
    <w:rsid w:val="00741333"/>
    <w:rsid w:val="007418E0"/>
    <w:rsid w:val="00741B7B"/>
    <w:rsid w:val="00741E57"/>
    <w:rsid w:val="0074205A"/>
    <w:rsid w:val="00742285"/>
    <w:rsid w:val="007427E0"/>
    <w:rsid w:val="007429B8"/>
    <w:rsid w:val="00742E8B"/>
    <w:rsid w:val="007430A4"/>
    <w:rsid w:val="0074345F"/>
    <w:rsid w:val="0074368A"/>
    <w:rsid w:val="007440D1"/>
    <w:rsid w:val="007440F2"/>
    <w:rsid w:val="00744BC2"/>
    <w:rsid w:val="00744E31"/>
    <w:rsid w:val="00744E76"/>
    <w:rsid w:val="00745173"/>
    <w:rsid w:val="00745C55"/>
    <w:rsid w:val="00746000"/>
    <w:rsid w:val="007461DD"/>
    <w:rsid w:val="007461E3"/>
    <w:rsid w:val="007463D2"/>
    <w:rsid w:val="007469D0"/>
    <w:rsid w:val="00746D47"/>
    <w:rsid w:val="0074757D"/>
    <w:rsid w:val="00747661"/>
    <w:rsid w:val="00747AE5"/>
    <w:rsid w:val="007507EA"/>
    <w:rsid w:val="00750B8F"/>
    <w:rsid w:val="00750BB4"/>
    <w:rsid w:val="00751AB8"/>
    <w:rsid w:val="00751C03"/>
    <w:rsid w:val="00751C44"/>
    <w:rsid w:val="00751D91"/>
    <w:rsid w:val="00751FE0"/>
    <w:rsid w:val="0075210F"/>
    <w:rsid w:val="00752321"/>
    <w:rsid w:val="0075247A"/>
    <w:rsid w:val="00752A6C"/>
    <w:rsid w:val="007536B4"/>
    <w:rsid w:val="007536CD"/>
    <w:rsid w:val="00753798"/>
    <w:rsid w:val="00753C26"/>
    <w:rsid w:val="00753C3E"/>
    <w:rsid w:val="00753F37"/>
    <w:rsid w:val="00754AC6"/>
    <w:rsid w:val="00754C68"/>
    <w:rsid w:val="00755308"/>
    <w:rsid w:val="00755BF4"/>
    <w:rsid w:val="00755CAE"/>
    <w:rsid w:val="00755FF4"/>
    <w:rsid w:val="007560EE"/>
    <w:rsid w:val="007563F5"/>
    <w:rsid w:val="00756477"/>
    <w:rsid w:val="00756E0E"/>
    <w:rsid w:val="00756E73"/>
    <w:rsid w:val="00756F32"/>
    <w:rsid w:val="0075711B"/>
    <w:rsid w:val="00757180"/>
    <w:rsid w:val="007573F1"/>
    <w:rsid w:val="00757711"/>
    <w:rsid w:val="00757D40"/>
    <w:rsid w:val="007601C4"/>
    <w:rsid w:val="007601C6"/>
    <w:rsid w:val="00760AA2"/>
    <w:rsid w:val="00760F6D"/>
    <w:rsid w:val="0076135D"/>
    <w:rsid w:val="00761C15"/>
    <w:rsid w:val="00761F85"/>
    <w:rsid w:val="0076204A"/>
    <w:rsid w:val="00762398"/>
    <w:rsid w:val="00762C4F"/>
    <w:rsid w:val="0076302B"/>
    <w:rsid w:val="0076381C"/>
    <w:rsid w:val="00763DF1"/>
    <w:rsid w:val="00763E5C"/>
    <w:rsid w:val="007642F4"/>
    <w:rsid w:val="00764499"/>
    <w:rsid w:val="00764A9F"/>
    <w:rsid w:val="0076517C"/>
    <w:rsid w:val="00765199"/>
    <w:rsid w:val="007652E5"/>
    <w:rsid w:val="00765619"/>
    <w:rsid w:val="0076581F"/>
    <w:rsid w:val="007658B8"/>
    <w:rsid w:val="00765AE9"/>
    <w:rsid w:val="0076607C"/>
    <w:rsid w:val="0076609C"/>
    <w:rsid w:val="007662B0"/>
    <w:rsid w:val="007662B5"/>
    <w:rsid w:val="00766332"/>
    <w:rsid w:val="007664FC"/>
    <w:rsid w:val="00767073"/>
    <w:rsid w:val="00767266"/>
    <w:rsid w:val="007679BB"/>
    <w:rsid w:val="00767E00"/>
    <w:rsid w:val="0077016D"/>
    <w:rsid w:val="007701AB"/>
    <w:rsid w:val="00770394"/>
    <w:rsid w:val="0077061D"/>
    <w:rsid w:val="00770E3B"/>
    <w:rsid w:val="00770E63"/>
    <w:rsid w:val="007712A6"/>
    <w:rsid w:val="00771379"/>
    <w:rsid w:val="00771691"/>
    <w:rsid w:val="007716E8"/>
    <w:rsid w:val="00771940"/>
    <w:rsid w:val="0077221E"/>
    <w:rsid w:val="00772545"/>
    <w:rsid w:val="00772BD0"/>
    <w:rsid w:val="00772D53"/>
    <w:rsid w:val="00772ECC"/>
    <w:rsid w:val="00772FF0"/>
    <w:rsid w:val="0077377F"/>
    <w:rsid w:val="007738F4"/>
    <w:rsid w:val="00773930"/>
    <w:rsid w:val="0077402D"/>
    <w:rsid w:val="00774554"/>
    <w:rsid w:val="00774DE8"/>
    <w:rsid w:val="00774E9A"/>
    <w:rsid w:val="0077558F"/>
    <w:rsid w:val="007755B4"/>
    <w:rsid w:val="00775B3D"/>
    <w:rsid w:val="00775CC9"/>
    <w:rsid w:val="00776811"/>
    <w:rsid w:val="0077727E"/>
    <w:rsid w:val="007772AD"/>
    <w:rsid w:val="007773A4"/>
    <w:rsid w:val="007776B7"/>
    <w:rsid w:val="007776C4"/>
    <w:rsid w:val="00777793"/>
    <w:rsid w:val="0077782B"/>
    <w:rsid w:val="0077790F"/>
    <w:rsid w:val="00780169"/>
    <w:rsid w:val="00780E27"/>
    <w:rsid w:val="00780E7F"/>
    <w:rsid w:val="00781376"/>
    <w:rsid w:val="007815C7"/>
    <w:rsid w:val="00781975"/>
    <w:rsid w:val="00781F0F"/>
    <w:rsid w:val="00782315"/>
    <w:rsid w:val="00782F11"/>
    <w:rsid w:val="00782F33"/>
    <w:rsid w:val="00783430"/>
    <w:rsid w:val="00783F90"/>
    <w:rsid w:val="00784717"/>
    <w:rsid w:val="00784764"/>
    <w:rsid w:val="00784AD5"/>
    <w:rsid w:val="0078502C"/>
    <w:rsid w:val="00785A3D"/>
    <w:rsid w:val="00785AC6"/>
    <w:rsid w:val="00785CB8"/>
    <w:rsid w:val="00785FAB"/>
    <w:rsid w:val="00786349"/>
    <w:rsid w:val="00786D0A"/>
    <w:rsid w:val="0078727C"/>
    <w:rsid w:val="007900C2"/>
    <w:rsid w:val="00790217"/>
    <w:rsid w:val="0079049D"/>
    <w:rsid w:val="007905F6"/>
    <w:rsid w:val="00790624"/>
    <w:rsid w:val="00790FDA"/>
    <w:rsid w:val="00790FDE"/>
    <w:rsid w:val="0079173F"/>
    <w:rsid w:val="007919F7"/>
    <w:rsid w:val="00791A86"/>
    <w:rsid w:val="00791CF6"/>
    <w:rsid w:val="00791EFD"/>
    <w:rsid w:val="0079207F"/>
    <w:rsid w:val="007928B7"/>
    <w:rsid w:val="00792E6E"/>
    <w:rsid w:val="007934B6"/>
    <w:rsid w:val="0079383B"/>
    <w:rsid w:val="00793CC8"/>
    <w:rsid w:val="00793DC5"/>
    <w:rsid w:val="0079401C"/>
    <w:rsid w:val="0079402B"/>
    <w:rsid w:val="00794777"/>
    <w:rsid w:val="00794789"/>
    <w:rsid w:val="00794C6A"/>
    <w:rsid w:val="007950FC"/>
    <w:rsid w:val="007951B5"/>
    <w:rsid w:val="00795785"/>
    <w:rsid w:val="007957D5"/>
    <w:rsid w:val="00795D1E"/>
    <w:rsid w:val="00795E37"/>
    <w:rsid w:val="00795F09"/>
    <w:rsid w:val="00795FB9"/>
    <w:rsid w:val="00796022"/>
    <w:rsid w:val="00796296"/>
    <w:rsid w:val="0079629C"/>
    <w:rsid w:val="00796471"/>
    <w:rsid w:val="007965A2"/>
    <w:rsid w:val="00796823"/>
    <w:rsid w:val="007969DA"/>
    <w:rsid w:val="00796B36"/>
    <w:rsid w:val="00796F61"/>
    <w:rsid w:val="00797160"/>
    <w:rsid w:val="0079727C"/>
    <w:rsid w:val="00797412"/>
    <w:rsid w:val="007975B5"/>
    <w:rsid w:val="00797F2D"/>
    <w:rsid w:val="007A00BB"/>
    <w:rsid w:val="007A056B"/>
    <w:rsid w:val="007A0B90"/>
    <w:rsid w:val="007A125D"/>
    <w:rsid w:val="007A162D"/>
    <w:rsid w:val="007A1848"/>
    <w:rsid w:val="007A1ED4"/>
    <w:rsid w:val="007A1FBC"/>
    <w:rsid w:val="007A2034"/>
    <w:rsid w:val="007A21A1"/>
    <w:rsid w:val="007A2741"/>
    <w:rsid w:val="007A2E55"/>
    <w:rsid w:val="007A339D"/>
    <w:rsid w:val="007A3A72"/>
    <w:rsid w:val="007A3F27"/>
    <w:rsid w:val="007A4550"/>
    <w:rsid w:val="007A4793"/>
    <w:rsid w:val="007A48E8"/>
    <w:rsid w:val="007A5148"/>
    <w:rsid w:val="007A59F4"/>
    <w:rsid w:val="007A5AA4"/>
    <w:rsid w:val="007A5B2F"/>
    <w:rsid w:val="007A5CAE"/>
    <w:rsid w:val="007A5FFB"/>
    <w:rsid w:val="007A6046"/>
    <w:rsid w:val="007A608B"/>
    <w:rsid w:val="007A6127"/>
    <w:rsid w:val="007A65FC"/>
    <w:rsid w:val="007A70FF"/>
    <w:rsid w:val="007A7404"/>
    <w:rsid w:val="007A75D3"/>
    <w:rsid w:val="007A7C12"/>
    <w:rsid w:val="007A7C5C"/>
    <w:rsid w:val="007A7C83"/>
    <w:rsid w:val="007B02B6"/>
    <w:rsid w:val="007B04B0"/>
    <w:rsid w:val="007B050C"/>
    <w:rsid w:val="007B087B"/>
    <w:rsid w:val="007B0925"/>
    <w:rsid w:val="007B0A18"/>
    <w:rsid w:val="007B0B23"/>
    <w:rsid w:val="007B0CDC"/>
    <w:rsid w:val="007B0E37"/>
    <w:rsid w:val="007B0E76"/>
    <w:rsid w:val="007B0F98"/>
    <w:rsid w:val="007B126E"/>
    <w:rsid w:val="007B16B1"/>
    <w:rsid w:val="007B1886"/>
    <w:rsid w:val="007B18D8"/>
    <w:rsid w:val="007B1A11"/>
    <w:rsid w:val="007B20BE"/>
    <w:rsid w:val="007B216B"/>
    <w:rsid w:val="007B226D"/>
    <w:rsid w:val="007B248B"/>
    <w:rsid w:val="007B27CB"/>
    <w:rsid w:val="007B293E"/>
    <w:rsid w:val="007B2E6A"/>
    <w:rsid w:val="007B3E74"/>
    <w:rsid w:val="007B3FF7"/>
    <w:rsid w:val="007B40A7"/>
    <w:rsid w:val="007B4174"/>
    <w:rsid w:val="007B485D"/>
    <w:rsid w:val="007B52E8"/>
    <w:rsid w:val="007B56E4"/>
    <w:rsid w:val="007B578C"/>
    <w:rsid w:val="007B5A9B"/>
    <w:rsid w:val="007B6376"/>
    <w:rsid w:val="007B63A1"/>
    <w:rsid w:val="007B69DD"/>
    <w:rsid w:val="007B6BCC"/>
    <w:rsid w:val="007B6BDA"/>
    <w:rsid w:val="007B72C3"/>
    <w:rsid w:val="007C05D0"/>
    <w:rsid w:val="007C07DB"/>
    <w:rsid w:val="007C095F"/>
    <w:rsid w:val="007C0B0B"/>
    <w:rsid w:val="007C0F43"/>
    <w:rsid w:val="007C1088"/>
    <w:rsid w:val="007C137B"/>
    <w:rsid w:val="007C194D"/>
    <w:rsid w:val="007C1C5C"/>
    <w:rsid w:val="007C1C6E"/>
    <w:rsid w:val="007C29CF"/>
    <w:rsid w:val="007C2DD0"/>
    <w:rsid w:val="007C2F12"/>
    <w:rsid w:val="007C3214"/>
    <w:rsid w:val="007C332F"/>
    <w:rsid w:val="007C335C"/>
    <w:rsid w:val="007C33ED"/>
    <w:rsid w:val="007C3885"/>
    <w:rsid w:val="007C3C63"/>
    <w:rsid w:val="007C416F"/>
    <w:rsid w:val="007C44AF"/>
    <w:rsid w:val="007C458D"/>
    <w:rsid w:val="007C4B4E"/>
    <w:rsid w:val="007C4CF3"/>
    <w:rsid w:val="007C4DD6"/>
    <w:rsid w:val="007C4EB5"/>
    <w:rsid w:val="007C4ECF"/>
    <w:rsid w:val="007C4F10"/>
    <w:rsid w:val="007C4F3A"/>
    <w:rsid w:val="007C549B"/>
    <w:rsid w:val="007C5576"/>
    <w:rsid w:val="007C588B"/>
    <w:rsid w:val="007C5A17"/>
    <w:rsid w:val="007C61EF"/>
    <w:rsid w:val="007C61F2"/>
    <w:rsid w:val="007C620E"/>
    <w:rsid w:val="007C65CF"/>
    <w:rsid w:val="007C6DAA"/>
    <w:rsid w:val="007C6F05"/>
    <w:rsid w:val="007C70C6"/>
    <w:rsid w:val="007C79B1"/>
    <w:rsid w:val="007C79CE"/>
    <w:rsid w:val="007C7CCE"/>
    <w:rsid w:val="007C7CD0"/>
    <w:rsid w:val="007C7D01"/>
    <w:rsid w:val="007D0CE1"/>
    <w:rsid w:val="007D0DDF"/>
    <w:rsid w:val="007D0FC2"/>
    <w:rsid w:val="007D1386"/>
    <w:rsid w:val="007D149B"/>
    <w:rsid w:val="007D1530"/>
    <w:rsid w:val="007D22C5"/>
    <w:rsid w:val="007D28EE"/>
    <w:rsid w:val="007D2F1C"/>
    <w:rsid w:val="007D3560"/>
    <w:rsid w:val="007D3610"/>
    <w:rsid w:val="007D4081"/>
    <w:rsid w:val="007D422B"/>
    <w:rsid w:val="007D47B5"/>
    <w:rsid w:val="007D49F2"/>
    <w:rsid w:val="007D5188"/>
    <w:rsid w:val="007D5D14"/>
    <w:rsid w:val="007D6AFC"/>
    <w:rsid w:val="007D6CDC"/>
    <w:rsid w:val="007D6D73"/>
    <w:rsid w:val="007D6DAD"/>
    <w:rsid w:val="007D6F38"/>
    <w:rsid w:val="007D745B"/>
    <w:rsid w:val="007D7AC2"/>
    <w:rsid w:val="007D7C00"/>
    <w:rsid w:val="007D7EF7"/>
    <w:rsid w:val="007E0354"/>
    <w:rsid w:val="007E0424"/>
    <w:rsid w:val="007E0522"/>
    <w:rsid w:val="007E07FA"/>
    <w:rsid w:val="007E0ECB"/>
    <w:rsid w:val="007E2236"/>
    <w:rsid w:val="007E2488"/>
    <w:rsid w:val="007E2BB3"/>
    <w:rsid w:val="007E2C02"/>
    <w:rsid w:val="007E3197"/>
    <w:rsid w:val="007E36D0"/>
    <w:rsid w:val="007E3799"/>
    <w:rsid w:val="007E38D6"/>
    <w:rsid w:val="007E427C"/>
    <w:rsid w:val="007E4479"/>
    <w:rsid w:val="007E44E6"/>
    <w:rsid w:val="007E4B18"/>
    <w:rsid w:val="007E5690"/>
    <w:rsid w:val="007E5804"/>
    <w:rsid w:val="007E5A24"/>
    <w:rsid w:val="007E5A84"/>
    <w:rsid w:val="007E632C"/>
    <w:rsid w:val="007E6655"/>
    <w:rsid w:val="007E6CF7"/>
    <w:rsid w:val="007E7137"/>
    <w:rsid w:val="007E7737"/>
    <w:rsid w:val="007E7A3C"/>
    <w:rsid w:val="007E7F4A"/>
    <w:rsid w:val="007F004D"/>
    <w:rsid w:val="007F01D2"/>
    <w:rsid w:val="007F07A4"/>
    <w:rsid w:val="007F08CF"/>
    <w:rsid w:val="007F0A45"/>
    <w:rsid w:val="007F0C48"/>
    <w:rsid w:val="007F0E28"/>
    <w:rsid w:val="007F14BB"/>
    <w:rsid w:val="007F14E1"/>
    <w:rsid w:val="007F177D"/>
    <w:rsid w:val="007F1D25"/>
    <w:rsid w:val="007F213B"/>
    <w:rsid w:val="007F260F"/>
    <w:rsid w:val="007F26A9"/>
    <w:rsid w:val="007F2BA9"/>
    <w:rsid w:val="007F2DE0"/>
    <w:rsid w:val="007F2E08"/>
    <w:rsid w:val="007F2F33"/>
    <w:rsid w:val="007F430D"/>
    <w:rsid w:val="007F4C3A"/>
    <w:rsid w:val="007F4C57"/>
    <w:rsid w:val="007F5A8D"/>
    <w:rsid w:val="007F5C8A"/>
    <w:rsid w:val="007F5CB1"/>
    <w:rsid w:val="007F62BD"/>
    <w:rsid w:val="007F7516"/>
    <w:rsid w:val="007F7C17"/>
    <w:rsid w:val="007F7F2D"/>
    <w:rsid w:val="008000B6"/>
    <w:rsid w:val="008001FB"/>
    <w:rsid w:val="00800362"/>
    <w:rsid w:val="00800BDA"/>
    <w:rsid w:val="00800F03"/>
    <w:rsid w:val="008010C8"/>
    <w:rsid w:val="00801257"/>
    <w:rsid w:val="00801EF5"/>
    <w:rsid w:val="00802021"/>
    <w:rsid w:val="00802023"/>
    <w:rsid w:val="00802207"/>
    <w:rsid w:val="008024FA"/>
    <w:rsid w:val="0080252E"/>
    <w:rsid w:val="008027E7"/>
    <w:rsid w:val="00802893"/>
    <w:rsid w:val="008028A4"/>
    <w:rsid w:val="00802A27"/>
    <w:rsid w:val="008032B7"/>
    <w:rsid w:val="00803CED"/>
    <w:rsid w:val="00803DC8"/>
    <w:rsid w:val="008043EA"/>
    <w:rsid w:val="00804497"/>
    <w:rsid w:val="00804BFD"/>
    <w:rsid w:val="00804FF0"/>
    <w:rsid w:val="00805150"/>
    <w:rsid w:val="008051F9"/>
    <w:rsid w:val="00805983"/>
    <w:rsid w:val="008062D7"/>
    <w:rsid w:val="008064C4"/>
    <w:rsid w:val="00807189"/>
    <w:rsid w:val="00807208"/>
    <w:rsid w:val="008073B4"/>
    <w:rsid w:val="00807672"/>
    <w:rsid w:val="008078A4"/>
    <w:rsid w:val="00807BE0"/>
    <w:rsid w:val="008102CB"/>
    <w:rsid w:val="00810304"/>
    <w:rsid w:val="008103AA"/>
    <w:rsid w:val="00810466"/>
    <w:rsid w:val="00810641"/>
    <w:rsid w:val="00810808"/>
    <w:rsid w:val="00810E7A"/>
    <w:rsid w:val="008112AD"/>
    <w:rsid w:val="008114DE"/>
    <w:rsid w:val="00811738"/>
    <w:rsid w:val="00811FBD"/>
    <w:rsid w:val="00812F79"/>
    <w:rsid w:val="00813245"/>
    <w:rsid w:val="0081326A"/>
    <w:rsid w:val="00814479"/>
    <w:rsid w:val="0081476E"/>
    <w:rsid w:val="00814773"/>
    <w:rsid w:val="008148FB"/>
    <w:rsid w:val="00814E54"/>
    <w:rsid w:val="00815930"/>
    <w:rsid w:val="00815B02"/>
    <w:rsid w:val="00815DA0"/>
    <w:rsid w:val="00815F74"/>
    <w:rsid w:val="00816488"/>
    <w:rsid w:val="0081757A"/>
    <w:rsid w:val="00817C0D"/>
    <w:rsid w:val="00817E34"/>
    <w:rsid w:val="00817FA1"/>
    <w:rsid w:val="00820065"/>
    <w:rsid w:val="0082045F"/>
    <w:rsid w:val="00820690"/>
    <w:rsid w:val="00820BCD"/>
    <w:rsid w:val="008213A7"/>
    <w:rsid w:val="008214EC"/>
    <w:rsid w:val="00821FAD"/>
    <w:rsid w:val="008220A0"/>
    <w:rsid w:val="0082296E"/>
    <w:rsid w:val="0082345F"/>
    <w:rsid w:val="008235F5"/>
    <w:rsid w:val="0082476B"/>
    <w:rsid w:val="00824A90"/>
    <w:rsid w:val="00824B31"/>
    <w:rsid w:val="00824D12"/>
    <w:rsid w:val="00824E53"/>
    <w:rsid w:val="00825522"/>
    <w:rsid w:val="0082556A"/>
    <w:rsid w:val="00825999"/>
    <w:rsid w:val="00826134"/>
    <w:rsid w:val="00826171"/>
    <w:rsid w:val="00826D38"/>
    <w:rsid w:val="00827504"/>
    <w:rsid w:val="008275AA"/>
    <w:rsid w:val="0082796F"/>
    <w:rsid w:val="00827C66"/>
    <w:rsid w:val="00827D87"/>
    <w:rsid w:val="00827F1A"/>
    <w:rsid w:val="00830087"/>
    <w:rsid w:val="00830569"/>
    <w:rsid w:val="00830707"/>
    <w:rsid w:val="008318AF"/>
    <w:rsid w:val="00831C5E"/>
    <w:rsid w:val="00831E75"/>
    <w:rsid w:val="008322C0"/>
    <w:rsid w:val="008336C3"/>
    <w:rsid w:val="008340E3"/>
    <w:rsid w:val="008344F2"/>
    <w:rsid w:val="00834884"/>
    <w:rsid w:val="0083534E"/>
    <w:rsid w:val="00835C60"/>
    <w:rsid w:val="00836449"/>
    <w:rsid w:val="008367CE"/>
    <w:rsid w:val="00836D6D"/>
    <w:rsid w:val="00836F09"/>
    <w:rsid w:val="0083718C"/>
    <w:rsid w:val="00837474"/>
    <w:rsid w:val="00837CC3"/>
    <w:rsid w:val="00837EC2"/>
    <w:rsid w:val="00837EFC"/>
    <w:rsid w:val="00840006"/>
    <w:rsid w:val="00840610"/>
    <w:rsid w:val="008406AC"/>
    <w:rsid w:val="00840835"/>
    <w:rsid w:val="00840B02"/>
    <w:rsid w:val="00840DE0"/>
    <w:rsid w:val="00840EB4"/>
    <w:rsid w:val="008411F5"/>
    <w:rsid w:val="00841738"/>
    <w:rsid w:val="00841B6C"/>
    <w:rsid w:val="00842275"/>
    <w:rsid w:val="0084234D"/>
    <w:rsid w:val="00842E77"/>
    <w:rsid w:val="00842F3B"/>
    <w:rsid w:val="0084308C"/>
    <w:rsid w:val="008431EA"/>
    <w:rsid w:val="00843257"/>
    <w:rsid w:val="00843326"/>
    <w:rsid w:val="008438C5"/>
    <w:rsid w:val="00843D3C"/>
    <w:rsid w:val="00843DD8"/>
    <w:rsid w:val="00844338"/>
    <w:rsid w:val="00844AD3"/>
    <w:rsid w:val="0084516C"/>
    <w:rsid w:val="00845236"/>
    <w:rsid w:val="0084529E"/>
    <w:rsid w:val="0084553F"/>
    <w:rsid w:val="00845975"/>
    <w:rsid w:val="00845AD2"/>
    <w:rsid w:val="00846278"/>
    <w:rsid w:val="0084633A"/>
    <w:rsid w:val="0084647E"/>
    <w:rsid w:val="00846926"/>
    <w:rsid w:val="0084699F"/>
    <w:rsid w:val="00846E97"/>
    <w:rsid w:val="00846EB2"/>
    <w:rsid w:val="0084701B"/>
    <w:rsid w:val="008474F3"/>
    <w:rsid w:val="008477AC"/>
    <w:rsid w:val="008478A4"/>
    <w:rsid w:val="00847A50"/>
    <w:rsid w:val="00847CD0"/>
    <w:rsid w:val="00847F68"/>
    <w:rsid w:val="00847F87"/>
    <w:rsid w:val="00850190"/>
    <w:rsid w:val="00850518"/>
    <w:rsid w:val="00850A05"/>
    <w:rsid w:val="00851800"/>
    <w:rsid w:val="0085182E"/>
    <w:rsid w:val="0085205D"/>
    <w:rsid w:val="008534D5"/>
    <w:rsid w:val="00853572"/>
    <w:rsid w:val="00853AEB"/>
    <w:rsid w:val="00854E70"/>
    <w:rsid w:val="00854FA3"/>
    <w:rsid w:val="008556F3"/>
    <w:rsid w:val="008557B7"/>
    <w:rsid w:val="00855A43"/>
    <w:rsid w:val="00855CBF"/>
    <w:rsid w:val="00855D45"/>
    <w:rsid w:val="00855EE9"/>
    <w:rsid w:val="008562FA"/>
    <w:rsid w:val="008563BE"/>
    <w:rsid w:val="008566D6"/>
    <w:rsid w:val="00856A87"/>
    <w:rsid w:val="008570AD"/>
    <w:rsid w:val="00857283"/>
    <w:rsid w:val="00857AA8"/>
    <w:rsid w:val="0086042F"/>
    <w:rsid w:val="008605D9"/>
    <w:rsid w:val="008607A8"/>
    <w:rsid w:val="008608F2"/>
    <w:rsid w:val="008611DE"/>
    <w:rsid w:val="008617BD"/>
    <w:rsid w:val="00861947"/>
    <w:rsid w:val="00861ADF"/>
    <w:rsid w:val="00861CC1"/>
    <w:rsid w:val="00861DFA"/>
    <w:rsid w:val="00861F13"/>
    <w:rsid w:val="008620A1"/>
    <w:rsid w:val="00862158"/>
    <w:rsid w:val="0086230C"/>
    <w:rsid w:val="008628AF"/>
    <w:rsid w:val="00862D70"/>
    <w:rsid w:val="00863459"/>
    <w:rsid w:val="0086354A"/>
    <w:rsid w:val="0086399D"/>
    <w:rsid w:val="00863CF1"/>
    <w:rsid w:val="0086426C"/>
    <w:rsid w:val="00864346"/>
    <w:rsid w:val="008644DD"/>
    <w:rsid w:val="00864676"/>
    <w:rsid w:val="008649C0"/>
    <w:rsid w:val="00864A03"/>
    <w:rsid w:val="00865051"/>
    <w:rsid w:val="00865DCA"/>
    <w:rsid w:val="00866241"/>
    <w:rsid w:val="00866827"/>
    <w:rsid w:val="00866A22"/>
    <w:rsid w:val="00866B2E"/>
    <w:rsid w:val="00866DA5"/>
    <w:rsid w:val="00866EB0"/>
    <w:rsid w:val="00867587"/>
    <w:rsid w:val="0086788B"/>
    <w:rsid w:val="008679C8"/>
    <w:rsid w:val="00867A59"/>
    <w:rsid w:val="00867C2D"/>
    <w:rsid w:val="00870471"/>
    <w:rsid w:val="0087068F"/>
    <w:rsid w:val="008708F7"/>
    <w:rsid w:val="00870F9B"/>
    <w:rsid w:val="0087116A"/>
    <w:rsid w:val="00871752"/>
    <w:rsid w:val="00871FD6"/>
    <w:rsid w:val="00872211"/>
    <w:rsid w:val="0087265E"/>
    <w:rsid w:val="008727F6"/>
    <w:rsid w:val="00872EA1"/>
    <w:rsid w:val="00873272"/>
    <w:rsid w:val="00873403"/>
    <w:rsid w:val="00873DB3"/>
    <w:rsid w:val="00873E38"/>
    <w:rsid w:val="008743D3"/>
    <w:rsid w:val="00874DDE"/>
    <w:rsid w:val="00874FB0"/>
    <w:rsid w:val="00874FCB"/>
    <w:rsid w:val="008753C4"/>
    <w:rsid w:val="0087597C"/>
    <w:rsid w:val="00875CF8"/>
    <w:rsid w:val="00875D56"/>
    <w:rsid w:val="008760E2"/>
    <w:rsid w:val="0087620D"/>
    <w:rsid w:val="008765BE"/>
    <w:rsid w:val="00876792"/>
    <w:rsid w:val="008768CA"/>
    <w:rsid w:val="00876AAE"/>
    <w:rsid w:val="00876D6D"/>
    <w:rsid w:val="00877D68"/>
    <w:rsid w:val="00877EF9"/>
    <w:rsid w:val="00880559"/>
    <w:rsid w:val="00880C74"/>
    <w:rsid w:val="00880D78"/>
    <w:rsid w:val="00880E4B"/>
    <w:rsid w:val="00880EEC"/>
    <w:rsid w:val="008811F1"/>
    <w:rsid w:val="0088139A"/>
    <w:rsid w:val="008819A3"/>
    <w:rsid w:val="00881A37"/>
    <w:rsid w:val="00881E3B"/>
    <w:rsid w:val="00881F0F"/>
    <w:rsid w:val="00882E9D"/>
    <w:rsid w:val="00883280"/>
    <w:rsid w:val="00883858"/>
    <w:rsid w:val="00883DF0"/>
    <w:rsid w:val="00883EAC"/>
    <w:rsid w:val="0088447F"/>
    <w:rsid w:val="008853B9"/>
    <w:rsid w:val="008853F7"/>
    <w:rsid w:val="008856BE"/>
    <w:rsid w:val="008857E3"/>
    <w:rsid w:val="008858E8"/>
    <w:rsid w:val="00886D86"/>
    <w:rsid w:val="00886E66"/>
    <w:rsid w:val="00887E84"/>
    <w:rsid w:val="008901F4"/>
    <w:rsid w:val="00890294"/>
    <w:rsid w:val="008903B8"/>
    <w:rsid w:val="0089065E"/>
    <w:rsid w:val="00890664"/>
    <w:rsid w:val="008906AB"/>
    <w:rsid w:val="008909D9"/>
    <w:rsid w:val="00891284"/>
    <w:rsid w:val="00891B27"/>
    <w:rsid w:val="00891F20"/>
    <w:rsid w:val="00891F81"/>
    <w:rsid w:val="008925E8"/>
    <w:rsid w:val="008926D2"/>
    <w:rsid w:val="00892903"/>
    <w:rsid w:val="008929BC"/>
    <w:rsid w:val="00892ACD"/>
    <w:rsid w:val="00892E01"/>
    <w:rsid w:val="00892E37"/>
    <w:rsid w:val="00893156"/>
    <w:rsid w:val="0089346A"/>
    <w:rsid w:val="00893A6D"/>
    <w:rsid w:val="00893B66"/>
    <w:rsid w:val="00893F0C"/>
    <w:rsid w:val="008942D0"/>
    <w:rsid w:val="00894377"/>
    <w:rsid w:val="008944C1"/>
    <w:rsid w:val="008946BA"/>
    <w:rsid w:val="00894891"/>
    <w:rsid w:val="00894998"/>
    <w:rsid w:val="008949A2"/>
    <w:rsid w:val="00894BBA"/>
    <w:rsid w:val="00894D0D"/>
    <w:rsid w:val="0089521E"/>
    <w:rsid w:val="0089525E"/>
    <w:rsid w:val="00895662"/>
    <w:rsid w:val="0089588B"/>
    <w:rsid w:val="00895CFC"/>
    <w:rsid w:val="00895D15"/>
    <w:rsid w:val="00895D28"/>
    <w:rsid w:val="00897008"/>
    <w:rsid w:val="0089726A"/>
    <w:rsid w:val="008974A3"/>
    <w:rsid w:val="00897965"/>
    <w:rsid w:val="00897AA8"/>
    <w:rsid w:val="00897CA0"/>
    <w:rsid w:val="008A06A6"/>
    <w:rsid w:val="008A07FB"/>
    <w:rsid w:val="008A0A59"/>
    <w:rsid w:val="008A1286"/>
    <w:rsid w:val="008A167D"/>
    <w:rsid w:val="008A2166"/>
    <w:rsid w:val="008A2297"/>
    <w:rsid w:val="008A25EF"/>
    <w:rsid w:val="008A2781"/>
    <w:rsid w:val="008A2A25"/>
    <w:rsid w:val="008A2A77"/>
    <w:rsid w:val="008A2B32"/>
    <w:rsid w:val="008A2DBF"/>
    <w:rsid w:val="008A2FC1"/>
    <w:rsid w:val="008A3254"/>
    <w:rsid w:val="008A3AFB"/>
    <w:rsid w:val="008A3CB9"/>
    <w:rsid w:val="008A3CE5"/>
    <w:rsid w:val="008A3DB1"/>
    <w:rsid w:val="008A423E"/>
    <w:rsid w:val="008A4383"/>
    <w:rsid w:val="008A46BD"/>
    <w:rsid w:val="008A4974"/>
    <w:rsid w:val="008A5348"/>
    <w:rsid w:val="008A56AB"/>
    <w:rsid w:val="008A56AD"/>
    <w:rsid w:val="008A5944"/>
    <w:rsid w:val="008A5A77"/>
    <w:rsid w:val="008A5EB9"/>
    <w:rsid w:val="008A6151"/>
    <w:rsid w:val="008A67FB"/>
    <w:rsid w:val="008A6907"/>
    <w:rsid w:val="008A692D"/>
    <w:rsid w:val="008A72C1"/>
    <w:rsid w:val="008A798B"/>
    <w:rsid w:val="008A7AEB"/>
    <w:rsid w:val="008B003B"/>
    <w:rsid w:val="008B0174"/>
    <w:rsid w:val="008B0267"/>
    <w:rsid w:val="008B058D"/>
    <w:rsid w:val="008B07A0"/>
    <w:rsid w:val="008B0901"/>
    <w:rsid w:val="008B0941"/>
    <w:rsid w:val="008B0A36"/>
    <w:rsid w:val="008B0B16"/>
    <w:rsid w:val="008B12CA"/>
    <w:rsid w:val="008B1727"/>
    <w:rsid w:val="008B179A"/>
    <w:rsid w:val="008B2020"/>
    <w:rsid w:val="008B220B"/>
    <w:rsid w:val="008B22BB"/>
    <w:rsid w:val="008B2B17"/>
    <w:rsid w:val="008B2ED1"/>
    <w:rsid w:val="008B2FC8"/>
    <w:rsid w:val="008B3B0C"/>
    <w:rsid w:val="008B4267"/>
    <w:rsid w:val="008B431C"/>
    <w:rsid w:val="008B485B"/>
    <w:rsid w:val="008B4864"/>
    <w:rsid w:val="008B4A7A"/>
    <w:rsid w:val="008B4FDC"/>
    <w:rsid w:val="008B5306"/>
    <w:rsid w:val="008B54E8"/>
    <w:rsid w:val="008B59A0"/>
    <w:rsid w:val="008B5B7C"/>
    <w:rsid w:val="008B5B82"/>
    <w:rsid w:val="008B5B89"/>
    <w:rsid w:val="008B5F57"/>
    <w:rsid w:val="008B6481"/>
    <w:rsid w:val="008B6768"/>
    <w:rsid w:val="008B67F4"/>
    <w:rsid w:val="008B6AE1"/>
    <w:rsid w:val="008B6D2E"/>
    <w:rsid w:val="008B6DB0"/>
    <w:rsid w:val="008B7015"/>
    <w:rsid w:val="008B71E1"/>
    <w:rsid w:val="008B749D"/>
    <w:rsid w:val="008B74F3"/>
    <w:rsid w:val="008B76A2"/>
    <w:rsid w:val="008B7895"/>
    <w:rsid w:val="008B7B69"/>
    <w:rsid w:val="008B7ECB"/>
    <w:rsid w:val="008B7EE2"/>
    <w:rsid w:val="008B7F95"/>
    <w:rsid w:val="008C0423"/>
    <w:rsid w:val="008C0739"/>
    <w:rsid w:val="008C1470"/>
    <w:rsid w:val="008C175F"/>
    <w:rsid w:val="008C1DB5"/>
    <w:rsid w:val="008C1F30"/>
    <w:rsid w:val="008C2045"/>
    <w:rsid w:val="008C2760"/>
    <w:rsid w:val="008C2C88"/>
    <w:rsid w:val="008C2E1D"/>
    <w:rsid w:val="008C2E2A"/>
    <w:rsid w:val="008C2FB9"/>
    <w:rsid w:val="008C3057"/>
    <w:rsid w:val="008C328C"/>
    <w:rsid w:val="008C32C0"/>
    <w:rsid w:val="008C33F9"/>
    <w:rsid w:val="008C3B5F"/>
    <w:rsid w:val="008C3C33"/>
    <w:rsid w:val="008C425E"/>
    <w:rsid w:val="008C454E"/>
    <w:rsid w:val="008C47B6"/>
    <w:rsid w:val="008C4A1B"/>
    <w:rsid w:val="008C4C02"/>
    <w:rsid w:val="008C511B"/>
    <w:rsid w:val="008C534D"/>
    <w:rsid w:val="008C550F"/>
    <w:rsid w:val="008C5705"/>
    <w:rsid w:val="008C5CC4"/>
    <w:rsid w:val="008C600A"/>
    <w:rsid w:val="008C6936"/>
    <w:rsid w:val="008C6AEF"/>
    <w:rsid w:val="008C6E96"/>
    <w:rsid w:val="008C707B"/>
    <w:rsid w:val="008C72DA"/>
    <w:rsid w:val="008C7406"/>
    <w:rsid w:val="008C76A9"/>
    <w:rsid w:val="008C781E"/>
    <w:rsid w:val="008C7A9C"/>
    <w:rsid w:val="008C7C0D"/>
    <w:rsid w:val="008C7C70"/>
    <w:rsid w:val="008D0218"/>
    <w:rsid w:val="008D05CB"/>
    <w:rsid w:val="008D065B"/>
    <w:rsid w:val="008D0827"/>
    <w:rsid w:val="008D095D"/>
    <w:rsid w:val="008D0B19"/>
    <w:rsid w:val="008D0E98"/>
    <w:rsid w:val="008D165A"/>
    <w:rsid w:val="008D1FD8"/>
    <w:rsid w:val="008D22E9"/>
    <w:rsid w:val="008D2734"/>
    <w:rsid w:val="008D2B8E"/>
    <w:rsid w:val="008D2E4D"/>
    <w:rsid w:val="008D2FB4"/>
    <w:rsid w:val="008D35EE"/>
    <w:rsid w:val="008D3947"/>
    <w:rsid w:val="008D3B86"/>
    <w:rsid w:val="008D4338"/>
    <w:rsid w:val="008D437E"/>
    <w:rsid w:val="008D464A"/>
    <w:rsid w:val="008D4742"/>
    <w:rsid w:val="008D4927"/>
    <w:rsid w:val="008D5010"/>
    <w:rsid w:val="008D5B4D"/>
    <w:rsid w:val="008D5B89"/>
    <w:rsid w:val="008D5C15"/>
    <w:rsid w:val="008D67E8"/>
    <w:rsid w:val="008D67FA"/>
    <w:rsid w:val="008D6A0F"/>
    <w:rsid w:val="008D6BA2"/>
    <w:rsid w:val="008D6E7D"/>
    <w:rsid w:val="008D74E6"/>
    <w:rsid w:val="008D7871"/>
    <w:rsid w:val="008D78C2"/>
    <w:rsid w:val="008D7ACE"/>
    <w:rsid w:val="008D7EE2"/>
    <w:rsid w:val="008E076D"/>
    <w:rsid w:val="008E0A02"/>
    <w:rsid w:val="008E0DBF"/>
    <w:rsid w:val="008E1D8B"/>
    <w:rsid w:val="008E1DBB"/>
    <w:rsid w:val="008E1F15"/>
    <w:rsid w:val="008E2673"/>
    <w:rsid w:val="008E27FC"/>
    <w:rsid w:val="008E2842"/>
    <w:rsid w:val="008E2A78"/>
    <w:rsid w:val="008E2E39"/>
    <w:rsid w:val="008E32C0"/>
    <w:rsid w:val="008E3AEF"/>
    <w:rsid w:val="008E3CAC"/>
    <w:rsid w:val="008E4462"/>
    <w:rsid w:val="008E4753"/>
    <w:rsid w:val="008E4827"/>
    <w:rsid w:val="008E4BE0"/>
    <w:rsid w:val="008E5477"/>
    <w:rsid w:val="008E5882"/>
    <w:rsid w:val="008E68C8"/>
    <w:rsid w:val="008E6B0E"/>
    <w:rsid w:val="008E6B13"/>
    <w:rsid w:val="008E6F75"/>
    <w:rsid w:val="008E7091"/>
    <w:rsid w:val="008E71FB"/>
    <w:rsid w:val="008E77F3"/>
    <w:rsid w:val="008E7C47"/>
    <w:rsid w:val="008F01E2"/>
    <w:rsid w:val="008F02FB"/>
    <w:rsid w:val="008F05EE"/>
    <w:rsid w:val="008F0735"/>
    <w:rsid w:val="008F07F8"/>
    <w:rsid w:val="008F0821"/>
    <w:rsid w:val="008F0CED"/>
    <w:rsid w:val="008F0F36"/>
    <w:rsid w:val="008F1415"/>
    <w:rsid w:val="008F1694"/>
    <w:rsid w:val="008F17B2"/>
    <w:rsid w:val="008F1A56"/>
    <w:rsid w:val="008F1A58"/>
    <w:rsid w:val="008F1C62"/>
    <w:rsid w:val="008F1C76"/>
    <w:rsid w:val="008F1CA0"/>
    <w:rsid w:val="008F1E69"/>
    <w:rsid w:val="008F1E96"/>
    <w:rsid w:val="008F2292"/>
    <w:rsid w:val="008F268A"/>
    <w:rsid w:val="008F2A3C"/>
    <w:rsid w:val="008F2C56"/>
    <w:rsid w:val="008F396F"/>
    <w:rsid w:val="008F3B72"/>
    <w:rsid w:val="008F3DCD"/>
    <w:rsid w:val="008F3ED9"/>
    <w:rsid w:val="008F4ABD"/>
    <w:rsid w:val="008F4BF0"/>
    <w:rsid w:val="008F4C3A"/>
    <w:rsid w:val="008F5793"/>
    <w:rsid w:val="008F5DDB"/>
    <w:rsid w:val="008F6808"/>
    <w:rsid w:val="008F69A0"/>
    <w:rsid w:val="008F6CEF"/>
    <w:rsid w:val="008F76D7"/>
    <w:rsid w:val="008F7A97"/>
    <w:rsid w:val="0090010A"/>
    <w:rsid w:val="0090027F"/>
    <w:rsid w:val="009003DB"/>
    <w:rsid w:val="009004D6"/>
    <w:rsid w:val="00900639"/>
    <w:rsid w:val="009009B4"/>
    <w:rsid w:val="00900A2A"/>
    <w:rsid w:val="00900B97"/>
    <w:rsid w:val="0090125B"/>
    <w:rsid w:val="0090203E"/>
    <w:rsid w:val="0090271F"/>
    <w:rsid w:val="00902999"/>
    <w:rsid w:val="00902DB9"/>
    <w:rsid w:val="00903008"/>
    <w:rsid w:val="00903A00"/>
    <w:rsid w:val="00903F5A"/>
    <w:rsid w:val="009045CE"/>
    <w:rsid w:val="0090466A"/>
    <w:rsid w:val="00904954"/>
    <w:rsid w:val="00904A20"/>
    <w:rsid w:val="00904B2A"/>
    <w:rsid w:val="009055B5"/>
    <w:rsid w:val="009058BA"/>
    <w:rsid w:val="00905E5A"/>
    <w:rsid w:val="00906255"/>
    <w:rsid w:val="00906489"/>
    <w:rsid w:val="00906674"/>
    <w:rsid w:val="00906ACB"/>
    <w:rsid w:val="00906CC6"/>
    <w:rsid w:val="00906E8F"/>
    <w:rsid w:val="00906E95"/>
    <w:rsid w:val="00906FF9"/>
    <w:rsid w:val="00907248"/>
    <w:rsid w:val="00907A4D"/>
    <w:rsid w:val="00910BD6"/>
    <w:rsid w:val="00910D2E"/>
    <w:rsid w:val="009114FA"/>
    <w:rsid w:val="00912103"/>
    <w:rsid w:val="0091245D"/>
    <w:rsid w:val="00912888"/>
    <w:rsid w:val="0091293B"/>
    <w:rsid w:val="00913633"/>
    <w:rsid w:val="00913BF8"/>
    <w:rsid w:val="00913C01"/>
    <w:rsid w:val="0091426B"/>
    <w:rsid w:val="009146F4"/>
    <w:rsid w:val="00914A3B"/>
    <w:rsid w:val="00914AA6"/>
    <w:rsid w:val="00914AD5"/>
    <w:rsid w:val="00914AFE"/>
    <w:rsid w:val="00914B12"/>
    <w:rsid w:val="00914DC5"/>
    <w:rsid w:val="00914EB4"/>
    <w:rsid w:val="00914F7B"/>
    <w:rsid w:val="00915719"/>
    <w:rsid w:val="00915DEB"/>
    <w:rsid w:val="009161CE"/>
    <w:rsid w:val="009162F3"/>
    <w:rsid w:val="009166A4"/>
    <w:rsid w:val="009166D1"/>
    <w:rsid w:val="00916A21"/>
    <w:rsid w:val="00917702"/>
    <w:rsid w:val="00917BB5"/>
    <w:rsid w:val="00920707"/>
    <w:rsid w:val="00920780"/>
    <w:rsid w:val="009208B8"/>
    <w:rsid w:val="00920A09"/>
    <w:rsid w:val="00921671"/>
    <w:rsid w:val="0092195C"/>
    <w:rsid w:val="00921A63"/>
    <w:rsid w:val="00921C64"/>
    <w:rsid w:val="00921CE8"/>
    <w:rsid w:val="00922E20"/>
    <w:rsid w:val="00923655"/>
    <w:rsid w:val="00923D5A"/>
    <w:rsid w:val="00923DBD"/>
    <w:rsid w:val="00923E41"/>
    <w:rsid w:val="00923E6C"/>
    <w:rsid w:val="00924320"/>
    <w:rsid w:val="00924596"/>
    <w:rsid w:val="009248C6"/>
    <w:rsid w:val="00924903"/>
    <w:rsid w:val="0092499B"/>
    <w:rsid w:val="00924B81"/>
    <w:rsid w:val="00925216"/>
    <w:rsid w:val="0092554D"/>
    <w:rsid w:val="009257EF"/>
    <w:rsid w:val="0092638F"/>
    <w:rsid w:val="00926390"/>
    <w:rsid w:val="00926AF1"/>
    <w:rsid w:val="00926C3D"/>
    <w:rsid w:val="00926E39"/>
    <w:rsid w:val="0092710D"/>
    <w:rsid w:val="0092772A"/>
    <w:rsid w:val="0092781C"/>
    <w:rsid w:val="00927841"/>
    <w:rsid w:val="0092793E"/>
    <w:rsid w:val="009301CB"/>
    <w:rsid w:val="00930C12"/>
    <w:rsid w:val="00930D89"/>
    <w:rsid w:val="00930DC8"/>
    <w:rsid w:val="00930F20"/>
    <w:rsid w:val="009312C7"/>
    <w:rsid w:val="009315AB"/>
    <w:rsid w:val="009316AC"/>
    <w:rsid w:val="00931727"/>
    <w:rsid w:val="00931863"/>
    <w:rsid w:val="00931C7C"/>
    <w:rsid w:val="0093238E"/>
    <w:rsid w:val="00932620"/>
    <w:rsid w:val="00932BDE"/>
    <w:rsid w:val="009335F2"/>
    <w:rsid w:val="009339CB"/>
    <w:rsid w:val="00933B90"/>
    <w:rsid w:val="00933BA9"/>
    <w:rsid w:val="00933BCB"/>
    <w:rsid w:val="00933C44"/>
    <w:rsid w:val="00933D42"/>
    <w:rsid w:val="00933E8C"/>
    <w:rsid w:val="00934076"/>
    <w:rsid w:val="009348A2"/>
    <w:rsid w:val="00934DBF"/>
    <w:rsid w:val="00934F78"/>
    <w:rsid w:val="00935230"/>
    <w:rsid w:val="00935447"/>
    <w:rsid w:val="00935530"/>
    <w:rsid w:val="009357A8"/>
    <w:rsid w:val="009358A5"/>
    <w:rsid w:val="00935B09"/>
    <w:rsid w:val="00935C0F"/>
    <w:rsid w:val="00935F80"/>
    <w:rsid w:val="00936071"/>
    <w:rsid w:val="00936406"/>
    <w:rsid w:val="00936BF9"/>
    <w:rsid w:val="00936C3D"/>
    <w:rsid w:val="00936CC6"/>
    <w:rsid w:val="00937263"/>
    <w:rsid w:val="009376CD"/>
    <w:rsid w:val="0094006C"/>
    <w:rsid w:val="009401EB"/>
    <w:rsid w:val="00940212"/>
    <w:rsid w:val="009404D4"/>
    <w:rsid w:val="0094095E"/>
    <w:rsid w:val="0094129B"/>
    <w:rsid w:val="009418A9"/>
    <w:rsid w:val="009418ED"/>
    <w:rsid w:val="0094193D"/>
    <w:rsid w:val="00941E48"/>
    <w:rsid w:val="00942EC1"/>
    <w:rsid w:val="00942EC2"/>
    <w:rsid w:val="009436A5"/>
    <w:rsid w:val="009437E3"/>
    <w:rsid w:val="00943A1C"/>
    <w:rsid w:val="00943B82"/>
    <w:rsid w:val="00943BDD"/>
    <w:rsid w:val="00943DFD"/>
    <w:rsid w:val="0094448F"/>
    <w:rsid w:val="009445FA"/>
    <w:rsid w:val="00944C49"/>
    <w:rsid w:val="00944FD1"/>
    <w:rsid w:val="0094520E"/>
    <w:rsid w:val="009457D0"/>
    <w:rsid w:val="009465E6"/>
    <w:rsid w:val="00946642"/>
    <w:rsid w:val="00946714"/>
    <w:rsid w:val="00946834"/>
    <w:rsid w:val="00946D09"/>
    <w:rsid w:val="0094736C"/>
    <w:rsid w:val="009478E4"/>
    <w:rsid w:val="00947AD3"/>
    <w:rsid w:val="00950015"/>
    <w:rsid w:val="009501BC"/>
    <w:rsid w:val="00950212"/>
    <w:rsid w:val="009506DB"/>
    <w:rsid w:val="00950956"/>
    <w:rsid w:val="00951271"/>
    <w:rsid w:val="00951470"/>
    <w:rsid w:val="0095172D"/>
    <w:rsid w:val="00951A02"/>
    <w:rsid w:val="00951FDE"/>
    <w:rsid w:val="009522AB"/>
    <w:rsid w:val="00952C95"/>
    <w:rsid w:val="00952E30"/>
    <w:rsid w:val="00952F51"/>
    <w:rsid w:val="009533C2"/>
    <w:rsid w:val="00953619"/>
    <w:rsid w:val="00953ACC"/>
    <w:rsid w:val="00953AFD"/>
    <w:rsid w:val="00953CE4"/>
    <w:rsid w:val="00953F01"/>
    <w:rsid w:val="00954CB1"/>
    <w:rsid w:val="0095511B"/>
    <w:rsid w:val="009551AD"/>
    <w:rsid w:val="00956314"/>
    <w:rsid w:val="00956402"/>
    <w:rsid w:val="00956A32"/>
    <w:rsid w:val="00956A9B"/>
    <w:rsid w:val="00956B2D"/>
    <w:rsid w:val="00956D48"/>
    <w:rsid w:val="0095714B"/>
    <w:rsid w:val="0095740A"/>
    <w:rsid w:val="00957716"/>
    <w:rsid w:val="00957805"/>
    <w:rsid w:val="00957C4E"/>
    <w:rsid w:val="0096021A"/>
    <w:rsid w:val="00960376"/>
    <w:rsid w:val="0096090C"/>
    <w:rsid w:val="00960945"/>
    <w:rsid w:val="00960AF6"/>
    <w:rsid w:val="009619CC"/>
    <w:rsid w:val="00961B32"/>
    <w:rsid w:val="00961E39"/>
    <w:rsid w:val="0096216D"/>
    <w:rsid w:val="00962257"/>
    <w:rsid w:val="00962509"/>
    <w:rsid w:val="00962A03"/>
    <w:rsid w:val="00962B95"/>
    <w:rsid w:val="0096328F"/>
    <w:rsid w:val="009634C1"/>
    <w:rsid w:val="00963998"/>
    <w:rsid w:val="00964215"/>
    <w:rsid w:val="0096454D"/>
    <w:rsid w:val="00964699"/>
    <w:rsid w:val="0096484F"/>
    <w:rsid w:val="00964E09"/>
    <w:rsid w:val="0096504E"/>
    <w:rsid w:val="00965489"/>
    <w:rsid w:val="00965A71"/>
    <w:rsid w:val="00965CEF"/>
    <w:rsid w:val="00965D99"/>
    <w:rsid w:val="0096654F"/>
    <w:rsid w:val="0096655D"/>
    <w:rsid w:val="00966667"/>
    <w:rsid w:val="00966CDF"/>
    <w:rsid w:val="00966E32"/>
    <w:rsid w:val="00966E6D"/>
    <w:rsid w:val="00966E72"/>
    <w:rsid w:val="00966EEC"/>
    <w:rsid w:val="0096734D"/>
    <w:rsid w:val="00967D84"/>
    <w:rsid w:val="00970278"/>
    <w:rsid w:val="00970BE0"/>
    <w:rsid w:val="00970DB3"/>
    <w:rsid w:val="00970E8F"/>
    <w:rsid w:val="00970F06"/>
    <w:rsid w:val="0097114C"/>
    <w:rsid w:val="009712A8"/>
    <w:rsid w:val="00971627"/>
    <w:rsid w:val="0097207B"/>
    <w:rsid w:val="00973190"/>
    <w:rsid w:val="00973355"/>
    <w:rsid w:val="009742BF"/>
    <w:rsid w:val="0097490F"/>
    <w:rsid w:val="00974BB0"/>
    <w:rsid w:val="0097537B"/>
    <w:rsid w:val="009753CE"/>
    <w:rsid w:val="00975BCD"/>
    <w:rsid w:val="0097603A"/>
    <w:rsid w:val="00976335"/>
    <w:rsid w:val="009768AA"/>
    <w:rsid w:val="00976AF6"/>
    <w:rsid w:val="00976C96"/>
    <w:rsid w:val="00977794"/>
    <w:rsid w:val="009800C3"/>
    <w:rsid w:val="009804DE"/>
    <w:rsid w:val="0098067C"/>
    <w:rsid w:val="00980B95"/>
    <w:rsid w:val="00980BF4"/>
    <w:rsid w:val="00980C3E"/>
    <w:rsid w:val="00980C72"/>
    <w:rsid w:val="00980DFA"/>
    <w:rsid w:val="00980E69"/>
    <w:rsid w:val="009818A2"/>
    <w:rsid w:val="00981D50"/>
    <w:rsid w:val="0098270A"/>
    <w:rsid w:val="00982B79"/>
    <w:rsid w:val="00982DDF"/>
    <w:rsid w:val="00982E1F"/>
    <w:rsid w:val="009830D7"/>
    <w:rsid w:val="0098314B"/>
    <w:rsid w:val="009833BA"/>
    <w:rsid w:val="00983BB6"/>
    <w:rsid w:val="009840A5"/>
    <w:rsid w:val="0098445A"/>
    <w:rsid w:val="00984E57"/>
    <w:rsid w:val="00985152"/>
    <w:rsid w:val="00985620"/>
    <w:rsid w:val="00985837"/>
    <w:rsid w:val="00985EEA"/>
    <w:rsid w:val="00985FAF"/>
    <w:rsid w:val="009860EB"/>
    <w:rsid w:val="009861A5"/>
    <w:rsid w:val="0098645F"/>
    <w:rsid w:val="0098667A"/>
    <w:rsid w:val="00986B15"/>
    <w:rsid w:val="00986BCC"/>
    <w:rsid w:val="00986CFE"/>
    <w:rsid w:val="0098714B"/>
    <w:rsid w:val="009871C3"/>
    <w:rsid w:val="0098725C"/>
    <w:rsid w:val="009872CD"/>
    <w:rsid w:val="009879D9"/>
    <w:rsid w:val="009879E2"/>
    <w:rsid w:val="0099002F"/>
    <w:rsid w:val="009902BC"/>
    <w:rsid w:val="00990C61"/>
    <w:rsid w:val="00991020"/>
    <w:rsid w:val="00991070"/>
    <w:rsid w:val="00991D36"/>
    <w:rsid w:val="00991F02"/>
    <w:rsid w:val="00991FD6"/>
    <w:rsid w:val="00992307"/>
    <w:rsid w:val="009926FE"/>
    <w:rsid w:val="009928A9"/>
    <w:rsid w:val="00992C2E"/>
    <w:rsid w:val="00993066"/>
    <w:rsid w:val="0099362F"/>
    <w:rsid w:val="00993890"/>
    <w:rsid w:val="00993AF3"/>
    <w:rsid w:val="00993B42"/>
    <w:rsid w:val="00994100"/>
    <w:rsid w:val="00994772"/>
    <w:rsid w:val="00994828"/>
    <w:rsid w:val="0099509B"/>
    <w:rsid w:val="009951BB"/>
    <w:rsid w:val="00995259"/>
    <w:rsid w:val="00995420"/>
    <w:rsid w:val="00995707"/>
    <w:rsid w:val="009958BA"/>
    <w:rsid w:val="00995BB7"/>
    <w:rsid w:val="00995BD5"/>
    <w:rsid w:val="00996631"/>
    <w:rsid w:val="009966FE"/>
    <w:rsid w:val="009969C6"/>
    <w:rsid w:val="00996E32"/>
    <w:rsid w:val="00997144"/>
    <w:rsid w:val="00997720"/>
    <w:rsid w:val="009A02D6"/>
    <w:rsid w:val="009A0327"/>
    <w:rsid w:val="009A05A4"/>
    <w:rsid w:val="009A072F"/>
    <w:rsid w:val="009A0A44"/>
    <w:rsid w:val="009A0AF3"/>
    <w:rsid w:val="009A0E1D"/>
    <w:rsid w:val="009A0ED4"/>
    <w:rsid w:val="009A105E"/>
    <w:rsid w:val="009A154C"/>
    <w:rsid w:val="009A1B6F"/>
    <w:rsid w:val="009A22C5"/>
    <w:rsid w:val="009A2539"/>
    <w:rsid w:val="009A2848"/>
    <w:rsid w:val="009A289D"/>
    <w:rsid w:val="009A2DB4"/>
    <w:rsid w:val="009A2F26"/>
    <w:rsid w:val="009A30E7"/>
    <w:rsid w:val="009A3AE7"/>
    <w:rsid w:val="009A3B0A"/>
    <w:rsid w:val="009A3D3D"/>
    <w:rsid w:val="009A4B9D"/>
    <w:rsid w:val="009A524B"/>
    <w:rsid w:val="009A58AC"/>
    <w:rsid w:val="009A5AF9"/>
    <w:rsid w:val="009A5C0D"/>
    <w:rsid w:val="009A5F95"/>
    <w:rsid w:val="009A611E"/>
    <w:rsid w:val="009A63FE"/>
    <w:rsid w:val="009A694C"/>
    <w:rsid w:val="009A70A2"/>
    <w:rsid w:val="009A76E1"/>
    <w:rsid w:val="009B006D"/>
    <w:rsid w:val="009B02BE"/>
    <w:rsid w:val="009B03DA"/>
    <w:rsid w:val="009B0489"/>
    <w:rsid w:val="009B07CD"/>
    <w:rsid w:val="009B090D"/>
    <w:rsid w:val="009B0CC0"/>
    <w:rsid w:val="009B0CEC"/>
    <w:rsid w:val="009B0E36"/>
    <w:rsid w:val="009B10AA"/>
    <w:rsid w:val="009B10CC"/>
    <w:rsid w:val="009B15D2"/>
    <w:rsid w:val="009B1631"/>
    <w:rsid w:val="009B178B"/>
    <w:rsid w:val="009B1994"/>
    <w:rsid w:val="009B1B33"/>
    <w:rsid w:val="009B1C06"/>
    <w:rsid w:val="009B2B74"/>
    <w:rsid w:val="009B2EB6"/>
    <w:rsid w:val="009B3089"/>
    <w:rsid w:val="009B3DF1"/>
    <w:rsid w:val="009B3E60"/>
    <w:rsid w:val="009B50FB"/>
    <w:rsid w:val="009B5334"/>
    <w:rsid w:val="009B6222"/>
    <w:rsid w:val="009B6509"/>
    <w:rsid w:val="009B657E"/>
    <w:rsid w:val="009B65D7"/>
    <w:rsid w:val="009B6779"/>
    <w:rsid w:val="009B7056"/>
    <w:rsid w:val="009B7895"/>
    <w:rsid w:val="009B79C1"/>
    <w:rsid w:val="009B7D42"/>
    <w:rsid w:val="009B7EF4"/>
    <w:rsid w:val="009C0671"/>
    <w:rsid w:val="009C06CF"/>
    <w:rsid w:val="009C0C97"/>
    <w:rsid w:val="009C1390"/>
    <w:rsid w:val="009C14BB"/>
    <w:rsid w:val="009C19E9"/>
    <w:rsid w:val="009C1B52"/>
    <w:rsid w:val="009C1DFD"/>
    <w:rsid w:val="009C1ED8"/>
    <w:rsid w:val="009C258A"/>
    <w:rsid w:val="009C27BE"/>
    <w:rsid w:val="009C2B67"/>
    <w:rsid w:val="009C2CCE"/>
    <w:rsid w:val="009C318D"/>
    <w:rsid w:val="009C34DC"/>
    <w:rsid w:val="009C4718"/>
    <w:rsid w:val="009C471A"/>
    <w:rsid w:val="009C498D"/>
    <w:rsid w:val="009C4A12"/>
    <w:rsid w:val="009C519C"/>
    <w:rsid w:val="009C5494"/>
    <w:rsid w:val="009C63D2"/>
    <w:rsid w:val="009C6641"/>
    <w:rsid w:val="009C6797"/>
    <w:rsid w:val="009C68FA"/>
    <w:rsid w:val="009C6F33"/>
    <w:rsid w:val="009C7129"/>
    <w:rsid w:val="009C715B"/>
    <w:rsid w:val="009C7191"/>
    <w:rsid w:val="009C7267"/>
    <w:rsid w:val="009C72D6"/>
    <w:rsid w:val="009C763C"/>
    <w:rsid w:val="009C7787"/>
    <w:rsid w:val="009D012C"/>
    <w:rsid w:val="009D01E0"/>
    <w:rsid w:val="009D03C9"/>
    <w:rsid w:val="009D0564"/>
    <w:rsid w:val="009D07B8"/>
    <w:rsid w:val="009D09B8"/>
    <w:rsid w:val="009D0EA4"/>
    <w:rsid w:val="009D0EDF"/>
    <w:rsid w:val="009D0FCB"/>
    <w:rsid w:val="009D11BB"/>
    <w:rsid w:val="009D1947"/>
    <w:rsid w:val="009D2197"/>
    <w:rsid w:val="009D238B"/>
    <w:rsid w:val="009D2DC1"/>
    <w:rsid w:val="009D3341"/>
    <w:rsid w:val="009D3790"/>
    <w:rsid w:val="009D3B54"/>
    <w:rsid w:val="009D3B60"/>
    <w:rsid w:val="009D3B9C"/>
    <w:rsid w:val="009D3E1C"/>
    <w:rsid w:val="009D412B"/>
    <w:rsid w:val="009D417D"/>
    <w:rsid w:val="009D490C"/>
    <w:rsid w:val="009D4E52"/>
    <w:rsid w:val="009D4E66"/>
    <w:rsid w:val="009D507C"/>
    <w:rsid w:val="009D55FB"/>
    <w:rsid w:val="009D5CA7"/>
    <w:rsid w:val="009D5D7C"/>
    <w:rsid w:val="009D5EF0"/>
    <w:rsid w:val="009D5FE0"/>
    <w:rsid w:val="009D63F3"/>
    <w:rsid w:val="009D64D7"/>
    <w:rsid w:val="009D6A53"/>
    <w:rsid w:val="009D72B0"/>
    <w:rsid w:val="009D74A6"/>
    <w:rsid w:val="009D7612"/>
    <w:rsid w:val="009E0334"/>
    <w:rsid w:val="009E0966"/>
    <w:rsid w:val="009E0D73"/>
    <w:rsid w:val="009E0E87"/>
    <w:rsid w:val="009E13C2"/>
    <w:rsid w:val="009E1579"/>
    <w:rsid w:val="009E18BF"/>
    <w:rsid w:val="009E1B15"/>
    <w:rsid w:val="009E1D0C"/>
    <w:rsid w:val="009E1E6C"/>
    <w:rsid w:val="009E20BC"/>
    <w:rsid w:val="009E2359"/>
    <w:rsid w:val="009E2613"/>
    <w:rsid w:val="009E273E"/>
    <w:rsid w:val="009E2A1F"/>
    <w:rsid w:val="009E2AA1"/>
    <w:rsid w:val="009E2B5D"/>
    <w:rsid w:val="009E30AA"/>
    <w:rsid w:val="009E321A"/>
    <w:rsid w:val="009E3429"/>
    <w:rsid w:val="009E3790"/>
    <w:rsid w:val="009E37F2"/>
    <w:rsid w:val="009E4233"/>
    <w:rsid w:val="009E4410"/>
    <w:rsid w:val="009E5B4C"/>
    <w:rsid w:val="009E5E06"/>
    <w:rsid w:val="009E5FBC"/>
    <w:rsid w:val="009E60C3"/>
    <w:rsid w:val="009E6317"/>
    <w:rsid w:val="009E64FA"/>
    <w:rsid w:val="009E6951"/>
    <w:rsid w:val="009E7AD8"/>
    <w:rsid w:val="009F004D"/>
    <w:rsid w:val="009F0553"/>
    <w:rsid w:val="009F070E"/>
    <w:rsid w:val="009F082A"/>
    <w:rsid w:val="009F11E6"/>
    <w:rsid w:val="009F122B"/>
    <w:rsid w:val="009F20E2"/>
    <w:rsid w:val="009F23B9"/>
    <w:rsid w:val="009F2713"/>
    <w:rsid w:val="009F271F"/>
    <w:rsid w:val="009F2DB5"/>
    <w:rsid w:val="009F3555"/>
    <w:rsid w:val="009F3607"/>
    <w:rsid w:val="009F37DC"/>
    <w:rsid w:val="009F3858"/>
    <w:rsid w:val="009F38DD"/>
    <w:rsid w:val="009F3ABA"/>
    <w:rsid w:val="009F3E8F"/>
    <w:rsid w:val="009F46A2"/>
    <w:rsid w:val="009F4ACE"/>
    <w:rsid w:val="009F4B0F"/>
    <w:rsid w:val="009F5488"/>
    <w:rsid w:val="009F5A38"/>
    <w:rsid w:val="009F5FAE"/>
    <w:rsid w:val="009F679E"/>
    <w:rsid w:val="009F77EE"/>
    <w:rsid w:val="009F7953"/>
    <w:rsid w:val="009F7988"/>
    <w:rsid w:val="009F7BCE"/>
    <w:rsid w:val="009F7D76"/>
    <w:rsid w:val="009F7DC1"/>
    <w:rsid w:val="00A00490"/>
    <w:rsid w:val="00A00C39"/>
    <w:rsid w:val="00A00C65"/>
    <w:rsid w:val="00A00D27"/>
    <w:rsid w:val="00A00D6E"/>
    <w:rsid w:val="00A00F0F"/>
    <w:rsid w:val="00A01887"/>
    <w:rsid w:val="00A01966"/>
    <w:rsid w:val="00A01EA1"/>
    <w:rsid w:val="00A023C4"/>
    <w:rsid w:val="00A026B6"/>
    <w:rsid w:val="00A02B3B"/>
    <w:rsid w:val="00A02E58"/>
    <w:rsid w:val="00A033E1"/>
    <w:rsid w:val="00A035A2"/>
    <w:rsid w:val="00A03D76"/>
    <w:rsid w:val="00A040F3"/>
    <w:rsid w:val="00A042A8"/>
    <w:rsid w:val="00A04377"/>
    <w:rsid w:val="00A04B3F"/>
    <w:rsid w:val="00A0523F"/>
    <w:rsid w:val="00A0526F"/>
    <w:rsid w:val="00A05634"/>
    <w:rsid w:val="00A058E2"/>
    <w:rsid w:val="00A060C9"/>
    <w:rsid w:val="00A06758"/>
    <w:rsid w:val="00A06D7C"/>
    <w:rsid w:val="00A07273"/>
    <w:rsid w:val="00A0743C"/>
    <w:rsid w:val="00A074D2"/>
    <w:rsid w:val="00A0755A"/>
    <w:rsid w:val="00A0758D"/>
    <w:rsid w:val="00A07A0E"/>
    <w:rsid w:val="00A07AE6"/>
    <w:rsid w:val="00A07D45"/>
    <w:rsid w:val="00A07FC4"/>
    <w:rsid w:val="00A10272"/>
    <w:rsid w:val="00A1029E"/>
    <w:rsid w:val="00A103E4"/>
    <w:rsid w:val="00A10530"/>
    <w:rsid w:val="00A10534"/>
    <w:rsid w:val="00A109D5"/>
    <w:rsid w:val="00A10F01"/>
    <w:rsid w:val="00A10F02"/>
    <w:rsid w:val="00A11026"/>
    <w:rsid w:val="00A11168"/>
    <w:rsid w:val="00A113A6"/>
    <w:rsid w:val="00A1241E"/>
    <w:rsid w:val="00A12805"/>
    <w:rsid w:val="00A12823"/>
    <w:rsid w:val="00A12846"/>
    <w:rsid w:val="00A12F43"/>
    <w:rsid w:val="00A12F8A"/>
    <w:rsid w:val="00A1320C"/>
    <w:rsid w:val="00A132FB"/>
    <w:rsid w:val="00A13518"/>
    <w:rsid w:val="00A13982"/>
    <w:rsid w:val="00A14393"/>
    <w:rsid w:val="00A144F9"/>
    <w:rsid w:val="00A14543"/>
    <w:rsid w:val="00A14D16"/>
    <w:rsid w:val="00A14DBF"/>
    <w:rsid w:val="00A151F6"/>
    <w:rsid w:val="00A155F7"/>
    <w:rsid w:val="00A1564A"/>
    <w:rsid w:val="00A157F7"/>
    <w:rsid w:val="00A15814"/>
    <w:rsid w:val="00A16170"/>
    <w:rsid w:val="00A1691C"/>
    <w:rsid w:val="00A16E8A"/>
    <w:rsid w:val="00A17176"/>
    <w:rsid w:val="00A17713"/>
    <w:rsid w:val="00A179D8"/>
    <w:rsid w:val="00A20222"/>
    <w:rsid w:val="00A204CA"/>
    <w:rsid w:val="00A205BC"/>
    <w:rsid w:val="00A20726"/>
    <w:rsid w:val="00A207FB"/>
    <w:rsid w:val="00A209D6"/>
    <w:rsid w:val="00A20A51"/>
    <w:rsid w:val="00A20D80"/>
    <w:rsid w:val="00A20FA0"/>
    <w:rsid w:val="00A21AA0"/>
    <w:rsid w:val="00A21BC3"/>
    <w:rsid w:val="00A21E09"/>
    <w:rsid w:val="00A22407"/>
    <w:rsid w:val="00A22738"/>
    <w:rsid w:val="00A22771"/>
    <w:rsid w:val="00A23483"/>
    <w:rsid w:val="00A243BC"/>
    <w:rsid w:val="00A24A63"/>
    <w:rsid w:val="00A24C29"/>
    <w:rsid w:val="00A25BF8"/>
    <w:rsid w:val="00A26666"/>
    <w:rsid w:val="00A26989"/>
    <w:rsid w:val="00A26A87"/>
    <w:rsid w:val="00A26CEA"/>
    <w:rsid w:val="00A26D32"/>
    <w:rsid w:val="00A273FD"/>
    <w:rsid w:val="00A2779C"/>
    <w:rsid w:val="00A27BF8"/>
    <w:rsid w:val="00A27EB3"/>
    <w:rsid w:val="00A30355"/>
    <w:rsid w:val="00A30626"/>
    <w:rsid w:val="00A3089F"/>
    <w:rsid w:val="00A30AF8"/>
    <w:rsid w:val="00A30E22"/>
    <w:rsid w:val="00A31117"/>
    <w:rsid w:val="00A312BE"/>
    <w:rsid w:val="00A31430"/>
    <w:rsid w:val="00A320DA"/>
    <w:rsid w:val="00A32571"/>
    <w:rsid w:val="00A32BC7"/>
    <w:rsid w:val="00A32F49"/>
    <w:rsid w:val="00A337CD"/>
    <w:rsid w:val="00A34727"/>
    <w:rsid w:val="00A35384"/>
    <w:rsid w:val="00A3585E"/>
    <w:rsid w:val="00A35865"/>
    <w:rsid w:val="00A35B76"/>
    <w:rsid w:val="00A35D19"/>
    <w:rsid w:val="00A361DC"/>
    <w:rsid w:val="00A362D6"/>
    <w:rsid w:val="00A36358"/>
    <w:rsid w:val="00A36441"/>
    <w:rsid w:val="00A3668B"/>
    <w:rsid w:val="00A3688F"/>
    <w:rsid w:val="00A36978"/>
    <w:rsid w:val="00A36C7E"/>
    <w:rsid w:val="00A36C93"/>
    <w:rsid w:val="00A36DAB"/>
    <w:rsid w:val="00A36F5F"/>
    <w:rsid w:val="00A37330"/>
    <w:rsid w:val="00A37442"/>
    <w:rsid w:val="00A379EC"/>
    <w:rsid w:val="00A37DCC"/>
    <w:rsid w:val="00A4093E"/>
    <w:rsid w:val="00A40970"/>
    <w:rsid w:val="00A409CD"/>
    <w:rsid w:val="00A40A63"/>
    <w:rsid w:val="00A40F59"/>
    <w:rsid w:val="00A41123"/>
    <w:rsid w:val="00A412EE"/>
    <w:rsid w:val="00A415CE"/>
    <w:rsid w:val="00A41708"/>
    <w:rsid w:val="00A4217E"/>
    <w:rsid w:val="00A427C5"/>
    <w:rsid w:val="00A42E63"/>
    <w:rsid w:val="00A42FFE"/>
    <w:rsid w:val="00A430EC"/>
    <w:rsid w:val="00A439E1"/>
    <w:rsid w:val="00A4401E"/>
    <w:rsid w:val="00A44077"/>
    <w:rsid w:val="00A441F9"/>
    <w:rsid w:val="00A442C4"/>
    <w:rsid w:val="00A44484"/>
    <w:rsid w:val="00A447FC"/>
    <w:rsid w:val="00A44B10"/>
    <w:rsid w:val="00A44D17"/>
    <w:rsid w:val="00A45A2F"/>
    <w:rsid w:val="00A45BEF"/>
    <w:rsid w:val="00A45E07"/>
    <w:rsid w:val="00A462CD"/>
    <w:rsid w:val="00A46482"/>
    <w:rsid w:val="00A46512"/>
    <w:rsid w:val="00A465C1"/>
    <w:rsid w:val="00A4674B"/>
    <w:rsid w:val="00A46A60"/>
    <w:rsid w:val="00A46C73"/>
    <w:rsid w:val="00A46F32"/>
    <w:rsid w:val="00A4719F"/>
    <w:rsid w:val="00A4789E"/>
    <w:rsid w:val="00A47A3B"/>
    <w:rsid w:val="00A47C96"/>
    <w:rsid w:val="00A5031D"/>
    <w:rsid w:val="00A5060E"/>
    <w:rsid w:val="00A50C91"/>
    <w:rsid w:val="00A50D96"/>
    <w:rsid w:val="00A50E19"/>
    <w:rsid w:val="00A50F64"/>
    <w:rsid w:val="00A50FBE"/>
    <w:rsid w:val="00A51C1F"/>
    <w:rsid w:val="00A51FA5"/>
    <w:rsid w:val="00A52190"/>
    <w:rsid w:val="00A52779"/>
    <w:rsid w:val="00A52B23"/>
    <w:rsid w:val="00A52C65"/>
    <w:rsid w:val="00A5309E"/>
    <w:rsid w:val="00A53152"/>
    <w:rsid w:val="00A5341D"/>
    <w:rsid w:val="00A535E5"/>
    <w:rsid w:val="00A53687"/>
    <w:rsid w:val="00A53724"/>
    <w:rsid w:val="00A53AB4"/>
    <w:rsid w:val="00A53AD4"/>
    <w:rsid w:val="00A53EFC"/>
    <w:rsid w:val="00A54098"/>
    <w:rsid w:val="00A54499"/>
    <w:rsid w:val="00A544EE"/>
    <w:rsid w:val="00A54B2B"/>
    <w:rsid w:val="00A55D40"/>
    <w:rsid w:val="00A55FB5"/>
    <w:rsid w:val="00A562CF"/>
    <w:rsid w:val="00A564FB"/>
    <w:rsid w:val="00A56A2E"/>
    <w:rsid w:val="00A56CD3"/>
    <w:rsid w:val="00A573A6"/>
    <w:rsid w:val="00A5761F"/>
    <w:rsid w:val="00A57A82"/>
    <w:rsid w:val="00A60284"/>
    <w:rsid w:val="00A602CD"/>
    <w:rsid w:val="00A6036B"/>
    <w:rsid w:val="00A60378"/>
    <w:rsid w:val="00A60488"/>
    <w:rsid w:val="00A6051D"/>
    <w:rsid w:val="00A60D9F"/>
    <w:rsid w:val="00A61250"/>
    <w:rsid w:val="00A617FA"/>
    <w:rsid w:val="00A619E6"/>
    <w:rsid w:val="00A62814"/>
    <w:rsid w:val="00A62975"/>
    <w:rsid w:val="00A634EF"/>
    <w:rsid w:val="00A6356D"/>
    <w:rsid w:val="00A639D1"/>
    <w:rsid w:val="00A63D5D"/>
    <w:rsid w:val="00A63F06"/>
    <w:rsid w:val="00A63F6C"/>
    <w:rsid w:val="00A64C6B"/>
    <w:rsid w:val="00A64F3E"/>
    <w:rsid w:val="00A64F88"/>
    <w:rsid w:val="00A6501D"/>
    <w:rsid w:val="00A65212"/>
    <w:rsid w:val="00A654EF"/>
    <w:rsid w:val="00A65574"/>
    <w:rsid w:val="00A657D8"/>
    <w:rsid w:val="00A65FDB"/>
    <w:rsid w:val="00A6618E"/>
    <w:rsid w:val="00A663B3"/>
    <w:rsid w:val="00A665B2"/>
    <w:rsid w:val="00A665D2"/>
    <w:rsid w:val="00A66ECA"/>
    <w:rsid w:val="00A670D6"/>
    <w:rsid w:val="00A6724C"/>
    <w:rsid w:val="00A674A7"/>
    <w:rsid w:val="00A67513"/>
    <w:rsid w:val="00A6752C"/>
    <w:rsid w:val="00A703B6"/>
    <w:rsid w:val="00A703D1"/>
    <w:rsid w:val="00A704C4"/>
    <w:rsid w:val="00A708B1"/>
    <w:rsid w:val="00A7093D"/>
    <w:rsid w:val="00A70C27"/>
    <w:rsid w:val="00A7108F"/>
    <w:rsid w:val="00A719E7"/>
    <w:rsid w:val="00A71B0B"/>
    <w:rsid w:val="00A7215E"/>
    <w:rsid w:val="00A724E6"/>
    <w:rsid w:val="00A72591"/>
    <w:rsid w:val="00A72F5F"/>
    <w:rsid w:val="00A734BC"/>
    <w:rsid w:val="00A738AA"/>
    <w:rsid w:val="00A748AF"/>
    <w:rsid w:val="00A74AC6"/>
    <w:rsid w:val="00A74DF8"/>
    <w:rsid w:val="00A755A0"/>
    <w:rsid w:val="00A75B71"/>
    <w:rsid w:val="00A75C06"/>
    <w:rsid w:val="00A762ED"/>
    <w:rsid w:val="00A76367"/>
    <w:rsid w:val="00A76775"/>
    <w:rsid w:val="00A76C43"/>
    <w:rsid w:val="00A76D93"/>
    <w:rsid w:val="00A779C8"/>
    <w:rsid w:val="00A80324"/>
    <w:rsid w:val="00A806E3"/>
    <w:rsid w:val="00A809A6"/>
    <w:rsid w:val="00A80C6C"/>
    <w:rsid w:val="00A80E07"/>
    <w:rsid w:val="00A811BE"/>
    <w:rsid w:val="00A8141F"/>
    <w:rsid w:val="00A814C5"/>
    <w:rsid w:val="00A8223C"/>
    <w:rsid w:val="00A822B9"/>
    <w:rsid w:val="00A822F5"/>
    <w:rsid w:val="00A82346"/>
    <w:rsid w:val="00A8242F"/>
    <w:rsid w:val="00A824FC"/>
    <w:rsid w:val="00A82742"/>
    <w:rsid w:val="00A83043"/>
    <w:rsid w:val="00A831F2"/>
    <w:rsid w:val="00A831F5"/>
    <w:rsid w:val="00A83AFC"/>
    <w:rsid w:val="00A83C51"/>
    <w:rsid w:val="00A83CBB"/>
    <w:rsid w:val="00A8463D"/>
    <w:rsid w:val="00A8472E"/>
    <w:rsid w:val="00A848A4"/>
    <w:rsid w:val="00A84D3B"/>
    <w:rsid w:val="00A84DEF"/>
    <w:rsid w:val="00A85095"/>
    <w:rsid w:val="00A8594C"/>
    <w:rsid w:val="00A86204"/>
    <w:rsid w:val="00A86409"/>
    <w:rsid w:val="00A86CB0"/>
    <w:rsid w:val="00A86D77"/>
    <w:rsid w:val="00A86FBB"/>
    <w:rsid w:val="00A8727E"/>
    <w:rsid w:val="00A87339"/>
    <w:rsid w:val="00A876B2"/>
    <w:rsid w:val="00A87A3E"/>
    <w:rsid w:val="00A87ABF"/>
    <w:rsid w:val="00A87D1C"/>
    <w:rsid w:val="00A900B4"/>
    <w:rsid w:val="00A9083F"/>
    <w:rsid w:val="00A913CA"/>
    <w:rsid w:val="00A913CC"/>
    <w:rsid w:val="00A91418"/>
    <w:rsid w:val="00A91BCA"/>
    <w:rsid w:val="00A91DA8"/>
    <w:rsid w:val="00A920B6"/>
    <w:rsid w:val="00A92632"/>
    <w:rsid w:val="00A92961"/>
    <w:rsid w:val="00A92DD5"/>
    <w:rsid w:val="00A92F88"/>
    <w:rsid w:val="00A93059"/>
    <w:rsid w:val="00A9376B"/>
    <w:rsid w:val="00A93C39"/>
    <w:rsid w:val="00A94243"/>
    <w:rsid w:val="00A943CE"/>
    <w:rsid w:val="00A94859"/>
    <w:rsid w:val="00A95165"/>
    <w:rsid w:val="00A95E23"/>
    <w:rsid w:val="00A95ED4"/>
    <w:rsid w:val="00A95FC8"/>
    <w:rsid w:val="00A965BE"/>
    <w:rsid w:val="00A9671C"/>
    <w:rsid w:val="00A96C26"/>
    <w:rsid w:val="00A96E2A"/>
    <w:rsid w:val="00A972C5"/>
    <w:rsid w:val="00A976B9"/>
    <w:rsid w:val="00A97742"/>
    <w:rsid w:val="00A97DE0"/>
    <w:rsid w:val="00A97FEC"/>
    <w:rsid w:val="00AA069E"/>
    <w:rsid w:val="00AA0A97"/>
    <w:rsid w:val="00AA0CB4"/>
    <w:rsid w:val="00AA0F5F"/>
    <w:rsid w:val="00AA10CA"/>
    <w:rsid w:val="00AA12C3"/>
    <w:rsid w:val="00AA1553"/>
    <w:rsid w:val="00AA1B3D"/>
    <w:rsid w:val="00AA284F"/>
    <w:rsid w:val="00AA2D3C"/>
    <w:rsid w:val="00AA2D65"/>
    <w:rsid w:val="00AA2F63"/>
    <w:rsid w:val="00AA3239"/>
    <w:rsid w:val="00AA32B4"/>
    <w:rsid w:val="00AA3338"/>
    <w:rsid w:val="00AA33E2"/>
    <w:rsid w:val="00AA3591"/>
    <w:rsid w:val="00AA4C5D"/>
    <w:rsid w:val="00AA4D95"/>
    <w:rsid w:val="00AA5261"/>
    <w:rsid w:val="00AA55AF"/>
    <w:rsid w:val="00AA59B4"/>
    <w:rsid w:val="00AA5B27"/>
    <w:rsid w:val="00AA5C0A"/>
    <w:rsid w:val="00AA5DDC"/>
    <w:rsid w:val="00AA60F0"/>
    <w:rsid w:val="00AA6799"/>
    <w:rsid w:val="00AA6DF7"/>
    <w:rsid w:val="00AA76C3"/>
    <w:rsid w:val="00AA7807"/>
    <w:rsid w:val="00AA79AB"/>
    <w:rsid w:val="00AA7A82"/>
    <w:rsid w:val="00AB0025"/>
    <w:rsid w:val="00AB0263"/>
    <w:rsid w:val="00AB0A37"/>
    <w:rsid w:val="00AB0B68"/>
    <w:rsid w:val="00AB1E4F"/>
    <w:rsid w:val="00AB237A"/>
    <w:rsid w:val="00AB2547"/>
    <w:rsid w:val="00AB2A03"/>
    <w:rsid w:val="00AB2C95"/>
    <w:rsid w:val="00AB2FE3"/>
    <w:rsid w:val="00AB339D"/>
    <w:rsid w:val="00AB372F"/>
    <w:rsid w:val="00AB38F1"/>
    <w:rsid w:val="00AB3963"/>
    <w:rsid w:val="00AB4A55"/>
    <w:rsid w:val="00AB4A6E"/>
    <w:rsid w:val="00AB4B1B"/>
    <w:rsid w:val="00AB4B5A"/>
    <w:rsid w:val="00AB4E04"/>
    <w:rsid w:val="00AB51C6"/>
    <w:rsid w:val="00AB5338"/>
    <w:rsid w:val="00AB59EF"/>
    <w:rsid w:val="00AB5D8E"/>
    <w:rsid w:val="00AB60D0"/>
    <w:rsid w:val="00AB67D7"/>
    <w:rsid w:val="00AB6B7E"/>
    <w:rsid w:val="00AB6CC6"/>
    <w:rsid w:val="00AB6F97"/>
    <w:rsid w:val="00AB7335"/>
    <w:rsid w:val="00AB77BF"/>
    <w:rsid w:val="00AB7EEF"/>
    <w:rsid w:val="00AC03AF"/>
    <w:rsid w:val="00AC066F"/>
    <w:rsid w:val="00AC0859"/>
    <w:rsid w:val="00AC0C90"/>
    <w:rsid w:val="00AC0CD7"/>
    <w:rsid w:val="00AC10F3"/>
    <w:rsid w:val="00AC122F"/>
    <w:rsid w:val="00AC1431"/>
    <w:rsid w:val="00AC1720"/>
    <w:rsid w:val="00AC1B8A"/>
    <w:rsid w:val="00AC2398"/>
    <w:rsid w:val="00AC3731"/>
    <w:rsid w:val="00AC382C"/>
    <w:rsid w:val="00AC3C4C"/>
    <w:rsid w:val="00AC3C7B"/>
    <w:rsid w:val="00AC3DB1"/>
    <w:rsid w:val="00AC3F0E"/>
    <w:rsid w:val="00AC43C0"/>
    <w:rsid w:val="00AC4788"/>
    <w:rsid w:val="00AC5497"/>
    <w:rsid w:val="00AC56F2"/>
    <w:rsid w:val="00AC5FB0"/>
    <w:rsid w:val="00AC6170"/>
    <w:rsid w:val="00AC623B"/>
    <w:rsid w:val="00AC6808"/>
    <w:rsid w:val="00AC6A1A"/>
    <w:rsid w:val="00AC6CB6"/>
    <w:rsid w:val="00AC72D2"/>
    <w:rsid w:val="00AC7313"/>
    <w:rsid w:val="00AC7529"/>
    <w:rsid w:val="00AC78ED"/>
    <w:rsid w:val="00AC7D5F"/>
    <w:rsid w:val="00AD019B"/>
    <w:rsid w:val="00AD0465"/>
    <w:rsid w:val="00AD061D"/>
    <w:rsid w:val="00AD06C5"/>
    <w:rsid w:val="00AD080E"/>
    <w:rsid w:val="00AD0A9C"/>
    <w:rsid w:val="00AD11BE"/>
    <w:rsid w:val="00AD1571"/>
    <w:rsid w:val="00AD1584"/>
    <w:rsid w:val="00AD15CC"/>
    <w:rsid w:val="00AD1BC8"/>
    <w:rsid w:val="00AD1E33"/>
    <w:rsid w:val="00AD1F92"/>
    <w:rsid w:val="00AD21AF"/>
    <w:rsid w:val="00AD273D"/>
    <w:rsid w:val="00AD2A2E"/>
    <w:rsid w:val="00AD36D4"/>
    <w:rsid w:val="00AD374A"/>
    <w:rsid w:val="00AD397A"/>
    <w:rsid w:val="00AD3CDB"/>
    <w:rsid w:val="00AD3CE4"/>
    <w:rsid w:val="00AD48E8"/>
    <w:rsid w:val="00AD4E1E"/>
    <w:rsid w:val="00AD5D2F"/>
    <w:rsid w:val="00AD5F5C"/>
    <w:rsid w:val="00AD6294"/>
    <w:rsid w:val="00AD643A"/>
    <w:rsid w:val="00AD73E6"/>
    <w:rsid w:val="00AD7E7C"/>
    <w:rsid w:val="00AE075A"/>
    <w:rsid w:val="00AE07FC"/>
    <w:rsid w:val="00AE0E78"/>
    <w:rsid w:val="00AE13F1"/>
    <w:rsid w:val="00AE18E4"/>
    <w:rsid w:val="00AE18ED"/>
    <w:rsid w:val="00AE1DA1"/>
    <w:rsid w:val="00AE25CB"/>
    <w:rsid w:val="00AE30A4"/>
    <w:rsid w:val="00AE36A4"/>
    <w:rsid w:val="00AE41CB"/>
    <w:rsid w:val="00AE4706"/>
    <w:rsid w:val="00AE4808"/>
    <w:rsid w:val="00AE4AEB"/>
    <w:rsid w:val="00AE4CE0"/>
    <w:rsid w:val="00AE4F27"/>
    <w:rsid w:val="00AE564C"/>
    <w:rsid w:val="00AE592D"/>
    <w:rsid w:val="00AE642C"/>
    <w:rsid w:val="00AE6486"/>
    <w:rsid w:val="00AE72BA"/>
    <w:rsid w:val="00AE73B8"/>
    <w:rsid w:val="00AE7D2B"/>
    <w:rsid w:val="00AE7D4A"/>
    <w:rsid w:val="00AF06F8"/>
    <w:rsid w:val="00AF088E"/>
    <w:rsid w:val="00AF1098"/>
    <w:rsid w:val="00AF1330"/>
    <w:rsid w:val="00AF1362"/>
    <w:rsid w:val="00AF1A66"/>
    <w:rsid w:val="00AF28D5"/>
    <w:rsid w:val="00AF29A3"/>
    <w:rsid w:val="00AF2A25"/>
    <w:rsid w:val="00AF2D23"/>
    <w:rsid w:val="00AF2F96"/>
    <w:rsid w:val="00AF4084"/>
    <w:rsid w:val="00AF414E"/>
    <w:rsid w:val="00AF41AC"/>
    <w:rsid w:val="00AF466B"/>
    <w:rsid w:val="00AF4718"/>
    <w:rsid w:val="00AF4DDB"/>
    <w:rsid w:val="00AF5474"/>
    <w:rsid w:val="00AF5553"/>
    <w:rsid w:val="00AF5739"/>
    <w:rsid w:val="00AF574D"/>
    <w:rsid w:val="00AF6006"/>
    <w:rsid w:val="00AF6075"/>
    <w:rsid w:val="00AF64E0"/>
    <w:rsid w:val="00AF684B"/>
    <w:rsid w:val="00AF6A61"/>
    <w:rsid w:val="00AF7523"/>
    <w:rsid w:val="00AF767C"/>
    <w:rsid w:val="00AF7CD0"/>
    <w:rsid w:val="00B003A2"/>
    <w:rsid w:val="00B01304"/>
    <w:rsid w:val="00B01942"/>
    <w:rsid w:val="00B01BC4"/>
    <w:rsid w:val="00B01F43"/>
    <w:rsid w:val="00B021C6"/>
    <w:rsid w:val="00B0228A"/>
    <w:rsid w:val="00B0239F"/>
    <w:rsid w:val="00B02680"/>
    <w:rsid w:val="00B02783"/>
    <w:rsid w:val="00B02F82"/>
    <w:rsid w:val="00B03498"/>
    <w:rsid w:val="00B03747"/>
    <w:rsid w:val="00B03C18"/>
    <w:rsid w:val="00B045A4"/>
    <w:rsid w:val="00B0470E"/>
    <w:rsid w:val="00B04AA7"/>
    <w:rsid w:val="00B04D39"/>
    <w:rsid w:val="00B05380"/>
    <w:rsid w:val="00B05399"/>
    <w:rsid w:val="00B05962"/>
    <w:rsid w:val="00B05CF6"/>
    <w:rsid w:val="00B05D29"/>
    <w:rsid w:val="00B05F12"/>
    <w:rsid w:val="00B0643A"/>
    <w:rsid w:val="00B06541"/>
    <w:rsid w:val="00B06A66"/>
    <w:rsid w:val="00B06C95"/>
    <w:rsid w:val="00B06CCA"/>
    <w:rsid w:val="00B0720C"/>
    <w:rsid w:val="00B077F9"/>
    <w:rsid w:val="00B07856"/>
    <w:rsid w:val="00B07FFD"/>
    <w:rsid w:val="00B101D1"/>
    <w:rsid w:val="00B11182"/>
    <w:rsid w:val="00B11402"/>
    <w:rsid w:val="00B11665"/>
    <w:rsid w:val="00B1283B"/>
    <w:rsid w:val="00B12896"/>
    <w:rsid w:val="00B129DC"/>
    <w:rsid w:val="00B12EF6"/>
    <w:rsid w:val="00B12FE2"/>
    <w:rsid w:val="00B1347F"/>
    <w:rsid w:val="00B142C6"/>
    <w:rsid w:val="00B147E2"/>
    <w:rsid w:val="00B14980"/>
    <w:rsid w:val="00B149E2"/>
    <w:rsid w:val="00B14DCA"/>
    <w:rsid w:val="00B14F50"/>
    <w:rsid w:val="00B153C4"/>
    <w:rsid w:val="00B15449"/>
    <w:rsid w:val="00B156C7"/>
    <w:rsid w:val="00B1609A"/>
    <w:rsid w:val="00B16282"/>
    <w:rsid w:val="00B16C2F"/>
    <w:rsid w:val="00B16CE5"/>
    <w:rsid w:val="00B172CD"/>
    <w:rsid w:val="00B17AB9"/>
    <w:rsid w:val="00B17F4F"/>
    <w:rsid w:val="00B200DC"/>
    <w:rsid w:val="00B205BF"/>
    <w:rsid w:val="00B20663"/>
    <w:rsid w:val="00B2073E"/>
    <w:rsid w:val="00B20B5D"/>
    <w:rsid w:val="00B20BAF"/>
    <w:rsid w:val="00B20E15"/>
    <w:rsid w:val="00B210B2"/>
    <w:rsid w:val="00B212E2"/>
    <w:rsid w:val="00B21562"/>
    <w:rsid w:val="00B21735"/>
    <w:rsid w:val="00B2182C"/>
    <w:rsid w:val="00B21B54"/>
    <w:rsid w:val="00B2227E"/>
    <w:rsid w:val="00B223FF"/>
    <w:rsid w:val="00B227B5"/>
    <w:rsid w:val="00B22955"/>
    <w:rsid w:val="00B22963"/>
    <w:rsid w:val="00B23B25"/>
    <w:rsid w:val="00B23B39"/>
    <w:rsid w:val="00B2420A"/>
    <w:rsid w:val="00B25978"/>
    <w:rsid w:val="00B2674F"/>
    <w:rsid w:val="00B2684F"/>
    <w:rsid w:val="00B26E2C"/>
    <w:rsid w:val="00B27303"/>
    <w:rsid w:val="00B2733C"/>
    <w:rsid w:val="00B27424"/>
    <w:rsid w:val="00B275C3"/>
    <w:rsid w:val="00B300DE"/>
    <w:rsid w:val="00B30247"/>
    <w:rsid w:val="00B30F73"/>
    <w:rsid w:val="00B31EEB"/>
    <w:rsid w:val="00B32268"/>
    <w:rsid w:val="00B32517"/>
    <w:rsid w:val="00B329E0"/>
    <w:rsid w:val="00B32B1E"/>
    <w:rsid w:val="00B32BE8"/>
    <w:rsid w:val="00B331B8"/>
    <w:rsid w:val="00B331CF"/>
    <w:rsid w:val="00B33279"/>
    <w:rsid w:val="00B334DD"/>
    <w:rsid w:val="00B335AE"/>
    <w:rsid w:val="00B34472"/>
    <w:rsid w:val="00B34844"/>
    <w:rsid w:val="00B34A3F"/>
    <w:rsid w:val="00B34B2D"/>
    <w:rsid w:val="00B34C60"/>
    <w:rsid w:val="00B3581A"/>
    <w:rsid w:val="00B35BAD"/>
    <w:rsid w:val="00B35D68"/>
    <w:rsid w:val="00B35F53"/>
    <w:rsid w:val="00B36A1C"/>
    <w:rsid w:val="00B36B04"/>
    <w:rsid w:val="00B36BBD"/>
    <w:rsid w:val="00B37304"/>
    <w:rsid w:val="00B37C77"/>
    <w:rsid w:val="00B40265"/>
    <w:rsid w:val="00B40551"/>
    <w:rsid w:val="00B40EC4"/>
    <w:rsid w:val="00B4167C"/>
    <w:rsid w:val="00B41A54"/>
    <w:rsid w:val="00B42409"/>
    <w:rsid w:val="00B427A9"/>
    <w:rsid w:val="00B427DD"/>
    <w:rsid w:val="00B42CE5"/>
    <w:rsid w:val="00B42DA7"/>
    <w:rsid w:val="00B42E60"/>
    <w:rsid w:val="00B42E76"/>
    <w:rsid w:val="00B43384"/>
    <w:rsid w:val="00B43529"/>
    <w:rsid w:val="00B43B6C"/>
    <w:rsid w:val="00B43BFC"/>
    <w:rsid w:val="00B44183"/>
    <w:rsid w:val="00B44C6A"/>
    <w:rsid w:val="00B4529E"/>
    <w:rsid w:val="00B452E7"/>
    <w:rsid w:val="00B454D5"/>
    <w:rsid w:val="00B45BA8"/>
    <w:rsid w:val="00B463B0"/>
    <w:rsid w:val="00B46451"/>
    <w:rsid w:val="00B47134"/>
    <w:rsid w:val="00B47376"/>
    <w:rsid w:val="00B474B1"/>
    <w:rsid w:val="00B47665"/>
    <w:rsid w:val="00B47700"/>
    <w:rsid w:val="00B47971"/>
    <w:rsid w:val="00B47FD1"/>
    <w:rsid w:val="00B50DE5"/>
    <w:rsid w:val="00B50F2C"/>
    <w:rsid w:val="00B516BB"/>
    <w:rsid w:val="00B51ABA"/>
    <w:rsid w:val="00B51B09"/>
    <w:rsid w:val="00B51C3B"/>
    <w:rsid w:val="00B51D9C"/>
    <w:rsid w:val="00B5269D"/>
    <w:rsid w:val="00B529C2"/>
    <w:rsid w:val="00B52B0A"/>
    <w:rsid w:val="00B536BC"/>
    <w:rsid w:val="00B53AA7"/>
    <w:rsid w:val="00B53C75"/>
    <w:rsid w:val="00B54070"/>
    <w:rsid w:val="00B54311"/>
    <w:rsid w:val="00B54463"/>
    <w:rsid w:val="00B546CD"/>
    <w:rsid w:val="00B54D87"/>
    <w:rsid w:val="00B54DF2"/>
    <w:rsid w:val="00B554E4"/>
    <w:rsid w:val="00B5554C"/>
    <w:rsid w:val="00B557D0"/>
    <w:rsid w:val="00B55943"/>
    <w:rsid w:val="00B5605F"/>
    <w:rsid w:val="00B56231"/>
    <w:rsid w:val="00B56A22"/>
    <w:rsid w:val="00B56FE4"/>
    <w:rsid w:val="00B57473"/>
    <w:rsid w:val="00B5751D"/>
    <w:rsid w:val="00B576A6"/>
    <w:rsid w:val="00B57D61"/>
    <w:rsid w:val="00B57F12"/>
    <w:rsid w:val="00B602E0"/>
    <w:rsid w:val="00B603D2"/>
    <w:rsid w:val="00B60672"/>
    <w:rsid w:val="00B60FF1"/>
    <w:rsid w:val="00B616BB"/>
    <w:rsid w:val="00B6174D"/>
    <w:rsid w:val="00B617FD"/>
    <w:rsid w:val="00B62A9E"/>
    <w:rsid w:val="00B62B7D"/>
    <w:rsid w:val="00B62F24"/>
    <w:rsid w:val="00B633F3"/>
    <w:rsid w:val="00B6399C"/>
    <w:rsid w:val="00B63AA2"/>
    <w:rsid w:val="00B63C6F"/>
    <w:rsid w:val="00B63D31"/>
    <w:rsid w:val="00B642BD"/>
    <w:rsid w:val="00B64D81"/>
    <w:rsid w:val="00B650E0"/>
    <w:rsid w:val="00B65815"/>
    <w:rsid w:val="00B65973"/>
    <w:rsid w:val="00B65BEF"/>
    <w:rsid w:val="00B65F7A"/>
    <w:rsid w:val="00B65FC6"/>
    <w:rsid w:val="00B6648B"/>
    <w:rsid w:val="00B669E9"/>
    <w:rsid w:val="00B6712B"/>
    <w:rsid w:val="00B671E9"/>
    <w:rsid w:val="00B673B8"/>
    <w:rsid w:val="00B6767E"/>
    <w:rsid w:val="00B67DBC"/>
    <w:rsid w:val="00B7007E"/>
    <w:rsid w:val="00B70345"/>
    <w:rsid w:val="00B70E0C"/>
    <w:rsid w:val="00B71444"/>
    <w:rsid w:val="00B7162E"/>
    <w:rsid w:val="00B716A2"/>
    <w:rsid w:val="00B71719"/>
    <w:rsid w:val="00B71825"/>
    <w:rsid w:val="00B71A98"/>
    <w:rsid w:val="00B720FC"/>
    <w:rsid w:val="00B72195"/>
    <w:rsid w:val="00B722E6"/>
    <w:rsid w:val="00B7241C"/>
    <w:rsid w:val="00B72636"/>
    <w:rsid w:val="00B7273A"/>
    <w:rsid w:val="00B72B33"/>
    <w:rsid w:val="00B72C3A"/>
    <w:rsid w:val="00B72D18"/>
    <w:rsid w:val="00B7366D"/>
    <w:rsid w:val="00B73A4C"/>
    <w:rsid w:val="00B744FD"/>
    <w:rsid w:val="00B74527"/>
    <w:rsid w:val="00B745B3"/>
    <w:rsid w:val="00B7538C"/>
    <w:rsid w:val="00B759C6"/>
    <w:rsid w:val="00B766D8"/>
    <w:rsid w:val="00B766FA"/>
    <w:rsid w:val="00B76753"/>
    <w:rsid w:val="00B76BAF"/>
    <w:rsid w:val="00B76D00"/>
    <w:rsid w:val="00B76D77"/>
    <w:rsid w:val="00B76EEA"/>
    <w:rsid w:val="00B7759B"/>
    <w:rsid w:val="00B808E0"/>
    <w:rsid w:val="00B809DE"/>
    <w:rsid w:val="00B80C7C"/>
    <w:rsid w:val="00B80D47"/>
    <w:rsid w:val="00B814F4"/>
    <w:rsid w:val="00B815DB"/>
    <w:rsid w:val="00B81C10"/>
    <w:rsid w:val="00B81EE4"/>
    <w:rsid w:val="00B820CC"/>
    <w:rsid w:val="00B82DED"/>
    <w:rsid w:val="00B82E5E"/>
    <w:rsid w:val="00B83CC8"/>
    <w:rsid w:val="00B8409E"/>
    <w:rsid w:val="00B845C0"/>
    <w:rsid w:val="00B84843"/>
    <w:rsid w:val="00B84CC2"/>
    <w:rsid w:val="00B84DB2"/>
    <w:rsid w:val="00B84DF3"/>
    <w:rsid w:val="00B84EC1"/>
    <w:rsid w:val="00B850B7"/>
    <w:rsid w:val="00B85CEB"/>
    <w:rsid w:val="00B85FB1"/>
    <w:rsid w:val="00B86AD3"/>
    <w:rsid w:val="00B87392"/>
    <w:rsid w:val="00B87A1D"/>
    <w:rsid w:val="00B90588"/>
    <w:rsid w:val="00B90699"/>
    <w:rsid w:val="00B909F2"/>
    <w:rsid w:val="00B90C6A"/>
    <w:rsid w:val="00B90D77"/>
    <w:rsid w:val="00B90E96"/>
    <w:rsid w:val="00B90ECC"/>
    <w:rsid w:val="00B91314"/>
    <w:rsid w:val="00B91494"/>
    <w:rsid w:val="00B91786"/>
    <w:rsid w:val="00B91864"/>
    <w:rsid w:val="00B91A59"/>
    <w:rsid w:val="00B92317"/>
    <w:rsid w:val="00B9282C"/>
    <w:rsid w:val="00B92A3E"/>
    <w:rsid w:val="00B92A65"/>
    <w:rsid w:val="00B92B6A"/>
    <w:rsid w:val="00B93234"/>
    <w:rsid w:val="00B9362C"/>
    <w:rsid w:val="00B936FA"/>
    <w:rsid w:val="00B93752"/>
    <w:rsid w:val="00B93812"/>
    <w:rsid w:val="00B93AA4"/>
    <w:rsid w:val="00B93B11"/>
    <w:rsid w:val="00B93D6F"/>
    <w:rsid w:val="00B942C7"/>
    <w:rsid w:val="00B950F3"/>
    <w:rsid w:val="00B95117"/>
    <w:rsid w:val="00B95480"/>
    <w:rsid w:val="00B95D9B"/>
    <w:rsid w:val="00B95E41"/>
    <w:rsid w:val="00B95EBF"/>
    <w:rsid w:val="00B96ED2"/>
    <w:rsid w:val="00B9714A"/>
    <w:rsid w:val="00B97718"/>
    <w:rsid w:val="00B97DB7"/>
    <w:rsid w:val="00BA007E"/>
    <w:rsid w:val="00BA0719"/>
    <w:rsid w:val="00BA0A80"/>
    <w:rsid w:val="00BA0C02"/>
    <w:rsid w:val="00BA0FCF"/>
    <w:rsid w:val="00BA1580"/>
    <w:rsid w:val="00BA1630"/>
    <w:rsid w:val="00BA1845"/>
    <w:rsid w:val="00BA1924"/>
    <w:rsid w:val="00BA1A4D"/>
    <w:rsid w:val="00BA1D15"/>
    <w:rsid w:val="00BA1ECE"/>
    <w:rsid w:val="00BA1F43"/>
    <w:rsid w:val="00BA20E5"/>
    <w:rsid w:val="00BA23DC"/>
    <w:rsid w:val="00BA2782"/>
    <w:rsid w:val="00BA2F24"/>
    <w:rsid w:val="00BA3252"/>
    <w:rsid w:val="00BA33A8"/>
    <w:rsid w:val="00BA3827"/>
    <w:rsid w:val="00BA39F0"/>
    <w:rsid w:val="00BA3FDE"/>
    <w:rsid w:val="00BA4124"/>
    <w:rsid w:val="00BA4492"/>
    <w:rsid w:val="00BA4BF9"/>
    <w:rsid w:val="00BA553D"/>
    <w:rsid w:val="00BA555E"/>
    <w:rsid w:val="00BA5793"/>
    <w:rsid w:val="00BA58C6"/>
    <w:rsid w:val="00BA59C1"/>
    <w:rsid w:val="00BA5D3F"/>
    <w:rsid w:val="00BA64EB"/>
    <w:rsid w:val="00BA6720"/>
    <w:rsid w:val="00BA6774"/>
    <w:rsid w:val="00BA6D68"/>
    <w:rsid w:val="00BA6E42"/>
    <w:rsid w:val="00BA71DD"/>
    <w:rsid w:val="00BA7676"/>
    <w:rsid w:val="00BA77F9"/>
    <w:rsid w:val="00BA79B2"/>
    <w:rsid w:val="00BA7F7F"/>
    <w:rsid w:val="00BB0723"/>
    <w:rsid w:val="00BB07AB"/>
    <w:rsid w:val="00BB0920"/>
    <w:rsid w:val="00BB09F8"/>
    <w:rsid w:val="00BB10A5"/>
    <w:rsid w:val="00BB126A"/>
    <w:rsid w:val="00BB18B0"/>
    <w:rsid w:val="00BB1BB1"/>
    <w:rsid w:val="00BB1F5B"/>
    <w:rsid w:val="00BB2785"/>
    <w:rsid w:val="00BB2A63"/>
    <w:rsid w:val="00BB3363"/>
    <w:rsid w:val="00BB3774"/>
    <w:rsid w:val="00BB3DCD"/>
    <w:rsid w:val="00BB4114"/>
    <w:rsid w:val="00BB454E"/>
    <w:rsid w:val="00BB53D4"/>
    <w:rsid w:val="00BB5517"/>
    <w:rsid w:val="00BB571F"/>
    <w:rsid w:val="00BB5805"/>
    <w:rsid w:val="00BB6417"/>
    <w:rsid w:val="00BB6714"/>
    <w:rsid w:val="00BB6C10"/>
    <w:rsid w:val="00BB6F5A"/>
    <w:rsid w:val="00BB70F6"/>
    <w:rsid w:val="00BB73D7"/>
    <w:rsid w:val="00BC00D8"/>
    <w:rsid w:val="00BC12E5"/>
    <w:rsid w:val="00BC1B4B"/>
    <w:rsid w:val="00BC1D73"/>
    <w:rsid w:val="00BC2B2A"/>
    <w:rsid w:val="00BC2FA0"/>
    <w:rsid w:val="00BC2FD3"/>
    <w:rsid w:val="00BC3109"/>
    <w:rsid w:val="00BC32A4"/>
    <w:rsid w:val="00BC32EB"/>
    <w:rsid w:val="00BC3555"/>
    <w:rsid w:val="00BC3793"/>
    <w:rsid w:val="00BC3E9F"/>
    <w:rsid w:val="00BC3ED6"/>
    <w:rsid w:val="00BC4521"/>
    <w:rsid w:val="00BC47AE"/>
    <w:rsid w:val="00BC4A00"/>
    <w:rsid w:val="00BC546D"/>
    <w:rsid w:val="00BC57A1"/>
    <w:rsid w:val="00BC5C22"/>
    <w:rsid w:val="00BC5EC9"/>
    <w:rsid w:val="00BC60A4"/>
    <w:rsid w:val="00BC62F9"/>
    <w:rsid w:val="00BC6358"/>
    <w:rsid w:val="00BC69B3"/>
    <w:rsid w:val="00BC69BC"/>
    <w:rsid w:val="00BC6C0D"/>
    <w:rsid w:val="00BC6DF4"/>
    <w:rsid w:val="00BC722F"/>
    <w:rsid w:val="00BC7453"/>
    <w:rsid w:val="00BC7472"/>
    <w:rsid w:val="00BC7C1E"/>
    <w:rsid w:val="00BC7E58"/>
    <w:rsid w:val="00BD0005"/>
    <w:rsid w:val="00BD07FF"/>
    <w:rsid w:val="00BD0F46"/>
    <w:rsid w:val="00BD142A"/>
    <w:rsid w:val="00BD169D"/>
    <w:rsid w:val="00BD1D83"/>
    <w:rsid w:val="00BD2043"/>
    <w:rsid w:val="00BD287E"/>
    <w:rsid w:val="00BD28F7"/>
    <w:rsid w:val="00BD2AA9"/>
    <w:rsid w:val="00BD2AC2"/>
    <w:rsid w:val="00BD2E45"/>
    <w:rsid w:val="00BD2FAE"/>
    <w:rsid w:val="00BD321A"/>
    <w:rsid w:val="00BD3224"/>
    <w:rsid w:val="00BD34AF"/>
    <w:rsid w:val="00BD35D0"/>
    <w:rsid w:val="00BD42DE"/>
    <w:rsid w:val="00BD50A3"/>
    <w:rsid w:val="00BD5148"/>
    <w:rsid w:val="00BD52EC"/>
    <w:rsid w:val="00BD52ED"/>
    <w:rsid w:val="00BD534D"/>
    <w:rsid w:val="00BD5479"/>
    <w:rsid w:val="00BD56DC"/>
    <w:rsid w:val="00BD5EED"/>
    <w:rsid w:val="00BD604C"/>
    <w:rsid w:val="00BD6337"/>
    <w:rsid w:val="00BD703B"/>
    <w:rsid w:val="00BD7E48"/>
    <w:rsid w:val="00BD7F39"/>
    <w:rsid w:val="00BD7F46"/>
    <w:rsid w:val="00BE0005"/>
    <w:rsid w:val="00BE02E6"/>
    <w:rsid w:val="00BE09AC"/>
    <w:rsid w:val="00BE09FB"/>
    <w:rsid w:val="00BE0A6C"/>
    <w:rsid w:val="00BE0BFF"/>
    <w:rsid w:val="00BE0C56"/>
    <w:rsid w:val="00BE0F14"/>
    <w:rsid w:val="00BE111E"/>
    <w:rsid w:val="00BE16FB"/>
    <w:rsid w:val="00BE199C"/>
    <w:rsid w:val="00BE1C22"/>
    <w:rsid w:val="00BE26FC"/>
    <w:rsid w:val="00BE2708"/>
    <w:rsid w:val="00BE2B52"/>
    <w:rsid w:val="00BE3665"/>
    <w:rsid w:val="00BE3DCA"/>
    <w:rsid w:val="00BE3FFA"/>
    <w:rsid w:val="00BE4471"/>
    <w:rsid w:val="00BE455E"/>
    <w:rsid w:val="00BE5032"/>
    <w:rsid w:val="00BE506C"/>
    <w:rsid w:val="00BE506E"/>
    <w:rsid w:val="00BE5240"/>
    <w:rsid w:val="00BE590B"/>
    <w:rsid w:val="00BE5A86"/>
    <w:rsid w:val="00BE5CBD"/>
    <w:rsid w:val="00BE5EF3"/>
    <w:rsid w:val="00BE6A13"/>
    <w:rsid w:val="00BE740D"/>
    <w:rsid w:val="00BE7AC4"/>
    <w:rsid w:val="00BF03DA"/>
    <w:rsid w:val="00BF0BAE"/>
    <w:rsid w:val="00BF0C67"/>
    <w:rsid w:val="00BF100E"/>
    <w:rsid w:val="00BF12C6"/>
    <w:rsid w:val="00BF14A0"/>
    <w:rsid w:val="00BF194F"/>
    <w:rsid w:val="00BF1B96"/>
    <w:rsid w:val="00BF2112"/>
    <w:rsid w:val="00BF240A"/>
    <w:rsid w:val="00BF2A39"/>
    <w:rsid w:val="00BF3955"/>
    <w:rsid w:val="00BF3C05"/>
    <w:rsid w:val="00BF3DFF"/>
    <w:rsid w:val="00BF3E8B"/>
    <w:rsid w:val="00BF40FF"/>
    <w:rsid w:val="00BF4413"/>
    <w:rsid w:val="00BF4428"/>
    <w:rsid w:val="00BF48DD"/>
    <w:rsid w:val="00BF4BFC"/>
    <w:rsid w:val="00BF4CB3"/>
    <w:rsid w:val="00BF52D6"/>
    <w:rsid w:val="00BF5BEB"/>
    <w:rsid w:val="00BF6550"/>
    <w:rsid w:val="00BF6D17"/>
    <w:rsid w:val="00BF6D97"/>
    <w:rsid w:val="00BF6EC3"/>
    <w:rsid w:val="00BF73EC"/>
    <w:rsid w:val="00BF76E3"/>
    <w:rsid w:val="00BF7D11"/>
    <w:rsid w:val="00BF7E02"/>
    <w:rsid w:val="00C001F0"/>
    <w:rsid w:val="00C00210"/>
    <w:rsid w:val="00C0034B"/>
    <w:rsid w:val="00C0035A"/>
    <w:rsid w:val="00C006CA"/>
    <w:rsid w:val="00C007D2"/>
    <w:rsid w:val="00C008F0"/>
    <w:rsid w:val="00C00C15"/>
    <w:rsid w:val="00C01538"/>
    <w:rsid w:val="00C01589"/>
    <w:rsid w:val="00C01FE3"/>
    <w:rsid w:val="00C027ED"/>
    <w:rsid w:val="00C02BF8"/>
    <w:rsid w:val="00C02DE7"/>
    <w:rsid w:val="00C0324F"/>
    <w:rsid w:val="00C036B7"/>
    <w:rsid w:val="00C03718"/>
    <w:rsid w:val="00C03803"/>
    <w:rsid w:val="00C03C62"/>
    <w:rsid w:val="00C03D8F"/>
    <w:rsid w:val="00C040D7"/>
    <w:rsid w:val="00C04164"/>
    <w:rsid w:val="00C04633"/>
    <w:rsid w:val="00C049FA"/>
    <w:rsid w:val="00C04AAA"/>
    <w:rsid w:val="00C04D31"/>
    <w:rsid w:val="00C051BB"/>
    <w:rsid w:val="00C053C7"/>
    <w:rsid w:val="00C06207"/>
    <w:rsid w:val="00C0635B"/>
    <w:rsid w:val="00C07136"/>
    <w:rsid w:val="00C074D1"/>
    <w:rsid w:val="00C07835"/>
    <w:rsid w:val="00C079B8"/>
    <w:rsid w:val="00C07D2B"/>
    <w:rsid w:val="00C1048F"/>
    <w:rsid w:val="00C10885"/>
    <w:rsid w:val="00C10D2D"/>
    <w:rsid w:val="00C10DA4"/>
    <w:rsid w:val="00C10F1C"/>
    <w:rsid w:val="00C115A4"/>
    <w:rsid w:val="00C118D6"/>
    <w:rsid w:val="00C11A6A"/>
    <w:rsid w:val="00C11BCA"/>
    <w:rsid w:val="00C11C2F"/>
    <w:rsid w:val="00C11E7A"/>
    <w:rsid w:val="00C12B51"/>
    <w:rsid w:val="00C12BF3"/>
    <w:rsid w:val="00C12D5E"/>
    <w:rsid w:val="00C12F66"/>
    <w:rsid w:val="00C12F92"/>
    <w:rsid w:val="00C136EF"/>
    <w:rsid w:val="00C1370F"/>
    <w:rsid w:val="00C137B2"/>
    <w:rsid w:val="00C140D4"/>
    <w:rsid w:val="00C1498A"/>
    <w:rsid w:val="00C14C76"/>
    <w:rsid w:val="00C14E56"/>
    <w:rsid w:val="00C14F45"/>
    <w:rsid w:val="00C14F52"/>
    <w:rsid w:val="00C153A7"/>
    <w:rsid w:val="00C159C8"/>
    <w:rsid w:val="00C15A31"/>
    <w:rsid w:val="00C15B4F"/>
    <w:rsid w:val="00C15D2D"/>
    <w:rsid w:val="00C15F77"/>
    <w:rsid w:val="00C16F69"/>
    <w:rsid w:val="00C16F7A"/>
    <w:rsid w:val="00C16F96"/>
    <w:rsid w:val="00C171DD"/>
    <w:rsid w:val="00C17208"/>
    <w:rsid w:val="00C172B7"/>
    <w:rsid w:val="00C172D8"/>
    <w:rsid w:val="00C17416"/>
    <w:rsid w:val="00C17529"/>
    <w:rsid w:val="00C17821"/>
    <w:rsid w:val="00C17A99"/>
    <w:rsid w:val="00C17D09"/>
    <w:rsid w:val="00C205D6"/>
    <w:rsid w:val="00C20F40"/>
    <w:rsid w:val="00C21277"/>
    <w:rsid w:val="00C21315"/>
    <w:rsid w:val="00C214E4"/>
    <w:rsid w:val="00C21596"/>
    <w:rsid w:val="00C219D2"/>
    <w:rsid w:val="00C21D8C"/>
    <w:rsid w:val="00C21F4D"/>
    <w:rsid w:val="00C2213B"/>
    <w:rsid w:val="00C22CAB"/>
    <w:rsid w:val="00C230CC"/>
    <w:rsid w:val="00C231DB"/>
    <w:rsid w:val="00C232B2"/>
    <w:rsid w:val="00C236FE"/>
    <w:rsid w:val="00C237E9"/>
    <w:rsid w:val="00C238CB"/>
    <w:rsid w:val="00C239FC"/>
    <w:rsid w:val="00C23F8A"/>
    <w:rsid w:val="00C24116"/>
    <w:rsid w:val="00C24650"/>
    <w:rsid w:val="00C246E0"/>
    <w:rsid w:val="00C24799"/>
    <w:rsid w:val="00C24ED8"/>
    <w:rsid w:val="00C24F15"/>
    <w:rsid w:val="00C2510C"/>
    <w:rsid w:val="00C251F6"/>
    <w:rsid w:val="00C252B7"/>
    <w:rsid w:val="00C25465"/>
    <w:rsid w:val="00C25C25"/>
    <w:rsid w:val="00C265DF"/>
    <w:rsid w:val="00C267BD"/>
    <w:rsid w:val="00C26A37"/>
    <w:rsid w:val="00C26C13"/>
    <w:rsid w:val="00C26EC7"/>
    <w:rsid w:val="00C26F35"/>
    <w:rsid w:val="00C27B07"/>
    <w:rsid w:val="00C27B73"/>
    <w:rsid w:val="00C27CC7"/>
    <w:rsid w:val="00C303E6"/>
    <w:rsid w:val="00C30A04"/>
    <w:rsid w:val="00C30D95"/>
    <w:rsid w:val="00C3114C"/>
    <w:rsid w:val="00C31214"/>
    <w:rsid w:val="00C317B7"/>
    <w:rsid w:val="00C31806"/>
    <w:rsid w:val="00C3196C"/>
    <w:rsid w:val="00C31FAA"/>
    <w:rsid w:val="00C31FD4"/>
    <w:rsid w:val="00C3228A"/>
    <w:rsid w:val="00C323E7"/>
    <w:rsid w:val="00C3267B"/>
    <w:rsid w:val="00C32A09"/>
    <w:rsid w:val="00C32B28"/>
    <w:rsid w:val="00C32C18"/>
    <w:rsid w:val="00C32C84"/>
    <w:rsid w:val="00C33036"/>
    <w:rsid w:val="00C33079"/>
    <w:rsid w:val="00C33293"/>
    <w:rsid w:val="00C33694"/>
    <w:rsid w:val="00C3388E"/>
    <w:rsid w:val="00C33947"/>
    <w:rsid w:val="00C33CF1"/>
    <w:rsid w:val="00C34239"/>
    <w:rsid w:val="00C34507"/>
    <w:rsid w:val="00C3499A"/>
    <w:rsid w:val="00C349C4"/>
    <w:rsid w:val="00C349D2"/>
    <w:rsid w:val="00C34A96"/>
    <w:rsid w:val="00C34E5F"/>
    <w:rsid w:val="00C3506A"/>
    <w:rsid w:val="00C35418"/>
    <w:rsid w:val="00C354D5"/>
    <w:rsid w:val="00C35B13"/>
    <w:rsid w:val="00C35B5B"/>
    <w:rsid w:val="00C35FCF"/>
    <w:rsid w:val="00C366B9"/>
    <w:rsid w:val="00C36A0B"/>
    <w:rsid w:val="00C36DC4"/>
    <w:rsid w:val="00C3700B"/>
    <w:rsid w:val="00C37BA6"/>
    <w:rsid w:val="00C37E98"/>
    <w:rsid w:val="00C40422"/>
    <w:rsid w:val="00C40425"/>
    <w:rsid w:val="00C404B6"/>
    <w:rsid w:val="00C4056C"/>
    <w:rsid w:val="00C40729"/>
    <w:rsid w:val="00C40BAE"/>
    <w:rsid w:val="00C40C5F"/>
    <w:rsid w:val="00C40D06"/>
    <w:rsid w:val="00C41408"/>
    <w:rsid w:val="00C41448"/>
    <w:rsid w:val="00C418CB"/>
    <w:rsid w:val="00C41E3F"/>
    <w:rsid w:val="00C42E99"/>
    <w:rsid w:val="00C43416"/>
    <w:rsid w:val="00C43721"/>
    <w:rsid w:val="00C4381C"/>
    <w:rsid w:val="00C439E4"/>
    <w:rsid w:val="00C43F9D"/>
    <w:rsid w:val="00C4447E"/>
    <w:rsid w:val="00C451C3"/>
    <w:rsid w:val="00C4527B"/>
    <w:rsid w:val="00C45552"/>
    <w:rsid w:val="00C45C1D"/>
    <w:rsid w:val="00C45DFF"/>
    <w:rsid w:val="00C45E1C"/>
    <w:rsid w:val="00C46195"/>
    <w:rsid w:val="00C46284"/>
    <w:rsid w:val="00C46636"/>
    <w:rsid w:val="00C46E5B"/>
    <w:rsid w:val="00C471C1"/>
    <w:rsid w:val="00C475A0"/>
    <w:rsid w:val="00C47FEC"/>
    <w:rsid w:val="00C5034E"/>
    <w:rsid w:val="00C50664"/>
    <w:rsid w:val="00C50D30"/>
    <w:rsid w:val="00C50FF7"/>
    <w:rsid w:val="00C510AF"/>
    <w:rsid w:val="00C51229"/>
    <w:rsid w:val="00C5155E"/>
    <w:rsid w:val="00C51714"/>
    <w:rsid w:val="00C51B12"/>
    <w:rsid w:val="00C51C21"/>
    <w:rsid w:val="00C52082"/>
    <w:rsid w:val="00C525D7"/>
    <w:rsid w:val="00C538B8"/>
    <w:rsid w:val="00C54947"/>
    <w:rsid w:val="00C54A24"/>
    <w:rsid w:val="00C5546C"/>
    <w:rsid w:val="00C55647"/>
    <w:rsid w:val="00C55687"/>
    <w:rsid w:val="00C55A12"/>
    <w:rsid w:val="00C56065"/>
    <w:rsid w:val="00C56569"/>
    <w:rsid w:val="00C56C02"/>
    <w:rsid w:val="00C56D59"/>
    <w:rsid w:val="00C56F86"/>
    <w:rsid w:val="00C56FE7"/>
    <w:rsid w:val="00C573F4"/>
    <w:rsid w:val="00C57F09"/>
    <w:rsid w:val="00C57F28"/>
    <w:rsid w:val="00C60123"/>
    <w:rsid w:val="00C601A0"/>
    <w:rsid w:val="00C601D0"/>
    <w:rsid w:val="00C6037A"/>
    <w:rsid w:val="00C604D3"/>
    <w:rsid w:val="00C60E1F"/>
    <w:rsid w:val="00C60F9D"/>
    <w:rsid w:val="00C610C0"/>
    <w:rsid w:val="00C61301"/>
    <w:rsid w:val="00C619B9"/>
    <w:rsid w:val="00C61D8C"/>
    <w:rsid w:val="00C6236D"/>
    <w:rsid w:val="00C62444"/>
    <w:rsid w:val="00C624DD"/>
    <w:rsid w:val="00C62BD9"/>
    <w:rsid w:val="00C62E27"/>
    <w:rsid w:val="00C632A8"/>
    <w:rsid w:val="00C6377B"/>
    <w:rsid w:val="00C638C7"/>
    <w:rsid w:val="00C6397F"/>
    <w:rsid w:val="00C63EE3"/>
    <w:rsid w:val="00C63F11"/>
    <w:rsid w:val="00C640FE"/>
    <w:rsid w:val="00C64470"/>
    <w:rsid w:val="00C6453B"/>
    <w:rsid w:val="00C6553E"/>
    <w:rsid w:val="00C65810"/>
    <w:rsid w:val="00C65BDE"/>
    <w:rsid w:val="00C661C4"/>
    <w:rsid w:val="00C66847"/>
    <w:rsid w:val="00C6721A"/>
    <w:rsid w:val="00C6756D"/>
    <w:rsid w:val="00C70269"/>
    <w:rsid w:val="00C7051A"/>
    <w:rsid w:val="00C70AAC"/>
    <w:rsid w:val="00C70CDF"/>
    <w:rsid w:val="00C70FCE"/>
    <w:rsid w:val="00C713B7"/>
    <w:rsid w:val="00C71A4D"/>
    <w:rsid w:val="00C72400"/>
    <w:rsid w:val="00C72483"/>
    <w:rsid w:val="00C726A2"/>
    <w:rsid w:val="00C728DE"/>
    <w:rsid w:val="00C72B36"/>
    <w:rsid w:val="00C72D70"/>
    <w:rsid w:val="00C73039"/>
    <w:rsid w:val="00C733A6"/>
    <w:rsid w:val="00C73534"/>
    <w:rsid w:val="00C73586"/>
    <w:rsid w:val="00C738E3"/>
    <w:rsid w:val="00C73EA6"/>
    <w:rsid w:val="00C73F9D"/>
    <w:rsid w:val="00C7401C"/>
    <w:rsid w:val="00C74619"/>
    <w:rsid w:val="00C74CD9"/>
    <w:rsid w:val="00C752BB"/>
    <w:rsid w:val="00C7572B"/>
    <w:rsid w:val="00C759C2"/>
    <w:rsid w:val="00C75C1C"/>
    <w:rsid w:val="00C75E87"/>
    <w:rsid w:val="00C75EB4"/>
    <w:rsid w:val="00C75FB1"/>
    <w:rsid w:val="00C76287"/>
    <w:rsid w:val="00C76603"/>
    <w:rsid w:val="00C76A62"/>
    <w:rsid w:val="00C7727F"/>
    <w:rsid w:val="00C772EC"/>
    <w:rsid w:val="00C773C9"/>
    <w:rsid w:val="00C779A2"/>
    <w:rsid w:val="00C77C32"/>
    <w:rsid w:val="00C801C9"/>
    <w:rsid w:val="00C8054A"/>
    <w:rsid w:val="00C805A0"/>
    <w:rsid w:val="00C81A7E"/>
    <w:rsid w:val="00C81C01"/>
    <w:rsid w:val="00C81C3B"/>
    <w:rsid w:val="00C82077"/>
    <w:rsid w:val="00C821A9"/>
    <w:rsid w:val="00C82B8B"/>
    <w:rsid w:val="00C82DF3"/>
    <w:rsid w:val="00C8329F"/>
    <w:rsid w:val="00C832B3"/>
    <w:rsid w:val="00C83450"/>
    <w:rsid w:val="00C83664"/>
    <w:rsid w:val="00C8385E"/>
    <w:rsid w:val="00C83A13"/>
    <w:rsid w:val="00C83DB9"/>
    <w:rsid w:val="00C84159"/>
    <w:rsid w:val="00C848B5"/>
    <w:rsid w:val="00C84E5D"/>
    <w:rsid w:val="00C858D1"/>
    <w:rsid w:val="00C859C3"/>
    <w:rsid w:val="00C85E29"/>
    <w:rsid w:val="00C8650C"/>
    <w:rsid w:val="00C8699A"/>
    <w:rsid w:val="00C86F10"/>
    <w:rsid w:val="00C871A3"/>
    <w:rsid w:val="00C872BA"/>
    <w:rsid w:val="00C878C8"/>
    <w:rsid w:val="00C87A98"/>
    <w:rsid w:val="00C87D28"/>
    <w:rsid w:val="00C87F7E"/>
    <w:rsid w:val="00C90182"/>
    <w:rsid w:val="00C9068C"/>
    <w:rsid w:val="00C90751"/>
    <w:rsid w:val="00C90D9B"/>
    <w:rsid w:val="00C90FD1"/>
    <w:rsid w:val="00C9182D"/>
    <w:rsid w:val="00C91926"/>
    <w:rsid w:val="00C91986"/>
    <w:rsid w:val="00C91E35"/>
    <w:rsid w:val="00C91E4D"/>
    <w:rsid w:val="00C925F5"/>
    <w:rsid w:val="00C9263C"/>
    <w:rsid w:val="00C926EC"/>
    <w:rsid w:val="00C92967"/>
    <w:rsid w:val="00C92CA3"/>
    <w:rsid w:val="00C92E47"/>
    <w:rsid w:val="00C93B17"/>
    <w:rsid w:val="00C93DC7"/>
    <w:rsid w:val="00C93DD0"/>
    <w:rsid w:val="00C93DD1"/>
    <w:rsid w:val="00C93E2F"/>
    <w:rsid w:val="00C9402C"/>
    <w:rsid w:val="00C943F6"/>
    <w:rsid w:val="00C949CC"/>
    <w:rsid w:val="00C949F0"/>
    <w:rsid w:val="00C94A1C"/>
    <w:rsid w:val="00C94B64"/>
    <w:rsid w:val="00C94D02"/>
    <w:rsid w:val="00C94F6F"/>
    <w:rsid w:val="00C9520A"/>
    <w:rsid w:val="00C95231"/>
    <w:rsid w:val="00C954AC"/>
    <w:rsid w:val="00C95624"/>
    <w:rsid w:val="00C95BB7"/>
    <w:rsid w:val="00C95C52"/>
    <w:rsid w:val="00C9615C"/>
    <w:rsid w:val="00C96D6E"/>
    <w:rsid w:val="00C975CD"/>
    <w:rsid w:val="00C97D90"/>
    <w:rsid w:val="00CA0A15"/>
    <w:rsid w:val="00CA0D64"/>
    <w:rsid w:val="00CA0D89"/>
    <w:rsid w:val="00CA0DA5"/>
    <w:rsid w:val="00CA0F26"/>
    <w:rsid w:val="00CA1548"/>
    <w:rsid w:val="00CA1C61"/>
    <w:rsid w:val="00CA1F95"/>
    <w:rsid w:val="00CA268C"/>
    <w:rsid w:val="00CA34F0"/>
    <w:rsid w:val="00CA3589"/>
    <w:rsid w:val="00CA3AF9"/>
    <w:rsid w:val="00CA3D0C"/>
    <w:rsid w:val="00CA3E1D"/>
    <w:rsid w:val="00CA45C7"/>
    <w:rsid w:val="00CA47A1"/>
    <w:rsid w:val="00CA4899"/>
    <w:rsid w:val="00CA4A96"/>
    <w:rsid w:val="00CA4BE3"/>
    <w:rsid w:val="00CA5ADA"/>
    <w:rsid w:val="00CA5CF3"/>
    <w:rsid w:val="00CA5D29"/>
    <w:rsid w:val="00CA5DE8"/>
    <w:rsid w:val="00CA654B"/>
    <w:rsid w:val="00CA68AC"/>
    <w:rsid w:val="00CA6A0F"/>
    <w:rsid w:val="00CA6CD5"/>
    <w:rsid w:val="00CA6DC5"/>
    <w:rsid w:val="00CA7116"/>
    <w:rsid w:val="00CA71CF"/>
    <w:rsid w:val="00CA7523"/>
    <w:rsid w:val="00CA753C"/>
    <w:rsid w:val="00CA7848"/>
    <w:rsid w:val="00CA7FB4"/>
    <w:rsid w:val="00CB0101"/>
    <w:rsid w:val="00CB0655"/>
    <w:rsid w:val="00CB13B1"/>
    <w:rsid w:val="00CB199B"/>
    <w:rsid w:val="00CB1DC4"/>
    <w:rsid w:val="00CB2941"/>
    <w:rsid w:val="00CB34A0"/>
    <w:rsid w:val="00CB3588"/>
    <w:rsid w:val="00CB3B0B"/>
    <w:rsid w:val="00CB3C3A"/>
    <w:rsid w:val="00CB4464"/>
    <w:rsid w:val="00CB450A"/>
    <w:rsid w:val="00CB4CA4"/>
    <w:rsid w:val="00CB5326"/>
    <w:rsid w:val="00CB53BC"/>
    <w:rsid w:val="00CB57E8"/>
    <w:rsid w:val="00CB5DD3"/>
    <w:rsid w:val="00CB6088"/>
    <w:rsid w:val="00CB629B"/>
    <w:rsid w:val="00CB6618"/>
    <w:rsid w:val="00CB6BB3"/>
    <w:rsid w:val="00CB6CE4"/>
    <w:rsid w:val="00CB70EA"/>
    <w:rsid w:val="00CB71B4"/>
    <w:rsid w:val="00CB72B8"/>
    <w:rsid w:val="00CB74EC"/>
    <w:rsid w:val="00CB7767"/>
    <w:rsid w:val="00CB7851"/>
    <w:rsid w:val="00CB7943"/>
    <w:rsid w:val="00CB799F"/>
    <w:rsid w:val="00CC04A7"/>
    <w:rsid w:val="00CC093F"/>
    <w:rsid w:val="00CC12C9"/>
    <w:rsid w:val="00CC1742"/>
    <w:rsid w:val="00CC1BA9"/>
    <w:rsid w:val="00CC1F12"/>
    <w:rsid w:val="00CC202B"/>
    <w:rsid w:val="00CC2885"/>
    <w:rsid w:val="00CC2C5C"/>
    <w:rsid w:val="00CC30A6"/>
    <w:rsid w:val="00CC33B0"/>
    <w:rsid w:val="00CC37C5"/>
    <w:rsid w:val="00CC39CF"/>
    <w:rsid w:val="00CC39EF"/>
    <w:rsid w:val="00CC4764"/>
    <w:rsid w:val="00CC5167"/>
    <w:rsid w:val="00CC5208"/>
    <w:rsid w:val="00CC5E37"/>
    <w:rsid w:val="00CC6007"/>
    <w:rsid w:val="00CC6050"/>
    <w:rsid w:val="00CC64EB"/>
    <w:rsid w:val="00CC659F"/>
    <w:rsid w:val="00CC70E8"/>
    <w:rsid w:val="00CC768D"/>
    <w:rsid w:val="00CC7A45"/>
    <w:rsid w:val="00CC7AA9"/>
    <w:rsid w:val="00CC7C17"/>
    <w:rsid w:val="00CD02D0"/>
    <w:rsid w:val="00CD0407"/>
    <w:rsid w:val="00CD04F7"/>
    <w:rsid w:val="00CD0BA8"/>
    <w:rsid w:val="00CD0C53"/>
    <w:rsid w:val="00CD0DC2"/>
    <w:rsid w:val="00CD1317"/>
    <w:rsid w:val="00CD14BC"/>
    <w:rsid w:val="00CD1A1F"/>
    <w:rsid w:val="00CD1AEC"/>
    <w:rsid w:val="00CD204E"/>
    <w:rsid w:val="00CD2386"/>
    <w:rsid w:val="00CD2645"/>
    <w:rsid w:val="00CD282E"/>
    <w:rsid w:val="00CD2872"/>
    <w:rsid w:val="00CD2A7F"/>
    <w:rsid w:val="00CD2D85"/>
    <w:rsid w:val="00CD3351"/>
    <w:rsid w:val="00CD345D"/>
    <w:rsid w:val="00CD3869"/>
    <w:rsid w:val="00CD4425"/>
    <w:rsid w:val="00CD4959"/>
    <w:rsid w:val="00CD4A75"/>
    <w:rsid w:val="00CD4C7B"/>
    <w:rsid w:val="00CD4CB1"/>
    <w:rsid w:val="00CD4CE3"/>
    <w:rsid w:val="00CD539E"/>
    <w:rsid w:val="00CD583F"/>
    <w:rsid w:val="00CD58FE"/>
    <w:rsid w:val="00CD5AF2"/>
    <w:rsid w:val="00CD602A"/>
    <w:rsid w:val="00CD6238"/>
    <w:rsid w:val="00CD630C"/>
    <w:rsid w:val="00CD6FC4"/>
    <w:rsid w:val="00CD7183"/>
    <w:rsid w:val="00CD728F"/>
    <w:rsid w:val="00CD72C0"/>
    <w:rsid w:val="00CD73B4"/>
    <w:rsid w:val="00CD78A1"/>
    <w:rsid w:val="00CD7BCA"/>
    <w:rsid w:val="00CD7E55"/>
    <w:rsid w:val="00CE02D0"/>
    <w:rsid w:val="00CE08BD"/>
    <w:rsid w:val="00CE090C"/>
    <w:rsid w:val="00CE0AE4"/>
    <w:rsid w:val="00CE1905"/>
    <w:rsid w:val="00CE1A74"/>
    <w:rsid w:val="00CE1C57"/>
    <w:rsid w:val="00CE1EB9"/>
    <w:rsid w:val="00CE201E"/>
    <w:rsid w:val="00CE2220"/>
    <w:rsid w:val="00CE2C27"/>
    <w:rsid w:val="00CE32DD"/>
    <w:rsid w:val="00CE3348"/>
    <w:rsid w:val="00CE357E"/>
    <w:rsid w:val="00CE37D7"/>
    <w:rsid w:val="00CE3E1A"/>
    <w:rsid w:val="00CE41CA"/>
    <w:rsid w:val="00CE45D4"/>
    <w:rsid w:val="00CE4B55"/>
    <w:rsid w:val="00CE4C6C"/>
    <w:rsid w:val="00CE5626"/>
    <w:rsid w:val="00CE5791"/>
    <w:rsid w:val="00CE58B4"/>
    <w:rsid w:val="00CE5B3F"/>
    <w:rsid w:val="00CE5F48"/>
    <w:rsid w:val="00CE6243"/>
    <w:rsid w:val="00CE664C"/>
    <w:rsid w:val="00CE6727"/>
    <w:rsid w:val="00CE702D"/>
    <w:rsid w:val="00CE7370"/>
    <w:rsid w:val="00CF004B"/>
    <w:rsid w:val="00CF0188"/>
    <w:rsid w:val="00CF03E0"/>
    <w:rsid w:val="00CF0E66"/>
    <w:rsid w:val="00CF13D5"/>
    <w:rsid w:val="00CF1633"/>
    <w:rsid w:val="00CF18DB"/>
    <w:rsid w:val="00CF191C"/>
    <w:rsid w:val="00CF1A5F"/>
    <w:rsid w:val="00CF1BAA"/>
    <w:rsid w:val="00CF2AA0"/>
    <w:rsid w:val="00CF2E58"/>
    <w:rsid w:val="00CF3774"/>
    <w:rsid w:val="00CF3A1C"/>
    <w:rsid w:val="00CF3A6B"/>
    <w:rsid w:val="00CF3D88"/>
    <w:rsid w:val="00CF40DF"/>
    <w:rsid w:val="00CF457F"/>
    <w:rsid w:val="00CF4618"/>
    <w:rsid w:val="00CF60BA"/>
    <w:rsid w:val="00CF6353"/>
    <w:rsid w:val="00CF68A5"/>
    <w:rsid w:val="00CF6907"/>
    <w:rsid w:val="00CF69CA"/>
    <w:rsid w:val="00CF6AA8"/>
    <w:rsid w:val="00CF7374"/>
    <w:rsid w:val="00CF7531"/>
    <w:rsid w:val="00CF7558"/>
    <w:rsid w:val="00CF7AD6"/>
    <w:rsid w:val="00CF7D47"/>
    <w:rsid w:val="00D0022C"/>
    <w:rsid w:val="00D00744"/>
    <w:rsid w:val="00D00E3D"/>
    <w:rsid w:val="00D01011"/>
    <w:rsid w:val="00D01435"/>
    <w:rsid w:val="00D0152F"/>
    <w:rsid w:val="00D0181D"/>
    <w:rsid w:val="00D01856"/>
    <w:rsid w:val="00D02285"/>
    <w:rsid w:val="00D022FA"/>
    <w:rsid w:val="00D0281D"/>
    <w:rsid w:val="00D02D2B"/>
    <w:rsid w:val="00D037BF"/>
    <w:rsid w:val="00D037EA"/>
    <w:rsid w:val="00D03B4D"/>
    <w:rsid w:val="00D03E0C"/>
    <w:rsid w:val="00D04FAF"/>
    <w:rsid w:val="00D050E1"/>
    <w:rsid w:val="00D05209"/>
    <w:rsid w:val="00D05573"/>
    <w:rsid w:val="00D05ED0"/>
    <w:rsid w:val="00D05F85"/>
    <w:rsid w:val="00D06434"/>
    <w:rsid w:val="00D064F6"/>
    <w:rsid w:val="00D0667E"/>
    <w:rsid w:val="00D067FF"/>
    <w:rsid w:val="00D06C6B"/>
    <w:rsid w:val="00D06CF8"/>
    <w:rsid w:val="00D071F9"/>
    <w:rsid w:val="00D0742E"/>
    <w:rsid w:val="00D07C15"/>
    <w:rsid w:val="00D104DA"/>
    <w:rsid w:val="00D1081B"/>
    <w:rsid w:val="00D10C65"/>
    <w:rsid w:val="00D11F49"/>
    <w:rsid w:val="00D1215E"/>
    <w:rsid w:val="00D12243"/>
    <w:rsid w:val="00D12396"/>
    <w:rsid w:val="00D127EF"/>
    <w:rsid w:val="00D12971"/>
    <w:rsid w:val="00D12E29"/>
    <w:rsid w:val="00D13596"/>
    <w:rsid w:val="00D13B34"/>
    <w:rsid w:val="00D14344"/>
    <w:rsid w:val="00D14380"/>
    <w:rsid w:val="00D143C7"/>
    <w:rsid w:val="00D14A09"/>
    <w:rsid w:val="00D14B2A"/>
    <w:rsid w:val="00D14D65"/>
    <w:rsid w:val="00D151D5"/>
    <w:rsid w:val="00D152C5"/>
    <w:rsid w:val="00D15CB7"/>
    <w:rsid w:val="00D15E7B"/>
    <w:rsid w:val="00D1654B"/>
    <w:rsid w:val="00D16C76"/>
    <w:rsid w:val="00D16CF2"/>
    <w:rsid w:val="00D17156"/>
    <w:rsid w:val="00D172DD"/>
    <w:rsid w:val="00D17D5C"/>
    <w:rsid w:val="00D17E85"/>
    <w:rsid w:val="00D17FDE"/>
    <w:rsid w:val="00D20553"/>
    <w:rsid w:val="00D20D40"/>
    <w:rsid w:val="00D20DD4"/>
    <w:rsid w:val="00D21189"/>
    <w:rsid w:val="00D2168D"/>
    <w:rsid w:val="00D21B41"/>
    <w:rsid w:val="00D22187"/>
    <w:rsid w:val="00D228B1"/>
    <w:rsid w:val="00D22A25"/>
    <w:rsid w:val="00D22ABA"/>
    <w:rsid w:val="00D22D88"/>
    <w:rsid w:val="00D23056"/>
    <w:rsid w:val="00D2318A"/>
    <w:rsid w:val="00D23744"/>
    <w:rsid w:val="00D2398B"/>
    <w:rsid w:val="00D23AAB"/>
    <w:rsid w:val="00D23B73"/>
    <w:rsid w:val="00D23CD1"/>
    <w:rsid w:val="00D23CEF"/>
    <w:rsid w:val="00D2400A"/>
    <w:rsid w:val="00D24097"/>
    <w:rsid w:val="00D2459A"/>
    <w:rsid w:val="00D247AB"/>
    <w:rsid w:val="00D24B71"/>
    <w:rsid w:val="00D250B6"/>
    <w:rsid w:val="00D25379"/>
    <w:rsid w:val="00D255BB"/>
    <w:rsid w:val="00D257A7"/>
    <w:rsid w:val="00D25B0A"/>
    <w:rsid w:val="00D25B8B"/>
    <w:rsid w:val="00D26001"/>
    <w:rsid w:val="00D26276"/>
    <w:rsid w:val="00D268FD"/>
    <w:rsid w:val="00D26A2F"/>
    <w:rsid w:val="00D26A52"/>
    <w:rsid w:val="00D26B9F"/>
    <w:rsid w:val="00D27199"/>
    <w:rsid w:val="00D2719D"/>
    <w:rsid w:val="00D27327"/>
    <w:rsid w:val="00D30570"/>
    <w:rsid w:val="00D30BAA"/>
    <w:rsid w:val="00D30DF2"/>
    <w:rsid w:val="00D3123C"/>
    <w:rsid w:val="00D31B6A"/>
    <w:rsid w:val="00D32124"/>
    <w:rsid w:val="00D3294B"/>
    <w:rsid w:val="00D32D11"/>
    <w:rsid w:val="00D33335"/>
    <w:rsid w:val="00D3348D"/>
    <w:rsid w:val="00D33BE3"/>
    <w:rsid w:val="00D34AB9"/>
    <w:rsid w:val="00D34DD1"/>
    <w:rsid w:val="00D34F77"/>
    <w:rsid w:val="00D35349"/>
    <w:rsid w:val="00D35443"/>
    <w:rsid w:val="00D35E32"/>
    <w:rsid w:val="00D35F3A"/>
    <w:rsid w:val="00D36319"/>
    <w:rsid w:val="00D36371"/>
    <w:rsid w:val="00D36692"/>
    <w:rsid w:val="00D367BE"/>
    <w:rsid w:val="00D36D03"/>
    <w:rsid w:val="00D3792D"/>
    <w:rsid w:val="00D37962"/>
    <w:rsid w:val="00D37A50"/>
    <w:rsid w:val="00D37B6B"/>
    <w:rsid w:val="00D37DE7"/>
    <w:rsid w:val="00D37F39"/>
    <w:rsid w:val="00D4005D"/>
    <w:rsid w:val="00D40225"/>
    <w:rsid w:val="00D4026F"/>
    <w:rsid w:val="00D4061F"/>
    <w:rsid w:val="00D41B09"/>
    <w:rsid w:val="00D41D73"/>
    <w:rsid w:val="00D41FE9"/>
    <w:rsid w:val="00D42462"/>
    <w:rsid w:val="00D42BDA"/>
    <w:rsid w:val="00D42FC9"/>
    <w:rsid w:val="00D430CE"/>
    <w:rsid w:val="00D434A8"/>
    <w:rsid w:val="00D4350A"/>
    <w:rsid w:val="00D435D0"/>
    <w:rsid w:val="00D4367B"/>
    <w:rsid w:val="00D43CF4"/>
    <w:rsid w:val="00D43DE8"/>
    <w:rsid w:val="00D44025"/>
    <w:rsid w:val="00D44981"/>
    <w:rsid w:val="00D44A2A"/>
    <w:rsid w:val="00D44E7D"/>
    <w:rsid w:val="00D45235"/>
    <w:rsid w:val="00D45460"/>
    <w:rsid w:val="00D45679"/>
    <w:rsid w:val="00D459A4"/>
    <w:rsid w:val="00D459BD"/>
    <w:rsid w:val="00D4656E"/>
    <w:rsid w:val="00D46BDF"/>
    <w:rsid w:val="00D46C5E"/>
    <w:rsid w:val="00D47853"/>
    <w:rsid w:val="00D47985"/>
    <w:rsid w:val="00D47B65"/>
    <w:rsid w:val="00D47DCA"/>
    <w:rsid w:val="00D500D9"/>
    <w:rsid w:val="00D50314"/>
    <w:rsid w:val="00D507DA"/>
    <w:rsid w:val="00D508AF"/>
    <w:rsid w:val="00D50A9F"/>
    <w:rsid w:val="00D50AFA"/>
    <w:rsid w:val="00D521F7"/>
    <w:rsid w:val="00D52C34"/>
    <w:rsid w:val="00D52F27"/>
    <w:rsid w:val="00D531DA"/>
    <w:rsid w:val="00D5345C"/>
    <w:rsid w:val="00D535C2"/>
    <w:rsid w:val="00D53FC3"/>
    <w:rsid w:val="00D54820"/>
    <w:rsid w:val="00D54CAD"/>
    <w:rsid w:val="00D552C5"/>
    <w:rsid w:val="00D553D5"/>
    <w:rsid w:val="00D556BC"/>
    <w:rsid w:val="00D556EA"/>
    <w:rsid w:val="00D558C2"/>
    <w:rsid w:val="00D55DDB"/>
    <w:rsid w:val="00D55E1F"/>
    <w:rsid w:val="00D55E47"/>
    <w:rsid w:val="00D56922"/>
    <w:rsid w:val="00D56AFF"/>
    <w:rsid w:val="00D5706A"/>
    <w:rsid w:val="00D570AD"/>
    <w:rsid w:val="00D571F1"/>
    <w:rsid w:val="00D577B2"/>
    <w:rsid w:val="00D579E7"/>
    <w:rsid w:val="00D57D59"/>
    <w:rsid w:val="00D6028C"/>
    <w:rsid w:val="00D60463"/>
    <w:rsid w:val="00D60ABF"/>
    <w:rsid w:val="00D60FC6"/>
    <w:rsid w:val="00D6138C"/>
    <w:rsid w:val="00D619FA"/>
    <w:rsid w:val="00D6232C"/>
    <w:rsid w:val="00D62534"/>
    <w:rsid w:val="00D625A1"/>
    <w:rsid w:val="00D62616"/>
    <w:rsid w:val="00D626A2"/>
    <w:rsid w:val="00D62E19"/>
    <w:rsid w:val="00D633DA"/>
    <w:rsid w:val="00D63782"/>
    <w:rsid w:val="00D63793"/>
    <w:rsid w:val="00D639F5"/>
    <w:rsid w:val="00D63D3A"/>
    <w:rsid w:val="00D63E5A"/>
    <w:rsid w:val="00D63EF5"/>
    <w:rsid w:val="00D64F29"/>
    <w:rsid w:val="00D652B3"/>
    <w:rsid w:val="00D6593B"/>
    <w:rsid w:val="00D659CA"/>
    <w:rsid w:val="00D65A83"/>
    <w:rsid w:val="00D65C5B"/>
    <w:rsid w:val="00D65EEF"/>
    <w:rsid w:val="00D661CD"/>
    <w:rsid w:val="00D668E2"/>
    <w:rsid w:val="00D66AB2"/>
    <w:rsid w:val="00D66E77"/>
    <w:rsid w:val="00D66EDF"/>
    <w:rsid w:val="00D673ED"/>
    <w:rsid w:val="00D6755F"/>
    <w:rsid w:val="00D675CF"/>
    <w:rsid w:val="00D67758"/>
    <w:rsid w:val="00D67836"/>
    <w:rsid w:val="00D678D9"/>
    <w:rsid w:val="00D67CD1"/>
    <w:rsid w:val="00D70E0B"/>
    <w:rsid w:val="00D71184"/>
    <w:rsid w:val="00D711FB"/>
    <w:rsid w:val="00D71342"/>
    <w:rsid w:val="00D71732"/>
    <w:rsid w:val="00D7180C"/>
    <w:rsid w:val="00D71D0C"/>
    <w:rsid w:val="00D71E1B"/>
    <w:rsid w:val="00D72D61"/>
    <w:rsid w:val="00D72EE6"/>
    <w:rsid w:val="00D7314F"/>
    <w:rsid w:val="00D73466"/>
    <w:rsid w:val="00D73658"/>
    <w:rsid w:val="00D738D6"/>
    <w:rsid w:val="00D73B89"/>
    <w:rsid w:val="00D743A9"/>
    <w:rsid w:val="00D74F5A"/>
    <w:rsid w:val="00D75032"/>
    <w:rsid w:val="00D753EE"/>
    <w:rsid w:val="00D76390"/>
    <w:rsid w:val="00D765FE"/>
    <w:rsid w:val="00D765FF"/>
    <w:rsid w:val="00D77732"/>
    <w:rsid w:val="00D77F8C"/>
    <w:rsid w:val="00D80003"/>
    <w:rsid w:val="00D80067"/>
    <w:rsid w:val="00D80763"/>
    <w:rsid w:val="00D80795"/>
    <w:rsid w:val="00D80DBE"/>
    <w:rsid w:val="00D80EAF"/>
    <w:rsid w:val="00D80FCA"/>
    <w:rsid w:val="00D813D2"/>
    <w:rsid w:val="00D81BE6"/>
    <w:rsid w:val="00D81E2F"/>
    <w:rsid w:val="00D8272B"/>
    <w:rsid w:val="00D82A22"/>
    <w:rsid w:val="00D83354"/>
    <w:rsid w:val="00D83C3F"/>
    <w:rsid w:val="00D83DE9"/>
    <w:rsid w:val="00D85221"/>
    <w:rsid w:val="00D854BE"/>
    <w:rsid w:val="00D8577A"/>
    <w:rsid w:val="00D85813"/>
    <w:rsid w:val="00D859A0"/>
    <w:rsid w:val="00D859AD"/>
    <w:rsid w:val="00D85A42"/>
    <w:rsid w:val="00D85F40"/>
    <w:rsid w:val="00D8624B"/>
    <w:rsid w:val="00D86982"/>
    <w:rsid w:val="00D87266"/>
    <w:rsid w:val="00D8776E"/>
    <w:rsid w:val="00D87A71"/>
    <w:rsid w:val="00D87E00"/>
    <w:rsid w:val="00D87E05"/>
    <w:rsid w:val="00D87ECB"/>
    <w:rsid w:val="00D87F2D"/>
    <w:rsid w:val="00D90450"/>
    <w:rsid w:val="00D906AC"/>
    <w:rsid w:val="00D908DB"/>
    <w:rsid w:val="00D90C48"/>
    <w:rsid w:val="00D90FC9"/>
    <w:rsid w:val="00D9134D"/>
    <w:rsid w:val="00D915E9"/>
    <w:rsid w:val="00D91859"/>
    <w:rsid w:val="00D91882"/>
    <w:rsid w:val="00D91963"/>
    <w:rsid w:val="00D92167"/>
    <w:rsid w:val="00D923A4"/>
    <w:rsid w:val="00D928F7"/>
    <w:rsid w:val="00D932EB"/>
    <w:rsid w:val="00D934C9"/>
    <w:rsid w:val="00D9394E"/>
    <w:rsid w:val="00D93A6D"/>
    <w:rsid w:val="00D93BD0"/>
    <w:rsid w:val="00D93E39"/>
    <w:rsid w:val="00D94009"/>
    <w:rsid w:val="00D94017"/>
    <w:rsid w:val="00D94098"/>
    <w:rsid w:val="00D94301"/>
    <w:rsid w:val="00D9445D"/>
    <w:rsid w:val="00D946BC"/>
    <w:rsid w:val="00D94FF8"/>
    <w:rsid w:val="00D9515E"/>
    <w:rsid w:val="00D951A6"/>
    <w:rsid w:val="00D95221"/>
    <w:rsid w:val="00D954AA"/>
    <w:rsid w:val="00D95906"/>
    <w:rsid w:val="00D9595F"/>
    <w:rsid w:val="00D95B57"/>
    <w:rsid w:val="00D95BDC"/>
    <w:rsid w:val="00D95CDA"/>
    <w:rsid w:val="00D95E3F"/>
    <w:rsid w:val="00D9605A"/>
    <w:rsid w:val="00D9634A"/>
    <w:rsid w:val="00D9635E"/>
    <w:rsid w:val="00D9675E"/>
    <w:rsid w:val="00D96978"/>
    <w:rsid w:val="00D96D11"/>
    <w:rsid w:val="00D9710F"/>
    <w:rsid w:val="00D9765A"/>
    <w:rsid w:val="00D97949"/>
    <w:rsid w:val="00D979C2"/>
    <w:rsid w:val="00D97AAB"/>
    <w:rsid w:val="00D97E0B"/>
    <w:rsid w:val="00DA03BD"/>
    <w:rsid w:val="00DA0596"/>
    <w:rsid w:val="00DA0E12"/>
    <w:rsid w:val="00DA0F7A"/>
    <w:rsid w:val="00DA0FA0"/>
    <w:rsid w:val="00DA17E0"/>
    <w:rsid w:val="00DA18CB"/>
    <w:rsid w:val="00DA2063"/>
    <w:rsid w:val="00DA25D2"/>
    <w:rsid w:val="00DA2652"/>
    <w:rsid w:val="00DA2B20"/>
    <w:rsid w:val="00DA2CEE"/>
    <w:rsid w:val="00DA2EA5"/>
    <w:rsid w:val="00DA2F7E"/>
    <w:rsid w:val="00DA315E"/>
    <w:rsid w:val="00DA33E5"/>
    <w:rsid w:val="00DA35BD"/>
    <w:rsid w:val="00DA39D4"/>
    <w:rsid w:val="00DA39F4"/>
    <w:rsid w:val="00DA3BF1"/>
    <w:rsid w:val="00DA3C13"/>
    <w:rsid w:val="00DA41D3"/>
    <w:rsid w:val="00DA457F"/>
    <w:rsid w:val="00DA45BD"/>
    <w:rsid w:val="00DA471C"/>
    <w:rsid w:val="00DA4EC6"/>
    <w:rsid w:val="00DA4EDC"/>
    <w:rsid w:val="00DA51E1"/>
    <w:rsid w:val="00DA5615"/>
    <w:rsid w:val="00DA59B6"/>
    <w:rsid w:val="00DA632A"/>
    <w:rsid w:val="00DA6D6A"/>
    <w:rsid w:val="00DA7466"/>
    <w:rsid w:val="00DA76A9"/>
    <w:rsid w:val="00DA76C9"/>
    <w:rsid w:val="00DA77E1"/>
    <w:rsid w:val="00DA7954"/>
    <w:rsid w:val="00DA7A03"/>
    <w:rsid w:val="00DA7DDE"/>
    <w:rsid w:val="00DB0678"/>
    <w:rsid w:val="00DB0D6C"/>
    <w:rsid w:val="00DB0DB8"/>
    <w:rsid w:val="00DB1117"/>
    <w:rsid w:val="00DB13E4"/>
    <w:rsid w:val="00DB1818"/>
    <w:rsid w:val="00DB19F5"/>
    <w:rsid w:val="00DB2E7E"/>
    <w:rsid w:val="00DB3173"/>
    <w:rsid w:val="00DB352B"/>
    <w:rsid w:val="00DB36F9"/>
    <w:rsid w:val="00DB3C04"/>
    <w:rsid w:val="00DB4559"/>
    <w:rsid w:val="00DB4B14"/>
    <w:rsid w:val="00DB4BC6"/>
    <w:rsid w:val="00DB4D7F"/>
    <w:rsid w:val="00DB663B"/>
    <w:rsid w:val="00DB67C8"/>
    <w:rsid w:val="00DB6B64"/>
    <w:rsid w:val="00DB6DE2"/>
    <w:rsid w:val="00DB73A2"/>
    <w:rsid w:val="00DB73D2"/>
    <w:rsid w:val="00DB742C"/>
    <w:rsid w:val="00DB7E32"/>
    <w:rsid w:val="00DC1185"/>
    <w:rsid w:val="00DC1A3A"/>
    <w:rsid w:val="00DC1EF8"/>
    <w:rsid w:val="00DC226E"/>
    <w:rsid w:val="00DC2B0E"/>
    <w:rsid w:val="00DC2E06"/>
    <w:rsid w:val="00DC2E07"/>
    <w:rsid w:val="00DC309B"/>
    <w:rsid w:val="00DC3802"/>
    <w:rsid w:val="00DC3A63"/>
    <w:rsid w:val="00DC3F56"/>
    <w:rsid w:val="00DC4503"/>
    <w:rsid w:val="00DC4DA2"/>
    <w:rsid w:val="00DC4EEE"/>
    <w:rsid w:val="00DC4F18"/>
    <w:rsid w:val="00DC502F"/>
    <w:rsid w:val="00DC5261"/>
    <w:rsid w:val="00DC566E"/>
    <w:rsid w:val="00DC5A5B"/>
    <w:rsid w:val="00DC5CEF"/>
    <w:rsid w:val="00DC640E"/>
    <w:rsid w:val="00DC6490"/>
    <w:rsid w:val="00DC6614"/>
    <w:rsid w:val="00DC6CEC"/>
    <w:rsid w:val="00DC6DFC"/>
    <w:rsid w:val="00DC751E"/>
    <w:rsid w:val="00DC759B"/>
    <w:rsid w:val="00DC7895"/>
    <w:rsid w:val="00DC7CC2"/>
    <w:rsid w:val="00DD0306"/>
    <w:rsid w:val="00DD06CE"/>
    <w:rsid w:val="00DD07B4"/>
    <w:rsid w:val="00DD0A09"/>
    <w:rsid w:val="00DD2078"/>
    <w:rsid w:val="00DD22C4"/>
    <w:rsid w:val="00DD25E1"/>
    <w:rsid w:val="00DD261C"/>
    <w:rsid w:val="00DD287B"/>
    <w:rsid w:val="00DD32F9"/>
    <w:rsid w:val="00DD3513"/>
    <w:rsid w:val="00DD38A9"/>
    <w:rsid w:val="00DD3CD9"/>
    <w:rsid w:val="00DD3F48"/>
    <w:rsid w:val="00DD4037"/>
    <w:rsid w:val="00DD46AF"/>
    <w:rsid w:val="00DD4748"/>
    <w:rsid w:val="00DD477F"/>
    <w:rsid w:val="00DD4A47"/>
    <w:rsid w:val="00DD4ABA"/>
    <w:rsid w:val="00DD4E18"/>
    <w:rsid w:val="00DD4EFD"/>
    <w:rsid w:val="00DD4F2B"/>
    <w:rsid w:val="00DD50A0"/>
    <w:rsid w:val="00DD52AB"/>
    <w:rsid w:val="00DD56FE"/>
    <w:rsid w:val="00DD575B"/>
    <w:rsid w:val="00DD676E"/>
    <w:rsid w:val="00DD682F"/>
    <w:rsid w:val="00DD6842"/>
    <w:rsid w:val="00DD6CD8"/>
    <w:rsid w:val="00DD7D9F"/>
    <w:rsid w:val="00DE0C14"/>
    <w:rsid w:val="00DE112A"/>
    <w:rsid w:val="00DE11A1"/>
    <w:rsid w:val="00DE174F"/>
    <w:rsid w:val="00DE1C67"/>
    <w:rsid w:val="00DE2432"/>
    <w:rsid w:val="00DE25D2"/>
    <w:rsid w:val="00DE276A"/>
    <w:rsid w:val="00DE287D"/>
    <w:rsid w:val="00DE2CDD"/>
    <w:rsid w:val="00DE2FE4"/>
    <w:rsid w:val="00DE31AA"/>
    <w:rsid w:val="00DE3725"/>
    <w:rsid w:val="00DE38EC"/>
    <w:rsid w:val="00DE3B3E"/>
    <w:rsid w:val="00DE42EC"/>
    <w:rsid w:val="00DE4329"/>
    <w:rsid w:val="00DE4A44"/>
    <w:rsid w:val="00DE5334"/>
    <w:rsid w:val="00DE57F8"/>
    <w:rsid w:val="00DE5C93"/>
    <w:rsid w:val="00DE6C37"/>
    <w:rsid w:val="00DE6CCB"/>
    <w:rsid w:val="00DE6DA3"/>
    <w:rsid w:val="00DE7750"/>
    <w:rsid w:val="00DE7C1C"/>
    <w:rsid w:val="00DE7EAA"/>
    <w:rsid w:val="00DF00BD"/>
    <w:rsid w:val="00DF047F"/>
    <w:rsid w:val="00DF04B5"/>
    <w:rsid w:val="00DF06DA"/>
    <w:rsid w:val="00DF08B1"/>
    <w:rsid w:val="00DF0B99"/>
    <w:rsid w:val="00DF1BD6"/>
    <w:rsid w:val="00DF202A"/>
    <w:rsid w:val="00DF20CA"/>
    <w:rsid w:val="00DF28E7"/>
    <w:rsid w:val="00DF2B1D"/>
    <w:rsid w:val="00DF3357"/>
    <w:rsid w:val="00DF3DCD"/>
    <w:rsid w:val="00DF3E61"/>
    <w:rsid w:val="00DF4291"/>
    <w:rsid w:val="00DF4691"/>
    <w:rsid w:val="00DF4890"/>
    <w:rsid w:val="00DF4B9B"/>
    <w:rsid w:val="00DF53DF"/>
    <w:rsid w:val="00DF598E"/>
    <w:rsid w:val="00DF5D3C"/>
    <w:rsid w:val="00DF61A5"/>
    <w:rsid w:val="00DF61CE"/>
    <w:rsid w:val="00DF623F"/>
    <w:rsid w:val="00DF655F"/>
    <w:rsid w:val="00DF7B02"/>
    <w:rsid w:val="00DF7B4A"/>
    <w:rsid w:val="00DF7C20"/>
    <w:rsid w:val="00E0074D"/>
    <w:rsid w:val="00E0080D"/>
    <w:rsid w:val="00E00D79"/>
    <w:rsid w:val="00E00D98"/>
    <w:rsid w:val="00E0126C"/>
    <w:rsid w:val="00E01314"/>
    <w:rsid w:val="00E014ED"/>
    <w:rsid w:val="00E015C9"/>
    <w:rsid w:val="00E01740"/>
    <w:rsid w:val="00E01CE6"/>
    <w:rsid w:val="00E02588"/>
    <w:rsid w:val="00E026E5"/>
    <w:rsid w:val="00E02A5C"/>
    <w:rsid w:val="00E02CF5"/>
    <w:rsid w:val="00E02FCE"/>
    <w:rsid w:val="00E03197"/>
    <w:rsid w:val="00E0340A"/>
    <w:rsid w:val="00E034D7"/>
    <w:rsid w:val="00E0352B"/>
    <w:rsid w:val="00E036BF"/>
    <w:rsid w:val="00E038FB"/>
    <w:rsid w:val="00E03B33"/>
    <w:rsid w:val="00E03F7D"/>
    <w:rsid w:val="00E0466B"/>
    <w:rsid w:val="00E0486C"/>
    <w:rsid w:val="00E04CAE"/>
    <w:rsid w:val="00E05261"/>
    <w:rsid w:val="00E05D0A"/>
    <w:rsid w:val="00E05DD9"/>
    <w:rsid w:val="00E05E35"/>
    <w:rsid w:val="00E0606D"/>
    <w:rsid w:val="00E06398"/>
    <w:rsid w:val="00E0663B"/>
    <w:rsid w:val="00E06A3C"/>
    <w:rsid w:val="00E06F9F"/>
    <w:rsid w:val="00E075B7"/>
    <w:rsid w:val="00E075FD"/>
    <w:rsid w:val="00E07C07"/>
    <w:rsid w:val="00E07C6B"/>
    <w:rsid w:val="00E07D66"/>
    <w:rsid w:val="00E10530"/>
    <w:rsid w:val="00E1060F"/>
    <w:rsid w:val="00E10839"/>
    <w:rsid w:val="00E10CB6"/>
    <w:rsid w:val="00E10E2E"/>
    <w:rsid w:val="00E11497"/>
    <w:rsid w:val="00E114BC"/>
    <w:rsid w:val="00E11829"/>
    <w:rsid w:val="00E11858"/>
    <w:rsid w:val="00E11BD9"/>
    <w:rsid w:val="00E11CFF"/>
    <w:rsid w:val="00E1202B"/>
    <w:rsid w:val="00E12314"/>
    <w:rsid w:val="00E12A29"/>
    <w:rsid w:val="00E12C01"/>
    <w:rsid w:val="00E12E69"/>
    <w:rsid w:val="00E1409A"/>
    <w:rsid w:val="00E14846"/>
    <w:rsid w:val="00E14C2B"/>
    <w:rsid w:val="00E14E7E"/>
    <w:rsid w:val="00E15124"/>
    <w:rsid w:val="00E1525C"/>
    <w:rsid w:val="00E1533F"/>
    <w:rsid w:val="00E1544E"/>
    <w:rsid w:val="00E155FC"/>
    <w:rsid w:val="00E1594E"/>
    <w:rsid w:val="00E15A52"/>
    <w:rsid w:val="00E15C7A"/>
    <w:rsid w:val="00E15CF6"/>
    <w:rsid w:val="00E15D67"/>
    <w:rsid w:val="00E16252"/>
    <w:rsid w:val="00E1639A"/>
    <w:rsid w:val="00E164BE"/>
    <w:rsid w:val="00E16A7B"/>
    <w:rsid w:val="00E172CA"/>
    <w:rsid w:val="00E172CD"/>
    <w:rsid w:val="00E17A49"/>
    <w:rsid w:val="00E17DFA"/>
    <w:rsid w:val="00E17FDA"/>
    <w:rsid w:val="00E2013E"/>
    <w:rsid w:val="00E20370"/>
    <w:rsid w:val="00E206BF"/>
    <w:rsid w:val="00E20CA8"/>
    <w:rsid w:val="00E20F57"/>
    <w:rsid w:val="00E21525"/>
    <w:rsid w:val="00E216FB"/>
    <w:rsid w:val="00E2198B"/>
    <w:rsid w:val="00E219BA"/>
    <w:rsid w:val="00E21BB9"/>
    <w:rsid w:val="00E22062"/>
    <w:rsid w:val="00E22919"/>
    <w:rsid w:val="00E2315F"/>
    <w:rsid w:val="00E2340B"/>
    <w:rsid w:val="00E23517"/>
    <w:rsid w:val="00E2403E"/>
    <w:rsid w:val="00E24677"/>
    <w:rsid w:val="00E24E79"/>
    <w:rsid w:val="00E25134"/>
    <w:rsid w:val="00E254FE"/>
    <w:rsid w:val="00E25819"/>
    <w:rsid w:val="00E2589E"/>
    <w:rsid w:val="00E258DC"/>
    <w:rsid w:val="00E25C47"/>
    <w:rsid w:val="00E260A9"/>
    <w:rsid w:val="00E26408"/>
    <w:rsid w:val="00E265D9"/>
    <w:rsid w:val="00E27A9E"/>
    <w:rsid w:val="00E30436"/>
    <w:rsid w:val="00E30525"/>
    <w:rsid w:val="00E30593"/>
    <w:rsid w:val="00E309EF"/>
    <w:rsid w:val="00E30AB4"/>
    <w:rsid w:val="00E30B24"/>
    <w:rsid w:val="00E30D29"/>
    <w:rsid w:val="00E31744"/>
    <w:rsid w:val="00E31840"/>
    <w:rsid w:val="00E31977"/>
    <w:rsid w:val="00E31C4A"/>
    <w:rsid w:val="00E31EFB"/>
    <w:rsid w:val="00E31FBD"/>
    <w:rsid w:val="00E3203B"/>
    <w:rsid w:val="00E32E5D"/>
    <w:rsid w:val="00E3353A"/>
    <w:rsid w:val="00E33F07"/>
    <w:rsid w:val="00E33F22"/>
    <w:rsid w:val="00E34813"/>
    <w:rsid w:val="00E34F2A"/>
    <w:rsid w:val="00E356CE"/>
    <w:rsid w:val="00E3586D"/>
    <w:rsid w:val="00E35CB8"/>
    <w:rsid w:val="00E35E22"/>
    <w:rsid w:val="00E36440"/>
    <w:rsid w:val="00E364E2"/>
    <w:rsid w:val="00E36F4B"/>
    <w:rsid w:val="00E37019"/>
    <w:rsid w:val="00E376B6"/>
    <w:rsid w:val="00E37CF8"/>
    <w:rsid w:val="00E37D64"/>
    <w:rsid w:val="00E37E09"/>
    <w:rsid w:val="00E40525"/>
    <w:rsid w:val="00E4088D"/>
    <w:rsid w:val="00E40ACC"/>
    <w:rsid w:val="00E40CDC"/>
    <w:rsid w:val="00E40CE5"/>
    <w:rsid w:val="00E40E02"/>
    <w:rsid w:val="00E40E2A"/>
    <w:rsid w:val="00E41316"/>
    <w:rsid w:val="00E41367"/>
    <w:rsid w:val="00E41778"/>
    <w:rsid w:val="00E41B7E"/>
    <w:rsid w:val="00E422E6"/>
    <w:rsid w:val="00E422F2"/>
    <w:rsid w:val="00E4287B"/>
    <w:rsid w:val="00E437B1"/>
    <w:rsid w:val="00E43A30"/>
    <w:rsid w:val="00E43B3D"/>
    <w:rsid w:val="00E44450"/>
    <w:rsid w:val="00E44C40"/>
    <w:rsid w:val="00E452FB"/>
    <w:rsid w:val="00E457B3"/>
    <w:rsid w:val="00E45BEB"/>
    <w:rsid w:val="00E45D5C"/>
    <w:rsid w:val="00E45D88"/>
    <w:rsid w:val="00E461CC"/>
    <w:rsid w:val="00E468CE"/>
    <w:rsid w:val="00E4696D"/>
    <w:rsid w:val="00E4699D"/>
    <w:rsid w:val="00E46C08"/>
    <w:rsid w:val="00E46EF2"/>
    <w:rsid w:val="00E46F9F"/>
    <w:rsid w:val="00E471CF"/>
    <w:rsid w:val="00E47442"/>
    <w:rsid w:val="00E4748A"/>
    <w:rsid w:val="00E47797"/>
    <w:rsid w:val="00E47974"/>
    <w:rsid w:val="00E47B0E"/>
    <w:rsid w:val="00E50B5C"/>
    <w:rsid w:val="00E50CF6"/>
    <w:rsid w:val="00E510CF"/>
    <w:rsid w:val="00E513D1"/>
    <w:rsid w:val="00E51C32"/>
    <w:rsid w:val="00E51D1A"/>
    <w:rsid w:val="00E51ED5"/>
    <w:rsid w:val="00E52323"/>
    <w:rsid w:val="00E5247A"/>
    <w:rsid w:val="00E5258F"/>
    <w:rsid w:val="00E5269C"/>
    <w:rsid w:val="00E527EF"/>
    <w:rsid w:val="00E53286"/>
    <w:rsid w:val="00E535C5"/>
    <w:rsid w:val="00E535C9"/>
    <w:rsid w:val="00E54458"/>
    <w:rsid w:val="00E5454D"/>
    <w:rsid w:val="00E54965"/>
    <w:rsid w:val="00E54FC8"/>
    <w:rsid w:val="00E550D1"/>
    <w:rsid w:val="00E55478"/>
    <w:rsid w:val="00E562D2"/>
    <w:rsid w:val="00E5637D"/>
    <w:rsid w:val="00E5691F"/>
    <w:rsid w:val="00E56E1C"/>
    <w:rsid w:val="00E56E9A"/>
    <w:rsid w:val="00E570E1"/>
    <w:rsid w:val="00E57222"/>
    <w:rsid w:val="00E5727D"/>
    <w:rsid w:val="00E573AE"/>
    <w:rsid w:val="00E57514"/>
    <w:rsid w:val="00E57694"/>
    <w:rsid w:val="00E577A6"/>
    <w:rsid w:val="00E60343"/>
    <w:rsid w:val="00E605B2"/>
    <w:rsid w:val="00E611AE"/>
    <w:rsid w:val="00E61435"/>
    <w:rsid w:val="00E61F5C"/>
    <w:rsid w:val="00E62011"/>
    <w:rsid w:val="00E62042"/>
    <w:rsid w:val="00E627CF"/>
    <w:rsid w:val="00E62835"/>
    <w:rsid w:val="00E62ABB"/>
    <w:rsid w:val="00E62ACF"/>
    <w:rsid w:val="00E62C9B"/>
    <w:rsid w:val="00E62CD3"/>
    <w:rsid w:val="00E63530"/>
    <w:rsid w:val="00E638F2"/>
    <w:rsid w:val="00E640B0"/>
    <w:rsid w:val="00E64195"/>
    <w:rsid w:val="00E64512"/>
    <w:rsid w:val="00E6480E"/>
    <w:rsid w:val="00E64D26"/>
    <w:rsid w:val="00E64D38"/>
    <w:rsid w:val="00E65680"/>
    <w:rsid w:val="00E656FE"/>
    <w:rsid w:val="00E659FA"/>
    <w:rsid w:val="00E65C54"/>
    <w:rsid w:val="00E65F75"/>
    <w:rsid w:val="00E66132"/>
    <w:rsid w:val="00E66607"/>
    <w:rsid w:val="00E66AFE"/>
    <w:rsid w:val="00E66C00"/>
    <w:rsid w:val="00E6743E"/>
    <w:rsid w:val="00E67F3B"/>
    <w:rsid w:val="00E67FE3"/>
    <w:rsid w:val="00E7061A"/>
    <w:rsid w:val="00E70877"/>
    <w:rsid w:val="00E71411"/>
    <w:rsid w:val="00E71DA6"/>
    <w:rsid w:val="00E72044"/>
    <w:rsid w:val="00E7224C"/>
    <w:rsid w:val="00E724CE"/>
    <w:rsid w:val="00E730A1"/>
    <w:rsid w:val="00E7406E"/>
    <w:rsid w:val="00E74186"/>
    <w:rsid w:val="00E743D5"/>
    <w:rsid w:val="00E74542"/>
    <w:rsid w:val="00E748E1"/>
    <w:rsid w:val="00E74958"/>
    <w:rsid w:val="00E74A63"/>
    <w:rsid w:val="00E74E08"/>
    <w:rsid w:val="00E75141"/>
    <w:rsid w:val="00E7523D"/>
    <w:rsid w:val="00E752AD"/>
    <w:rsid w:val="00E7564D"/>
    <w:rsid w:val="00E76597"/>
    <w:rsid w:val="00E765CA"/>
    <w:rsid w:val="00E772CC"/>
    <w:rsid w:val="00E77645"/>
    <w:rsid w:val="00E77AAF"/>
    <w:rsid w:val="00E77AF4"/>
    <w:rsid w:val="00E77B10"/>
    <w:rsid w:val="00E77D35"/>
    <w:rsid w:val="00E8099B"/>
    <w:rsid w:val="00E81324"/>
    <w:rsid w:val="00E814C5"/>
    <w:rsid w:val="00E8174B"/>
    <w:rsid w:val="00E81D5F"/>
    <w:rsid w:val="00E81F7E"/>
    <w:rsid w:val="00E81FB2"/>
    <w:rsid w:val="00E82442"/>
    <w:rsid w:val="00E82802"/>
    <w:rsid w:val="00E83697"/>
    <w:rsid w:val="00E836E3"/>
    <w:rsid w:val="00E83950"/>
    <w:rsid w:val="00E83A94"/>
    <w:rsid w:val="00E83DDF"/>
    <w:rsid w:val="00E841E1"/>
    <w:rsid w:val="00E84223"/>
    <w:rsid w:val="00E84244"/>
    <w:rsid w:val="00E84472"/>
    <w:rsid w:val="00E845DA"/>
    <w:rsid w:val="00E84A60"/>
    <w:rsid w:val="00E859B6"/>
    <w:rsid w:val="00E85A9D"/>
    <w:rsid w:val="00E85F7C"/>
    <w:rsid w:val="00E868A6"/>
    <w:rsid w:val="00E869B8"/>
    <w:rsid w:val="00E86C25"/>
    <w:rsid w:val="00E870E8"/>
    <w:rsid w:val="00E87284"/>
    <w:rsid w:val="00E87743"/>
    <w:rsid w:val="00E87757"/>
    <w:rsid w:val="00E90040"/>
    <w:rsid w:val="00E9012B"/>
    <w:rsid w:val="00E901F0"/>
    <w:rsid w:val="00E90D47"/>
    <w:rsid w:val="00E9120A"/>
    <w:rsid w:val="00E91548"/>
    <w:rsid w:val="00E91610"/>
    <w:rsid w:val="00E9188F"/>
    <w:rsid w:val="00E91A08"/>
    <w:rsid w:val="00E91BFE"/>
    <w:rsid w:val="00E9253B"/>
    <w:rsid w:val="00E925FA"/>
    <w:rsid w:val="00E927C8"/>
    <w:rsid w:val="00E9291E"/>
    <w:rsid w:val="00E92A6F"/>
    <w:rsid w:val="00E92AE1"/>
    <w:rsid w:val="00E92CFF"/>
    <w:rsid w:val="00E93000"/>
    <w:rsid w:val="00E93005"/>
    <w:rsid w:val="00E9316D"/>
    <w:rsid w:val="00E9349F"/>
    <w:rsid w:val="00E93517"/>
    <w:rsid w:val="00E93883"/>
    <w:rsid w:val="00E9424D"/>
    <w:rsid w:val="00E9465F"/>
    <w:rsid w:val="00E94F2A"/>
    <w:rsid w:val="00E94FF2"/>
    <w:rsid w:val="00E951E4"/>
    <w:rsid w:val="00E9521C"/>
    <w:rsid w:val="00E955DD"/>
    <w:rsid w:val="00E95835"/>
    <w:rsid w:val="00E95BC3"/>
    <w:rsid w:val="00E95D67"/>
    <w:rsid w:val="00E9606E"/>
    <w:rsid w:val="00E9629D"/>
    <w:rsid w:val="00E96364"/>
    <w:rsid w:val="00E9650B"/>
    <w:rsid w:val="00E96641"/>
    <w:rsid w:val="00E96665"/>
    <w:rsid w:val="00E969A7"/>
    <w:rsid w:val="00E9705D"/>
    <w:rsid w:val="00E9719C"/>
    <w:rsid w:val="00E977A2"/>
    <w:rsid w:val="00E97B29"/>
    <w:rsid w:val="00EA002D"/>
    <w:rsid w:val="00EA0782"/>
    <w:rsid w:val="00EA0AAC"/>
    <w:rsid w:val="00EA0F14"/>
    <w:rsid w:val="00EA1131"/>
    <w:rsid w:val="00EA1162"/>
    <w:rsid w:val="00EA1538"/>
    <w:rsid w:val="00EA1580"/>
    <w:rsid w:val="00EA1907"/>
    <w:rsid w:val="00EA2126"/>
    <w:rsid w:val="00EA2129"/>
    <w:rsid w:val="00EA2185"/>
    <w:rsid w:val="00EA25AA"/>
    <w:rsid w:val="00EA27B6"/>
    <w:rsid w:val="00EA2A01"/>
    <w:rsid w:val="00EA2B71"/>
    <w:rsid w:val="00EA2EE6"/>
    <w:rsid w:val="00EA3649"/>
    <w:rsid w:val="00EA3C91"/>
    <w:rsid w:val="00EA3D90"/>
    <w:rsid w:val="00EA3E33"/>
    <w:rsid w:val="00EA4391"/>
    <w:rsid w:val="00EA4781"/>
    <w:rsid w:val="00EA4B7F"/>
    <w:rsid w:val="00EA5297"/>
    <w:rsid w:val="00EA5FED"/>
    <w:rsid w:val="00EA6238"/>
    <w:rsid w:val="00EA62A7"/>
    <w:rsid w:val="00EA6443"/>
    <w:rsid w:val="00EA6614"/>
    <w:rsid w:val="00EA66C9"/>
    <w:rsid w:val="00EA6799"/>
    <w:rsid w:val="00EA75E0"/>
    <w:rsid w:val="00EA77D7"/>
    <w:rsid w:val="00EA79CC"/>
    <w:rsid w:val="00EA7BC7"/>
    <w:rsid w:val="00EB00B4"/>
    <w:rsid w:val="00EB08AC"/>
    <w:rsid w:val="00EB0992"/>
    <w:rsid w:val="00EB0C61"/>
    <w:rsid w:val="00EB0F08"/>
    <w:rsid w:val="00EB10B9"/>
    <w:rsid w:val="00EB1E48"/>
    <w:rsid w:val="00EB2188"/>
    <w:rsid w:val="00EB2270"/>
    <w:rsid w:val="00EB2453"/>
    <w:rsid w:val="00EB2828"/>
    <w:rsid w:val="00EB29DD"/>
    <w:rsid w:val="00EB2B61"/>
    <w:rsid w:val="00EB2E7E"/>
    <w:rsid w:val="00EB3202"/>
    <w:rsid w:val="00EB3281"/>
    <w:rsid w:val="00EB3762"/>
    <w:rsid w:val="00EB388F"/>
    <w:rsid w:val="00EB3C03"/>
    <w:rsid w:val="00EB4166"/>
    <w:rsid w:val="00EB446D"/>
    <w:rsid w:val="00EB4D1F"/>
    <w:rsid w:val="00EB552C"/>
    <w:rsid w:val="00EB556C"/>
    <w:rsid w:val="00EB5C34"/>
    <w:rsid w:val="00EB5CD2"/>
    <w:rsid w:val="00EB5D32"/>
    <w:rsid w:val="00EB5D89"/>
    <w:rsid w:val="00EB67F6"/>
    <w:rsid w:val="00EB6A07"/>
    <w:rsid w:val="00EB6A20"/>
    <w:rsid w:val="00EB6C11"/>
    <w:rsid w:val="00EB6FFB"/>
    <w:rsid w:val="00EB7208"/>
    <w:rsid w:val="00EB7713"/>
    <w:rsid w:val="00EB7764"/>
    <w:rsid w:val="00EB7D3B"/>
    <w:rsid w:val="00EC013F"/>
    <w:rsid w:val="00EC019A"/>
    <w:rsid w:val="00EC03F1"/>
    <w:rsid w:val="00EC05B5"/>
    <w:rsid w:val="00EC0915"/>
    <w:rsid w:val="00EC0944"/>
    <w:rsid w:val="00EC0F48"/>
    <w:rsid w:val="00EC12C2"/>
    <w:rsid w:val="00EC1E9A"/>
    <w:rsid w:val="00EC1E9C"/>
    <w:rsid w:val="00EC22F4"/>
    <w:rsid w:val="00EC26C5"/>
    <w:rsid w:val="00EC293A"/>
    <w:rsid w:val="00EC2F99"/>
    <w:rsid w:val="00EC2FD2"/>
    <w:rsid w:val="00EC3D46"/>
    <w:rsid w:val="00EC4A25"/>
    <w:rsid w:val="00EC4F9F"/>
    <w:rsid w:val="00EC4FDC"/>
    <w:rsid w:val="00EC4FE6"/>
    <w:rsid w:val="00EC5091"/>
    <w:rsid w:val="00EC622D"/>
    <w:rsid w:val="00EC6286"/>
    <w:rsid w:val="00EC6442"/>
    <w:rsid w:val="00EC6CD3"/>
    <w:rsid w:val="00EC76AA"/>
    <w:rsid w:val="00EC77B7"/>
    <w:rsid w:val="00EC77E7"/>
    <w:rsid w:val="00EC7B8A"/>
    <w:rsid w:val="00ED00AB"/>
    <w:rsid w:val="00ED0117"/>
    <w:rsid w:val="00ED0231"/>
    <w:rsid w:val="00ED0253"/>
    <w:rsid w:val="00ED0876"/>
    <w:rsid w:val="00ED0EBF"/>
    <w:rsid w:val="00ED0F52"/>
    <w:rsid w:val="00ED1285"/>
    <w:rsid w:val="00ED1C7C"/>
    <w:rsid w:val="00ED1D1A"/>
    <w:rsid w:val="00ED2FB2"/>
    <w:rsid w:val="00ED412B"/>
    <w:rsid w:val="00ED42A0"/>
    <w:rsid w:val="00ED44CB"/>
    <w:rsid w:val="00ED5060"/>
    <w:rsid w:val="00ED511E"/>
    <w:rsid w:val="00ED5222"/>
    <w:rsid w:val="00ED524E"/>
    <w:rsid w:val="00ED52FE"/>
    <w:rsid w:val="00ED5338"/>
    <w:rsid w:val="00ED53A1"/>
    <w:rsid w:val="00ED57FE"/>
    <w:rsid w:val="00ED5C89"/>
    <w:rsid w:val="00ED5EB2"/>
    <w:rsid w:val="00ED5F7E"/>
    <w:rsid w:val="00ED68D0"/>
    <w:rsid w:val="00ED71FE"/>
    <w:rsid w:val="00ED73F5"/>
    <w:rsid w:val="00ED7436"/>
    <w:rsid w:val="00ED7463"/>
    <w:rsid w:val="00ED7A80"/>
    <w:rsid w:val="00EE00F2"/>
    <w:rsid w:val="00EE08AC"/>
    <w:rsid w:val="00EE143D"/>
    <w:rsid w:val="00EE165B"/>
    <w:rsid w:val="00EE168D"/>
    <w:rsid w:val="00EE184D"/>
    <w:rsid w:val="00EE193E"/>
    <w:rsid w:val="00EE1AF4"/>
    <w:rsid w:val="00EE1ECD"/>
    <w:rsid w:val="00EE2144"/>
    <w:rsid w:val="00EE22A6"/>
    <w:rsid w:val="00EE2410"/>
    <w:rsid w:val="00EE2877"/>
    <w:rsid w:val="00EE28B3"/>
    <w:rsid w:val="00EE28DC"/>
    <w:rsid w:val="00EE2A8B"/>
    <w:rsid w:val="00EE3161"/>
    <w:rsid w:val="00EE317F"/>
    <w:rsid w:val="00EE318B"/>
    <w:rsid w:val="00EE3966"/>
    <w:rsid w:val="00EE3B0B"/>
    <w:rsid w:val="00EE4594"/>
    <w:rsid w:val="00EE5403"/>
    <w:rsid w:val="00EE5CC1"/>
    <w:rsid w:val="00EE6062"/>
    <w:rsid w:val="00EE60BE"/>
    <w:rsid w:val="00EE6175"/>
    <w:rsid w:val="00EE6414"/>
    <w:rsid w:val="00EE6838"/>
    <w:rsid w:val="00EE6ACE"/>
    <w:rsid w:val="00EE6E0D"/>
    <w:rsid w:val="00EE709E"/>
    <w:rsid w:val="00EE74C4"/>
    <w:rsid w:val="00EE783A"/>
    <w:rsid w:val="00EE78F3"/>
    <w:rsid w:val="00EE7FE7"/>
    <w:rsid w:val="00EF00B3"/>
    <w:rsid w:val="00EF03B5"/>
    <w:rsid w:val="00EF03D8"/>
    <w:rsid w:val="00EF091D"/>
    <w:rsid w:val="00EF0F9F"/>
    <w:rsid w:val="00EF106B"/>
    <w:rsid w:val="00EF118B"/>
    <w:rsid w:val="00EF11E9"/>
    <w:rsid w:val="00EF155C"/>
    <w:rsid w:val="00EF15C1"/>
    <w:rsid w:val="00EF192D"/>
    <w:rsid w:val="00EF1DDE"/>
    <w:rsid w:val="00EF2D6D"/>
    <w:rsid w:val="00EF3021"/>
    <w:rsid w:val="00EF3253"/>
    <w:rsid w:val="00EF3992"/>
    <w:rsid w:val="00EF3B98"/>
    <w:rsid w:val="00EF3E78"/>
    <w:rsid w:val="00EF43AA"/>
    <w:rsid w:val="00EF454D"/>
    <w:rsid w:val="00EF4C17"/>
    <w:rsid w:val="00EF540B"/>
    <w:rsid w:val="00EF5578"/>
    <w:rsid w:val="00EF574F"/>
    <w:rsid w:val="00EF5C5A"/>
    <w:rsid w:val="00EF5ECE"/>
    <w:rsid w:val="00EF612C"/>
    <w:rsid w:val="00EF6149"/>
    <w:rsid w:val="00EF61F1"/>
    <w:rsid w:val="00EF6558"/>
    <w:rsid w:val="00EF67B6"/>
    <w:rsid w:val="00EF6814"/>
    <w:rsid w:val="00EF6C36"/>
    <w:rsid w:val="00EF7175"/>
    <w:rsid w:val="00EF7BB1"/>
    <w:rsid w:val="00EF7E86"/>
    <w:rsid w:val="00F00104"/>
    <w:rsid w:val="00F006EC"/>
    <w:rsid w:val="00F00C06"/>
    <w:rsid w:val="00F0146B"/>
    <w:rsid w:val="00F01725"/>
    <w:rsid w:val="00F025A2"/>
    <w:rsid w:val="00F026A8"/>
    <w:rsid w:val="00F02805"/>
    <w:rsid w:val="00F036E9"/>
    <w:rsid w:val="00F03B99"/>
    <w:rsid w:val="00F03BFF"/>
    <w:rsid w:val="00F03D20"/>
    <w:rsid w:val="00F0403A"/>
    <w:rsid w:val="00F0444A"/>
    <w:rsid w:val="00F04586"/>
    <w:rsid w:val="00F0462E"/>
    <w:rsid w:val="00F04695"/>
    <w:rsid w:val="00F04CB5"/>
    <w:rsid w:val="00F04E40"/>
    <w:rsid w:val="00F05168"/>
    <w:rsid w:val="00F0558B"/>
    <w:rsid w:val="00F05A37"/>
    <w:rsid w:val="00F05B46"/>
    <w:rsid w:val="00F05DEE"/>
    <w:rsid w:val="00F05E77"/>
    <w:rsid w:val="00F063A1"/>
    <w:rsid w:val="00F064F7"/>
    <w:rsid w:val="00F065CF"/>
    <w:rsid w:val="00F06683"/>
    <w:rsid w:val="00F06FB8"/>
    <w:rsid w:val="00F07388"/>
    <w:rsid w:val="00F07C50"/>
    <w:rsid w:val="00F10278"/>
    <w:rsid w:val="00F10295"/>
    <w:rsid w:val="00F107F3"/>
    <w:rsid w:val="00F10860"/>
    <w:rsid w:val="00F109D3"/>
    <w:rsid w:val="00F109E2"/>
    <w:rsid w:val="00F11898"/>
    <w:rsid w:val="00F11C8D"/>
    <w:rsid w:val="00F1243C"/>
    <w:rsid w:val="00F12C06"/>
    <w:rsid w:val="00F12E34"/>
    <w:rsid w:val="00F13264"/>
    <w:rsid w:val="00F1329E"/>
    <w:rsid w:val="00F13347"/>
    <w:rsid w:val="00F134B2"/>
    <w:rsid w:val="00F1358C"/>
    <w:rsid w:val="00F138AF"/>
    <w:rsid w:val="00F13A77"/>
    <w:rsid w:val="00F13AD1"/>
    <w:rsid w:val="00F13E85"/>
    <w:rsid w:val="00F143E1"/>
    <w:rsid w:val="00F14AA2"/>
    <w:rsid w:val="00F14AB7"/>
    <w:rsid w:val="00F14D26"/>
    <w:rsid w:val="00F14E4E"/>
    <w:rsid w:val="00F152EA"/>
    <w:rsid w:val="00F1532C"/>
    <w:rsid w:val="00F15830"/>
    <w:rsid w:val="00F1587F"/>
    <w:rsid w:val="00F15B27"/>
    <w:rsid w:val="00F15C30"/>
    <w:rsid w:val="00F16441"/>
    <w:rsid w:val="00F164BD"/>
    <w:rsid w:val="00F17BA4"/>
    <w:rsid w:val="00F17EB4"/>
    <w:rsid w:val="00F20138"/>
    <w:rsid w:val="00F2026E"/>
    <w:rsid w:val="00F2040C"/>
    <w:rsid w:val="00F206BE"/>
    <w:rsid w:val="00F20A0D"/>
    <w:rsid w:val="00F20F74"/>
    <w:rsid w:val="00F20F8F"/>
    <w:rsid w:val="00F21114"/>
    <w:rsid w:val="00F21900"/>
    <w:rsid w:val="00F21C5B"/>
    <w:rsid w:val="00F21FA2"/>
    <w:rsid w:val="00F2210A"/>
    <w:rsid w:val="00F223BB"/>
    <w:rsid w:val="00F22C32"/>
    <w:rsid w:val="00F23405"/>
    <w:rsid w:val="00F238F8"/>
    <w:rsid w:val="00F23A32"/>
    <w:rsid w:val="00F23F02"/>
    <w:rsid w:val="00F23F52"/>
    <w:rsid w:val="00F241C8"/>
    <w:rsid w:val="00F24263"/>
    <w:rsid w:val="00F2436B"/>
    <w:rsid w:val="00F245FE"/>
    <w:rsid w:val="00F24AA7"/>
    <w:rsid w:val="00F24CEA"/>
    <w:rsid w:val="00F251BB"/>
    <w:rsid w:val="00F253E9"/>
    <w:rsid w:val="00F2545E"/>
    <w:rsid w:val="00F2598A"/>
    <w:rsid w:val="00F25C15"/>
    <w:rsid w:val="00F25CB9"/>
    <w:rsid w:val="00F26070"/>
    <w:rsid w:val="00F260DC"/>
    <w:rsid w:val="00F26D2C"/>
    <w:rsid w:val="00F26FB5"/>
    <w:rsid w:val="00F272DD"/>
    <w:rsid w:val="00F27446"/>
    <w:rsid w:val="00F27A74"/>
    <w:rsid w:val="00F27D33"/>
    <w:rsid w:val="00F27FD5"/>
    <w:rsid w:val="00F302EB"/>
    <w:rsid w:val="00F306F7"/>
    <w:rsid w:val="00F3097A"/>
    <w:rsid w:val="00F30999"/>
    <w:rsid w:val="00F30AB3"/>
    <w:rsid w:val="00F30D19"/>
    <w:rsid w:val="00F31372"/>
    <w:rsid w:val="00F313C8"/>
    <w:rsid w:val="00F313D4"/>
    <w:rsid w:val="00F31418"/>
    <w:rsid w:val="00F31451"/>
    <w:rsid w:val="00F31C81"/>
    <w:rsid w:val="00F31D6D"/>
    <w:rsid w:val="00F32011"/>
    <w:rsid w:val="00F32057"/>
    <w:rsid w:val="00F3222E"/>
    <w:rsid w:val="00F32D98"/>
    <w:rsid w:val="00F32F1A"/>
    <w:rsid w:val="00F33094"/>
    <w:rsid w:val="00F330F7"/>
    <w:rsid w:val="00F33414"/>
    <w:rsid w:val="00F3345A"/>
    <w:rsid w:val="00F33868"/>
    <w:rsid w:val="00F33B58"/>
    <w:rsid w:val="00F34276"/>
    <w:rsid w:val="00F34369"/>
    <w:rsid w:val="00F34924"/>
    <w:rsid w:val="00F34F17"/>
    <w:rsid w:val="00F35237"/>
    <w:rsid w:val="00F359AE"/>
    <w:rsid w:val="00F35E51"/>
    <w:rsid w:val="00F3604A"/>
    <w:rsid w:val="00F364EB"/>
    <w:rsid w:val="00F36ADA"/>
    <w:rsid w:val="00F36D8B"/>
    <w:rsid w:val="00F37190"/>
    <w:rsid w:val="00F37743"/>
    <w:rsid w:val="00F37888"/>
    <w:rsid w:val="00F3797E"/>
    <w:rsid w:val="00F37D05"/>
    <w:rsid w:val="00F37DF9"/>
    <w:rsid w:val="00F37E9A"/>
    <w:rsid w:val="00F37F10"/>
    <w:rsid w:val="00F408A4"/>
    <w:rsid w:val="00F40C2F"/>
    <w:rsid w:val="00F41595"/>
    <w:rsid w:val="00F4165F"/>
    <w:rsid w:val="00F4196E"/>
    <w:rsid w:val="00F41A7E"/>
    <w:rsid w:val="00F41C80"/>
    <w:rsid w:val="00F42215"/>
    <w:rsid w:val="00F42493"/>
    <w:rsid w:val="00F428D0"/>
    <w:rsid w:val="00F42C8B"/>
    <w:rsid w:val="00F4305C"/>
    <w:rsid w:val="00F4358A"/>
    <w:rsid w:val="00F43BC8"/>
    <w:rsid w:val="00F43E00"/>
    <w:rsid w:val="00F4519B"/>
    <w:rsid w:val="00F451F1"/>
    <w:rsid w:val="00F45979"/>
    <w:rsid w:val="00F459B4"/>
    <w:rsid w:val="00F4623A"/>
    <w:rsid w:val="00F4644F"/>
    <w:rsid w:val="00F46733"/>
    <w:rsid w:val="00F46888"/>
    <w:rsid w:val="00F46BBA"/>
    <w:rsid w:val="00F46C33"/>
    <w:rsid w:val="00F46E89"/>
    <w:rsid w:val="00F470A5"/>
    <w:rsid w:val="00F47B86"/>
    <w:rsid w:val="00F47C05"/>
    <w:rsid w:val="00F51067"/>
    <w:rsid w:val="00F511C8"/>
    <w:rsid w:val="00F5235C"/>
    <w:rsid w:val="00F5281C"/>
    <w:rsid w:val="00F52F06"/>
    <w:rsid w:val="00F5319A"/>
    <w:rsid w:val="00F5364A"/>
    <w:rsid w:val="00F53A04"/>
    <w:rsid w:val="00F53A44"/>
    <w:rsid w:val="00F53C85"/>
    <w:rsid w:val="00F545A6"/>
    <w:rsid w:val="00F54898"/>
    <w:rsid w:val="00F54A31"/>
    <w:rsid w:val="00F54A3D"/>
    <w:rsid w:val="00F54CB0"/>
    <w:rsid w:val="00F5547C"/>
    <w:rsid w:val="00F5643D"/>
    <w:rsid w:val="00F56B8A"/>
    <w:rsid w:val="00F57044"/>
    <w:rsid w:val="00F57692"/>
    <w:rsid w:val="00F5782C"/>
    <w:rsid w:val="00F57900"/>
    <w:rsid w:val="00F579CD"/>
    <w:rsid w:val="00F60018"/>
    <w:rsid w:val="00F605D5"/>
    <w:rsid w:val="00F60643"/>
    <w:rsid w:val="00F60647"/>
    <w:rsid w:val="00F60A47"/>
    <w:rsid w:val="00F619C9"/>
    <w:rsid w:val="00F61D5D"/>
    <w:rsid w:val="00F62015"/>
    <w:rsid w:val="00F629F4"/>
    <w:rsid w:val="00F62BD8"/>
    <w:rsid w:val="00F634D3"/>
    <w:rsid w:val="00F64034"/>
    <w:rsid w:val="00F650C2"/>
    <w:rsid w:val="00F653B8"/>
    <w:rsid w:val="00F6568B"/>
    <w:rsid w:val="00F65815"/>
    <w:rsid w:val="00F65C76"/>
    <w:rsid w:val="00F65EFF"/>
    <w:rsid w:val="00F662EB"/>
    <w:rsid w:val="00F666DF"/>
    <w:rsid w:val="00F66733"/>
    <w:rsid w:val="00F66777"/>
    <w:rsid w:val="00F66855"/>
    <w:rsid w:val="00F6697A"/>
    <w:rsid w:val="00F66AA6"/>
    <w:rsid w:val="00F66D63"/>
    <w:rsid w:val="00F67805"/>
    <w:rsid w:val="00F67B71"/>
    <w:rsid w:val="00F70469"/>
    <w:rsid w:val="00F706D2"/>
    <w:rsid w:val="00F708EA"/>
    <w:rsid w:val="00F70A5B"/>
    <w:rsid w:val="00F70A5F"/>
    <w:rsid w:val="00F70E22"/>
    <w:rsid w:val="00F71691"/>
    <w:rsid w:val="00F71B89"/>
    <w:rsid w:val="00F71CFF"/>
    <w:rsid w:val="00F72045"/>
    <w:rsid w:val="00F720D1"/>
    <w:rsid w:val="00F721C8"/>
    <w:rsid w:val="00F72286"/>
    <w:rsid w:val="00F725CC"/>
    <w:rsid w:val="00F72877"/>
    <w:rsid w:val="00F72A3D"/>
    <w:rsid w:val="00F72C59"/>
    <w:rsid w:val="00F72CF5"/>
    <w:rsid w:val="00F72DD9"/>
    <w:rsid w:val="00F72E4C"/>
    <w:rsid w:val="00F73270"/>
    <w:rsid w:val="00F7353C"/>
    <w:rsid w:val="00F7382C"/>
    <w:rsid w:val="00F73984"/>
    <w:rsid w:val="00F73A79"/>
    <w:rsid w:val="00F73B36"/>
    <w:rsid w:val="00F73EBB"/>
    <w:rsid w:val="00F73EE3"/>
    <w:rsid w:val="00F7413B"/>
    <w:rsid w:val="00F7421E"/>
    <w:rsid w:val="00F749DE"/>
    <w:rsid w:val="00F750F6"/>
    <w:rsid w:val="00F75532"/>
    <w:rsid w:val="00F759A5"/>
    <w:rsid w:val="00F75F0A"/>
    <w:rsid w:val="00F7641D"/>
    <w:rsid w:val="00F764F1"/>
    <w:rsid w:val="00F76574"/>
    <w:rsid w:val="00F7686C"/>
    <w:rsid w:val="00F76D0E"/>
    <w:rsid w:val="00F76F8F"/>
    <w:rsid w:val="00F77513"/>
    <w:rsid w:val="00F779FB"/>
    <w:rsid w:val="00F77A03"/>
    <w:rsid w:val="00F77D29"/>
    <w:rsid w:val="00F802C0"/>
    <w:rsid w:val="00F8077E"/>
    <w:rsid w:val="00F80885"/>
    <w:rsid w:val="00F808E2"/>
    <w:rsid w:val="00F81224"/>
    <w:rsid w:val="00F81388"/>
    <w:rsid w:val="00F8156B"/>
    <w:rsid w:val="00F81951"/>
    <w:rsid w:val="00F81A68"/>
    <w:rsid w:val="00F81A93"/>
    <w:rsid w:val="00F81FE1"/>
    <w:rsid w:val="00F82467"/>
    <w:rsid w:val="00F82BE0"/>
    <w:rsid w:val="00F82CA2"/>
    <w:rsid w:val="00F83C67"/>
    <w:rsid w:val="00F8433C"/>
    <w:rsid w:val="00F8435A"/>
    <w:rsid w:val="00F843A1"/>
    <w:rsid w:val="00F847F2"/>
    <w:rsid w:val="00F8490D"/>
    <w:rsid w:val="00F8506C"/>
    <w:rsid w:val="00F853D5"/>
    <w:rsid w:val="00F854E8"/>
    <w:rsid w:val="00F85646"/>
    <w:rsid w:val="00F858E6"/>
    <w:rsid w:val="00F859A7"/>
    <w:rsid w:val="00F85A88"/>
    <w:rsid w:val="00F85B32"/>
    <w:rsid w:val="00F85F3D"/>
    <w:rsid w:val="00F863C5"/>
    <w:rsid w:val="00F866D7"/>
    <w:rsid w:val="00F8685D"/>
    <w:rsid w:val="00F86E7B"/>
    <w:rsid w:val="00F86F79"/>
    <w:rsid w:val="00F87048"/>
    <w:rsid w:val="00F870ED"/>
    <w:rsid w:val="00F87257"/>
    <w:rsid w:val="00F87609"/>
    <w:rsid w:val="00F8781E"/>
    <w:rsid w:val="00F87A10"/>
    <w:rsid w:val="00F87C60"/>
    <w:rsid w:val="00F87CFE"/>
    <w:rsid w:val="00F90013"/>
    <w:rsid w:val="00F900A1"/>
    <w:rsid w:val="00F90167"/>
    <w:rsid w:val="00F901F5"/>
    <w:rsid w:val="00F9051C"/>
    <w:rsid w:val="00F9070E"/>
    <w:rsid w:val="00F9117B"/>
    <w:rsid w:val="00F9176A"/>
    <w:rsid w:val="00F91AD7"/>
    <w:rsid w:val="00F91B27"/>
    <w:rsid w:val="00F920E4"/>
    <w:rsid w:val="00F92290"/>
    <w:rsid w:val="00F9254C"/>
    <w:rsid w:val="00F9260A"/>
    <w:rsid w:val="00F92B1E"/>
    <w:rsid w:val="00F92B34"/>
    <w:rsid w:val="00F92EB1"/>
    <w:rsid w:val="00F932AD"/>
    <w:rsid w:val="00F932C9"/>
    <w:rsid w:val="00F934FF"/>
    <w:rsid w:val="00F93BB6"/>
    <w:rsid w:val="00F941DF"/>
    <w:rsid w:val="00F943C6"/>
    <w:rsid w:val="00F945B9"/>
    <w:rsid w:val="00F94804"/>
    <w:rsid w:val="00F949C3"/>
    <w:rsid w:val="00F949F4"/>
    <w:rsid w:val="00F94B3B"/>
    <w:rsid w:val="00F94FB6"/>
    <w:rsid w:val="00F9535D"/>
    <w:rsid w:val="00F95800"/>
    <w:rsid w:val="00F95C9D"/>
    <w:rsid w:val="00F961BA"/>
    <w:rsid w:val="00F963EB"/>
    <w:rsid w:val="00F969E2"/>
    <w:rsid w:val="00F974EF"/>
    <w:rsid w:val="00F97587"/>
    <w:rsid w:val="00F97B88"/>
    <w:rsid w:val="00F97DD1"/>
    <w:rsid w:val="00FA0361"/>
    <w:rsid w:val="00FA05B6"/>
    <w:rsid w:val="00FA0674"/>
    <w:rsid w:val="00FA1075"/>
    <w:rsid w:val="00FA1266"/>
    <w:rsid w:val="00FA14A1"/>
    <w:rsid w:val="00FA1783"/>
    <w:rsid w:val="00FA179E"/>
    <w:rsid w:val="00FA17DD"/>
    <w:rsid w:val="00FA18C6"/>
    <w:rsid w:val="00FA1F6E"/>
    <w:rsid w:val="00FA2275"/>
    <w:rsid w:val="00FA2430"/>
    <w:rsid w:val="00FA2AFB"/>
    <w:rsid w:val="00FA2B91"/>
    <w:rsid w:val="00FA3346"/>
    <w:rsid w:val="00FA36EA"/>
    <w:rsid w:val="00FA37F9"/>
    <w:rsid w:val="00FA3ABB"/>
    <w:rsid w:val="00FA3AC9"/>
    <w:rsid w:val="00FA3B0F"/>
    <w:rsid w:val="00FA3B80"/>
    <w:rsid w:val="00FA3C4E"/>
    <w:rsid w:val="00FA45B7"/>
    <w:rsid w:val="00FA4855"/>
    <w:rsid w:val="00FA4856"/>
    <w:rsid w:val="00FA4896"/>
    <w:rsid w:val="00FA49DD"/>
    <w:rsid w:val="00FA56D0"/>
    <w:rsid w:val="00FA599A"/>
    <w:rsid w:val="00FA5EA9"/>
    <w:rsid w:val="00FA5F7F"/>
    <w:rsid w:val="00FA5F97"/>
    <w:rsid w:val="00FA60AC"/>
    <w:rsid w:val="00FA67CA"/>
    <w:rsid w:val="00FA6A56"/>
    <w:rsid w:val="00FA768A"/>
    <w:rsid w:val="00FA7C59"/>
    <w:rsid w:val="00FA7FDC"/>
    <w:rsid w:val="00FB00E8"/>
    <w:rsid w:val="00FB02CA"/>
    <w:rsid w:val="00FB041F"/>
    <w:rsid w:val="00FB0C05"/>
    <w:rsid w:val="00FB100E"/>
    <w:rsid w:val="00FB109C"/>
    <w:rsid w:val="00FB1446"/>
    <w:rsid w:val="00FB1943"/>
    <w:rsid w:val="00FB1A41"/>
    <w:rsid w:val="00FB1C5C"/>
    <w:rsid w:val="00FB1D05"/>
    <w:rsid w:val="00FB2843"/>
    <w:rsid w:val="00FB2A8E"/>
    <w:rsid w:val="00FB2E8C"/>
    <w:rsid w:val="00FB2F28"/>
    <w:rsid w:val="00FB2FE5"/>
    <w:rsid w:val="00FB3315"/>
    <w:rsid w:val="00FB341B"/>
    <w:rsid w:val="00FB356D"/>
    <w:rsid w:val="00FB36FA"/>
    <w:rsid w:val="00FB3BD6"/>
    <w:rsid w:val="00FB3F92"/>
    <w:rsid w:val="00FB4173"/>
    <w:rsid w:val="00FB43A4"/>
    <w:rsid w:val="00FB43ED"/>
    <w:rsid w:val="00FB443C"/>
    <w:rsid w:val="00FB46AC"/>
    <w:rsid w:val="00FB4791"/>
    <w:rsid w:val="00FB48FD"/>
    <w:rsid w:val="00FB5444"/>
    <w:rsid w:val="00FB57E8"/>
    <w:rsid w:val="00FB589F"/>
    <w:rsid w:val="00FB6352"/>
    <w:rsid w:val="00FB661B"/>
    <w:rsid w:val="00FB678F"/>
    <w:rsid w:val="00FB67CE"/>
    <w:rsid w:val="00FB68DF"/>
    <w:rsid w:val="00FB75DF"/>
    <w:rsid w:val="00FB7876"/>
    <w:rsid w:val="00FB7E85"/>
    <w:rsid w:val="00FC051E"/>
    <w:rsid w:val="00FC07B4"/>
    <w:rsid w:val="00FC0B02"/>
    <w:rsid w:val="00FC1192"/>
    <w:rsid w:val="00FC13DC"/>
    <w:rsid w:val="00FC14CD"/>
    <w:rsid w:val="00FC16A7"/>
    <w:rsid w:val="00FC1787"/>
    <w:rsid w:val="00FC1833"/>
    <w:rsid w:val="00FC19C4"/>
    <w:rsid w:val="00FC1BAE"/>
    <w:rsid w:val="00FC1CA7"/>
    <w:rsid w:val="00FC26B4"/>
    <w:rsid w:val="00FC2D64"/>
    <w:rsid w:val="00FC31A8"/>
    <w:rsid w:val="00FC32A6"/>
    <w:rsid w:val="00FC380A"/>
    <w:rsid w:val="00FC3895"/>
    <w:rsid w:val="00FC3915"/>
    <w:rsid w:val="00FC3E3F"/>
    <w:rsid w:val="00FC41CB"/>
    <w:rsid w:val="00FC44AB"/>
    <w:rsid w:val="00FC453D"/>
    <w:rsid w:val="00FC4A9A"/>
    <w:rsid w:val="00FC4BD0"/>
    <w:rsid w:val="00FC4C0C"/>
    <w:rsid w:val="00FC4C4D"/>
    <w:rsid w:val="00FC4CE0"/>
    <w:rsid w:val="00FC4D8B"/>
    <w:rsid w:val="00FC4DD0"/>
    <w:rsid w:val="00FC5655"/>
    <w:rsid w:val="00FC5A41"/>
    <w:rsid w:val="00FC5B79"/>
    <w:rsid w:val="00FC5C36"/>
    <w:rsid w:val="00FC62B4"/>
    <w:rsid w:val="00FC6306"/>
    <w:rsid w:val="00FC636B"/>
    <w:rsid w:val="00FC6452"/>
    <w:rsid w:val="00FC6775"/>
    <w:rsid w:val="00FC6870"/>
    <w:rsid w:val="00FC6C41"/>
    <w:rsid w:val="00FC6F39"/>
    <w:rsid w:val="00FC7586"/>
    <w:rsid w:val="00FC7C23"/>
    <w:rsid w:val="00FC7CB1"/>
    <w:rsid w:val="00FD00C8"/>
    <w:rsid w:val="00FD0181"/>
    <w:rsid w:val="00FD01EA"/>
    <w:rsid w:val="00FD0398"/>
    <w:rsid w:val="00FD09FE"/>
    <w:rsid w:val="00FD0BFD"/>
    <w:rsid w:val="00FD0C02"/>
    <w:rsid w:val="00FD0D9A"/>
    <w:rsid w:val="00FD0F2B"/>
    <w:rsid w:val="00FD1821"/>
    <w:rsid w:val="00FD2005"/>
    <w:rsid w:val="00FD2098"/>
    <w:rsid w:val="00FD2437"/>
    <w:rsid w:val="00FD3AE7"/>
    <w:rsid w:val="00FD3B90"/>
    <w:rsid w:val="00FD3F63"/>
    <w:rsid w:val="00FD416B"/>
    <w:rsid w:val="00FD4257"/>
    <w:rsid w:val="00FD4566"/>
    <w:rsid w:val="00FD483A"/>
    <w:rsid w:val="00FD4BC5"/>
    <w:rsid w:val="00FD4C5C"/>
    <w:rsid w:val="00FD52E8"/>
    <w:rsid w:val="00FD60E1"/>
    <w:rsid w:val="00FD67CD"/>
    <w:rsid w:val="00FD70DD"/>
    <w:rsid w:val="00FE05BF"/>
    <w:rsid w:val="00FE080F"/>
    <w:rsid w:val="00FE0A1D"/>
    <w:rsid w:val="00FE0C9A"/>
    <w:rsid w:val="00FE0F5D"/>
    <w:rsid w:val="00FE106D"/>
    <w:rsid w:val="00FE1251"/>
    <w:rsid w:val="00FE137B"/>
    <w:rsid w:val="00FE1550"/>
    <w:rsid w:val="00FE19CB"/>
    <w:rsid w:val="00FE19D3"/>
    <w:rsid w:val="00FE1DAB"/>
    <w:rsid w:val="00FE2415"/>
    <w:rsid w:val="00FE24D5"/>
    <w:rsid w:val="00FE251B"/>
    <w:rsid w:val="00FE26E2"/>
    <w:rsid w:val="00FE300C"/>
    <w:rsid w:val="00FE3519"/>
    <w:rsid w:val="00FE3B27"/>
    <w:rsid w:val="00FE3C3C"/>
    <w:rsid w:val="00FE3F1F"/>
    <w:rsid w:val="00FE3F50"/>
    <w:rsid w:val="00FE4638"/>
    <w:rsid w:val="00FE472A"/>
    <w:rsid w:val="00FE4ABD"/>
    <w:rsid w:val="00FE4B66"/>
    <w:rsid w:val="00FE4E4F"/>
    <w:rsid w:val="00FE515F"/>
    <w:rsid w:val="00FE57E2"/>
    <w:rsid w:val="00FE59A4"/>
    <w:rsid w:val="00FE5A7C"/>
    <w:rsid w:val="00FE6241"/>
    <w:rsid w:val="00FE63B5"/>
    <w:rsid w:val="00FE671A"/>
    <w:rsid w:val="00FE6B17"/>
    <w:rsid w:val="00FE6F7E"/>
    <w:rsid w:val="00FE6FD7"/>
    <w:rsid w:val="00FE74D5"/>
    <w:rsid w:val="00FE7555"/>
    <w:rsid w:val="00FE7D59"/>
    <w:rsid w:val="00FE7E4C"/>
    <w:rsid w:val="00FF0A44"/>
    <w:rsid w:val="00FF0F1D"/>
    <w:rsid w:val="00FF0FCB"/>
    <w:rsid w:val="00FF15EA"/>
    <w:rsid w:val="00FF162E"/>
    <w:rsid w:val="00FF1A82"/>
    <w:rsid w:val="00FF21E6"/>
    <w:rsid w:val="00FF2286"/>
    <w:rsid w:val="00FF2B74"/>
    <w:rsid w:val="00FF3348"/>
    <w:rsid w:val="00FF340E"/>
    <w:rsid w:val="00FF377A"/>
    <w:rsid w:val="00FF37F5"/>
    <w:rsid w:val="00FF390D"/>
    <w:rsid w:val="00FF3AB4"/>
    <w:rsid w:val="00FF3B58"/>
    <w:rsid w:val="00FF3D91"/>
    <w:rsid w:val="00FF3DBC"/>
    <w:rsid w:val="00FF40E3"/>
    <w:rsid w:val="00FF456D"/>
    <w:rsid w:val="00FF4596"/>
    <w:rsid w:val="00FF477F"/>
    <w:rsid w:val="00FF549A"/>
    <w:rsid w:val="00FF54C5"/>
    <w:rsid w:val="00FF5767"/>
    <w:rsid w:val="00FF5F33"/>
    <w:rsid w:val="00FF6525"/>
    <w:rsid w:val="00FF69A1"/>
    <w:rsid w:val="00FF6E3B"/>
    <w:rsid w:val="00FF6EB3"/>
    <w:rsid w:val="00FF7382"/>
    <w:rsid w:val="0486FDF2"/>
    <w:rsid w:val="0B4651D9"/>
    <w:rsid w:val="1260938B"/>
    <w:rsid w:val="18F559FB"/>
    <w:rsid w:val="2B56197E"/>
    <w:rsid w:val="2C49952C"/>
    <w:rsid w:val="2D4D6E7C"/>
    <w:rsid w:val="2DE1DD23"/>
    <w:rsid w:val="2FAA7387"/>
    <w:rsid w:val="31679347"/>
    <w:rsid w:val="33550F7D"/>
    <w:rsid w:val="358FE61E"/>
    <w:rsid w:val="378A2519"/>
    <w:rsid w:val="37FC8074"/>
    <w:rsid w:val="398E6E27"/>
    <w:rsid w:val="42DADCF9"/>
    <w:rsid w:val="472E0BAC"/>
    <w:rsid w:val="47688409"/>
    <w:rsid w:val="47B1C731"/>
    <w:rsid w:val="4D14E4CB"/>
    <w:rsid w:val="4E01CC06"/>
    <w:rsid w:val="52932CBD"/>
    <w:rsid w:val="57BC6E95"/>
    <w:rsid w:val="587FA1A2"/>
    <w:rsid w:val="5A2F63CA"/>
    <w:rsid w:val="5B9F174E"/>
    <w:rsid w:val="5C4B4485"/>
    <w:rsid w:val="67FC51BA"/>
    <w:rsid w:val="68D228CD"/>
    <w:rsid w:val="6D2EF0DB"/>
    <w:rsid w:val="6D7FFCAF"/>
    <w:rsid w:val="6FDC4F6C"/>
    <w:rsid w:val="714E8B2D"/>
    <w:rsid w:val="721D4E86"/>
    <w:rsid w:val="7399E88B"/>
    <w:rsid w:val="73EC1BD1"/>
    <w:rsid w:val="745873D6"/>
    <w:rsid w:val="79C59E52"/>
    <w:rsid w:val="7A2B50C9"/>
    <w:rsid w:val="7CD845DF"/>
    <w:rsid w:val="7D105082"/>
    <w:rsid w:val="7D500B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ED1E896-6794-4EAF-816A-5B2EC142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294CC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3019E5"/>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925FA"/>
    <w:rPr>
      <w:sz w:val="16"/>
      <w:szCs w:val="16"/>
    </w:rPr>
  </w:style>
  <w:style w:type="table" w:styleId="TableGrid">
    <w:name w:val="Table Grid"/>
    <w:basedOn w:val="TableNormal"/>
    <w:uiPriority w:val="39"/>
    <w:rsid w:val="00E92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925FA"/>
    <w:pPr>
      <w:spacing w:before="100" w:beforeAutospacing="1" w:after="100" w:afterAutospacing="1"/>
      <w:ind w:left="720"/>
    </w:pPr>
    <w:rPr>
      <w:sz w:val="24"/>
      <w:szCs w:val="24"/>
      <w:lang w:val="de-DE" w:eastAsia="de-DE"/>
    </w:rPr>
  </w:style>
  <w:style w:type="character" w:customStyle="1" w:styleId="cf11">
    <w:name w:val="cf11"/>
    <w:basedOn w:val="DefaultParagraphFont"/>
    <w:rsid w:val="00E925FA"/>
    <w:rPr>
      <w:rFonts w:ascii="Segoe UI" w:hAnsi="Segoe UI" w:cs="Segoe UI" w:hint="default"/>
      <w:sz w:val="18"/>
      <w:szCs w:val="18"/>
    </w:rPr>
  </w:style>
  <w:style w:type="character" w:customStyle="1" w:styleId="cf01">
    <w:name w:val="cf01"/>
    <w:basedOn w:val="DefaultParagraphFont"/>
    <w:rsid w:val="00E925FA"/>
    <w:rPr>
      <w:rFonts w:ascii="Segoe UI" w:hAnsi="Segoe UI" w:cs="Segoe UI" w:hint="default"/>
      <w:sz w:val="18"/>
      <w:szCs w:val="18"/>
    </w:r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E925FA"/>
    <w:rPr>
      <w:lang w:eastAsia="en-US"/>
    </w:rPr>
  </w:style>
  <w:style w:type="paragraph" w:styleId="Revision">
    <w:name w:val="Revision"/>
    <w:hidden/>
    <w:uiPriority w:val="99"/>
    <w:semiHidden/>
    <w:rsid w:val="006923EA"/>
    <w:rPr>
      <w:lang w:eastAsia="en-US"/>
    </w:rPr>
  </w:style>
  <w:style w:type="paragraph" w:customStyle="1" w:styleId="Doc-text2">
    <w:name w:val="Doc-text2"/>
    <w:basedOn w:val="Normal"/>
    <w:link w:val="Doc-text2Char"/>
    <w:qFormat/>
    <w:rsid w:val="00B905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588"/>
    <w:rPr>
      <w:rFonts w:ascii="Arial" w:eastAsia="MS Mincho" w:hAnsi="Arial"/>
      <w:szCs w:val="24"/>
    </w:rPr>
  </w:style>
  <w:style w:type="character" w:styleId="Mention">
    <w:name w:val="Mention"/>
    <w:basedOn w:val="DefaultParagraphFont"/>
    <w:uiPriority w:val="99"/>
    <w:unhideWhenUsed/>
    <w:rsid w:val="006F7978"/>
    <w:rPr>
      <w:color w:val="2B579A"/>
      <w:shd w:val="clear" w:color="auto" w:fill="E1DFDD"/>
    </w:rPr>
  </w:style>
  <w:style w:type="character" w:customStyle="1" w:styleId="THChar">
    <w:name w:val="TH Char"/>
    <w:link w:val="TH"/>
    <w:qFormat/>
    <w:rsid w:val="00E1544E"/>
    <w:rPr>
      <w:rFonts w:ascii="Arial" w:hAnsi="Arial"/>
      <w:b/>
      <w:lang w:eastAsia="en-US"/>
    </w:rPr>
  </w:style>
  <w:style w:type="character" w:customStyle="1" w:styleId="B10">
    <w:name w:val="B1 (文字)"/>
    <w:link w:val="B1"/>
    <w:qFormat/>
    <w:rsid w:val="00E1544E"/>
    <w:rPr>
      <w:lang w:eastAsia="en-US"/>
    </w:rPr>
  </w:style>
  <w:style w:type="character" w:customStyle="1" w:styleId="B2Char">
    <w:name w:val="B2 Char"/>
    <w:link w:val="B2"/>
    <w:qFormat/>
    <w:rsid w:val="00E1544E"/>
    <w:rPr>
      <w:lang w:eastAsia="en-US"/>
    </w:rPr>
  </w:style>
  <w:style w:type="character" w:customStyle="1" w:styleId="TFChar">
    <w:name w:val="TF Char"/>
    <w:link w:val="TF"/>
    <w:qFormat/>
    <w:rsid w:val="00E1544E"/>
    <w:rPr>
      <w:rFonts w:ascii="Arial" w:hAnsi="Arial"/>
      <w:b/>
      <w:lang w:eastAsia="en-US"/>
    </w:rPr>
  </w:style>
  <w:style w:type="character" w:customStyle="1" w:styleId="normaltextrun">
    <w:name w:val="normaltextrun"/>
    <w:basedOn w:val="DefaultParagraphFont"/>
    <w:rsid w:val="00A11168"/>
  </w:style>
  <w:style w:type="paragraph" w:customStyle="1" w:styleId="Agreement">
    <w:name w:val="Agreement"/>
    <w:basedOn w:val="Normal"/>
    <w:next w:val="Doc-text2"/>
    <w:uiPriority w:val="99"/>
    <w:qFormat/>
    <w:rsid w:val="00A16170"/>
    <w:pPr>
      <w:numPr>
        <w:numId w:val="38"/>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rsid w:val="00917BB5"/>
    <w:rPr>
      <w:color w:val="FF0000"/>
      <w:lang w:eastAsia="en-US"/>
    </w:rPr>
  </w:style>
  <w:style w:type="character" w:customStyle="1" w:styleId="NOZchn">
    <w:name w:val="NO Zchn"/>
    <w:link w:val="NO"/>
    <w:rsid w:val="003019E5"/>
    <w:rPr>
      <w:lang w:eastAsia="en-US"/>
    </w:rPr>
  </w:style>
  <w:style w:type="character" w:customStyle="1" w:styleId="B1Zchn">
    <w:name w:val="B1 Zchn"/>
    <w:qFormat/>
    <w:rsid w:val="003019E5"/>
    <w:rPr>
      <w:rFonts w:eastAsia="Times New Roman"/>
      <w:lang w:eastAsia="zh-CN"/>
    </w:rPr>
  </w:style>
  <w:style w:type="character" w:customStyle="1" w:styleId="Heading2Char">
    <w:name w:val="Heading 2 Char"/>
    <w:basedOn w:val="DefaultParagraphFont"/>
    <w:link w:val="Heading2"/>
    <w:rsid w:val="006F483C"/>
    <w:rPr>
      <w:rFonts w:ascii="Arial" w:hAnsi="Arial"/>
      <w:sz w:val="32"/>
      <w:lang w:eastAsia="en-US"/>
    </w:rPr>
  </w:style>
  <w:style w:type="character" w:customStyle="1" w:styleId="Heading1Char">
    <w:name w:val="Heading 1 Char"/>
    <w:basedOn w:val="DefaultParagraphFont"/>
    <w:link w:val="Heading1"/>
    <w:rsid w:val="00E4177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5504">
      <w:bodyDiv w:val="1"/>
      <w:marLeft w:val="0"/>
      <w:marRight w:val="0"/>
      <w:marTop w:val="0"/>
      <w:marBottom w:val="0"/>
      <w:divBdr>
        <w:top w:val="none" w:sz="0" w:space="0" w:color="auto"/>
        <w:left w:val="none" w:sz="0" w:space="0" w:color="auto"/>
        <w:bottom w:val="none" w:sz="0" w:space="0" w:color="auto"/>
        <w:right w:val="none" w:sz="0" w:space="0" w:color="auto"/>
      </w:divBdr>
    </w:div>
    <w:div w:id="115832210">
      <w:bodyDiv w:val="1"/>
      <w:marLeft w:val="0"/>
      <w:marRight w:val="0"/>
      <w:marTop w:val="0"/>
      <w:marBottom w:val="0"/>
      <w:divBdr>
        <w:top w:val="none" w:sz="0" w:space="0" w:color="auto"/>
        <w:left w:val="none" w:sz="0" w:space="0" w:color="auto"/>
        <w:bottom w:val="none" w:sz="0" w:space="0" w:color="auto"/>
        <w:right w:val="none" w:sz="0" w:space="0" w:color="auto"/>
      </w:divBdr>
    </w:div>
    <w:div w:id="138613278">
      <w:bodyDiv w:val="1"/>
      <w:marLeft w:val="0"/>
      <w:marRight w:val="0"/>
      <w:marTop w:val="0"/>
      <w:marBottom w:val="0"/>
      <w:divBdr>
        <w:top w:val="none" w:sz="0" w:space="0" w:color="auto"/>
        <w:left w:val="none" w:sz="0" w:space="0" w:color="auto"/>
        <w:bottom w:val="none" w:sz="0" w:space="0" w:color="auto"/>
        <w:right w:val="none" w:sz="0" w:space="0" w:color="auto"/>
      </w:divBdr>
    </w:div>
    <w:div w:id="167522548">
      <w:bodyDiv w:val="1"/>
      <w:marLeft w:val="0"/>
      <w:marRight w:val="0"/>
      <w:marTop w:val="0"/>
      <w:marBottom w:val="0"/>
      <w:divBdr>
        <w:top w:val="none" w:sz="0" w:space="0" w:color="auto"/>
        <w:left w:val="none" w:sz="0" w:space="0" w:color="auto"/>
        <w:bottom w:val="none" w:sz="0" w:space="0" w:color="auto"/>
        <w:right w:val="none" w:sz="0" w:space="0" w:color="auto"/>
      </w:divBdr>
      <w:divsChild>
        <w:div w:id="855002928">
          <w:marLeft w:val="547"/>
          <w:marRight w:val="0"/>
          <w:marTop w:val="60"/>
          <w:marBottom w:val="0"/>
          <w:divBdr>
            <w:top w:val="none" w:sz="0" w:space="0" w:color="auto"/>
            <w:left w:val="none" w:sz="0" w:space="0" w:color="auto"/>
            <w:bottom w:val="none" w:sz="0" w:space="0" w:color="auto"/>
            <w:right w:val="none" w:sz="0" w:space="0" w:color="auto"/>
          </w:divBdr>
        </w:div>
        <w:div w:id="948780343">
          <w:marLeft w:val="547"/>
          <w:marRight w:val="0"/>
          <w:marTop w:val="60"/>
          <w:marBottom w:val="0"/>
          <w:divBdr>
            <w:top w:val="none" w:sz="0" w:space="0" w:color="auto"/>
            <w:left w:val="none" w:sz="0" w:space="0" w:color="auto"/>
            <w:bottom w:val="none" w:sz="0" w:space="0" w:color="auto"/>
            <w:right w:val="none" w:sz="0" w:space="0" w:color="auto"/>
          </w:divBdr>
        </w:div>
        <w:div w:id="1692996117">
          <w:marLeft w:val="547"/>
          <w:marRight w:val="0"/>
          <w:marTop w:val="60"/>
          <w:marBottom w:val="0"/>
          <w:divBdr>
            <w:top w:val="none" w:sz="0" w:space="0" w:color="auto"/>
            <w:left w:val="none" w:sz="0" w:space="0" w:color="auto"/>
            <w:bottom w:val="none" w:sz="0" w:space="0" w:color="auto"/>
            <w:right w:val="none" w:sz="0" w:space="0" w:color="auto"/>
          </w:divBdr>
        </w:div>
      </w:divsChild>
    </w:div>
    <w:div w:id="212927586">
      <w:bodyDiv w:val="1"/>
      <w:marLeft w:val="0"/>
      <w:marRight w:val="0"/>
      <w:marTop w:val="0"/>
      <w:marBottom w:val="0"/>
      <w:divBdr>
        <w:top w:val="none" w:sz="0" w:space="0" w:color="auto"/>
        <w:left w:val="none" w:sz="0" w:space="0" w:color="auto"/>
        <w:bottom w:val="none" w:sz="0" w:space="0" w:color="auto"/>
        <w:right w:val="none" w:sz="0" w:space="0" w:color="auto"/>
      </w:divBdr>
    </w:div>
    <w:div w:id="554319852">
      <w:bodyDiv w:val="1"/>
      <w:marLeft w:val="0"/>
      <w:marRight w:val="0"/>
      <w:marTop w:val="0"/>
      <w:marBottom w:val="0"/>
      <w:divBdr>
        <w:top w:val="none" w:sz="0" w:space="0" w:color="auto"/>
        <w:left w:val="none" w:sz="0" w:space="0" w:color="auto"/>
        <w:bottom w:val="none" w:sz="0" w:space="0" w:color="auto"/>
        <w:right w:val="none" w:sz="0" w:space="0" w:color="auto"/>
      </w:divBdr>
      <w:divsChild>
        <w:div w:id="426972799">
          <w:marLeft w:val="1800"/>
          <w:marRight w:val="0"/>
          <w:marTop w:val="0"/>
          <w:marBottom w:val="0"/>
          <w:divBdr>
            <w:top w:val="none" w:sz="0" w:space="0" w:color="auto"/>
            <w:left w:val="none" w:sz="0" w:space="0" w:color="auto"/>
            <w:bottom w:val="none" w:sz="0" w:space="0" w:color="auto"/>
            <w:right w:val="none" w:sz="0" w:space="0" w:color="auto"/>
          </w:divBdr>
        </w:div>
        <w:div w:id="522979976">
          <w:marLeft w:val="547"/>
          <w:marRight w:val="0"/>
          <w:marTop w:val="0"/>
          <w:marBottom w:val="0"/>
          <w:divBdr>
            <w:top w:val="none" w:sz="0" w:space="0" w:color="auto"/>
            <w:left w:val="none" w:sz="0" w:space="0" w:color="auto"/>
            <w:bottom w:val="none" w:sz="0" w:space="0" w:color="auto"/>
            <w:right w:val="none" w:sz="0" w:space="0" w:color="auto"/>
          </w:divBdr>
        </w:div>
        <w:div w:id="880095892">
          <w:marLeft w:val="1166"/>
          <w:marRight w:val="0"/>
          <w:marTop w:val="0"/>
          <w:marBottom w:val="0"/>
          <w:divBdr>
            <w:top w:val="none" w:sz="0" w:space="0" w:color="auto"/>
            <w:left w:val="none" w:sz="0" w:space="0" w:color="auto"/>
            <w:bottom w:val="none" w:sz="0" w:space="0" w:color="auto"/>
            <w:right w:val="none" w:sz="0" w:space="0" w:color="auto"/>
          </w:divBdr>
        </w:div>
        <w:div w:id="904417138">
          <w:marLeft w:val="1800"/>
          <w:marRight w:val="0"/>
          <w:marTop w:val="0"/>
          <w:marBottom w:val="0"/>
          <w:divBdr>
            <w:top w:val="none" w:sz="0" w:space="0" w:color="auto"/>
            <w:left w:val="none" w:sz="0" w:space="0" w:color="auto"/>
            <w:bottom w:val="none" w:sz="0" w:space="0" w:color="auto"/>
            <w:right w:val="none" w:sz="0" w:space="0" w:color="auto"/>
          </w:divBdr>
        </w:div>
        <w:div w:id="918172532">
          <w:marLeft w:val="3240"/>
          <w:marRight w:val="0"/>
          <w:marTop w:val="0"/>
          <w:marBottom w:val="0"/>
          <w:divBdr>
            <w:top w:val="none" w:sz="0" w:space="0" w:color="auto"/>
            <w:left w:val="none" w:sz="0" w:space="0" w:color="auto"/>
            <w:bottom w:val="none" w:sz="0" w:space="0" w:color="auto"/>
            <w:right w:val="none" w:sz="0" w:space="0" w:color="auto"/>
          </w:divBdr>
        </w:div>
        <w:div w:id="961421002">
          <w:marLeft w:val="1800"/>
          <w:marRight w:val="0"/>
          <w:marTop w:val="0"/>
          <w:marBottom w:val="0"/>
          <w:divBdr>
            <w:top w:val="none" w:sz="0" w:space="0" w:color="auto"/>
            <w:left w:val="none" w:sz="0" w:space="0" w:color="auto"/>
            <w:bottom w:val="none" w:sz="0" w:space="0" w:color="auto"/>
            <w:right w:val="none" w:sz="0" w:space="0" w:color="auto"/>
          </w:divBdr>
        </w:div>
        <w:div w:id="1085299046">
          <w:marLeft w:val="1166"/>
          <w:marRight w:val="0"/>
          <w:marTop w:val="0"/>
          <w:marBottom w:val="0"/>
          <w:divBdr>
            <w:top w:val="none" w:sz="0" w:space="0" w:color="auto"/>
            <w:left w:val="none" w:sz="0" w:space="0" w:color="auto"/>
            <w:bottom w:val="none" w:sz="0" w:space="0" w:color="auto"/>
            <w:right w:val="none" w:sz="0" w:space="0" w:color="auto"/>
          </w:divBdr>
        </w:div>
        <w:div w:id="1086076397">
          <w:marLeft w:val="2520"/>
          <w:marRight w:val="0"/>
          <w:marTop w:val="0"/>
          <w:marBottom w:val="0"/>
          <w:divBdr>
            <w:top w:val="none" w:sz="0" w:space="0" w:color="auto"/>
            <w:left w:val="none" w:sz="0" w:space="0" w:color="auto"/>
            <w:bottom w:val="none" w:sz="0" w:space="0" w:color="auto"/>
            <w:right w:val="none" w:sz="0" w:space="0" w:color="auto"/>
          </w:divBdr>
        </w:div>
        <w:div w:id="1092818584">
          <w:marLeft w:val="2520"/>
          <w:marRight w:val="0"/>
          <w:marTop w:val="0"/>
          <w:marBottom w:val="0"/>
          <w:divBdr>
            <w:top w:val="none" w:sz="0" w:space="0" w:color="auto"/>
            <w:left w:val="none" w:sz="0" w:space="0" w:color="auto"/>
            <w:bottom w:val="none" w:sz="0" w:space="0" w:color="auto"/>
            <w:right w:val="none" w:sz="0" w:space="0" w:color="auto"/>
          </w:divBdr>
        </w:div>
        <w:div w:id="1159351200">
          <w:marLeft w:val="1800"/>
          <w:marRight w:val="0"/>
          <w:marTop w:val="0"/>
          <w:marBottom w:val="0"/>
          <w:divBdr>
            <w:top w:val="none" w:sz="0" w:space="0" w:color="auto"/>
            <w:left w:val="none" w:sz="0" w:space="0" w:color="auto"/>
            <w:bottom w:val="none" w:sz="0" w:space="0" w:color="auto"/>
            <w:right w:val="none" w:sz="0" w:space="0" w:color="auto"/>
          </w:divBdr>
        </w:div>
        <w:div w:id="1237400971">
          <w:marLeft w:val="547"/>
          <w:marRight w:val="0"/>
          <w:marTop w:val="0"/>
          <w:marBottom w:val="0"/>
          <w:divBdr>
            <w:top w:val="none" w:sz="0" w:space="0" w:color="auto"/>
            <w:left w:val="none" w:sz="0" w:space="0" w:color="auto"/>
            <w:bottom w:val="none" w:sz="0" w:space="0" w:color="auto"/>
            <w:right w:val="none" w:sz="0" w:space="0" w:color="auto"/>
          </w:divBdr>
        </w:div>
        <w:div w:id="1413620367">
          <w:marLeft w:val="2520"/>
          <w:marRight w:val="0"/>
          <w:marTop w:val="0"/>
          <w:marBottom w:val="0"/>
          <w:divBdr>
            <w:top w:val="none" w:sz="0" w:space="0" w:color="auto"/>
            <w:left w:val="none" w:sz="0" w:space="0" w:color="auto"/>
            <w:bottom w:val="none" w:sz="0" w:space="0" w:color="auto"/>
            <w:right w:val="none" w:sz="0" w:space="0" w:color="auto"/>
          </w:divBdr>
        </w:div>
        <w:div w:id="1473214719">
          <w:marLeft w:val="1166"/>
          <w:marRight w:val="0"/>
          <w:marTop w:val="0"/>
          <w:marBottom w:val="0"/>
          <w:divBdr>
            <w:top w:val="none" w:sz="0" w:space="0" w:color="auto"/>
            <w:left w:val="none" w:sz="0" w:space="0" w:color="auto"/>
            <w:bottom w:val="none" w:sz="0" w:space="0" w:color="auto"/>
            <w:right w:val="none" w:sz="0" w:space="0" w:color="auto"/>
          </w:divBdr>
        </w:div>
        <w:div w:id="1554922698">
          <w:marLeft w:val="1800"/>
          <w:marRight w:val="0"/>
          <w:marTop w:val="0"/>
          <w:marBottom w:val="0"/>
          <w:divBdr>
            <w:top w:val="none" w:sz="0" w:space="0" w:color="auto"/>
            <w:left w:val="none" w:sz="0" w:space="0" w:color="auto"/>
            <w:bottom w:val="none" w:sz="0" w:space="0" w:color="auto"/>
            <w:right w:val="none" w:sz="0" w:space="0" w:color="auto"/>
          </w:divBdr>
        </w:div>
        <w:div w:id="1830511424">
          <w:marLeft w:val="547"/>
          <w:marRight w:val="0"/>
          <w:marTop w:val="0"/>
          <w:marBottom w:val="0"/>
          <w:divBdr>
            <w:top w:val="none" w:sz="0" w:space="0" w:color="auto"/>
            <w:left w:val="none" w:sz="0" w:space="0" w:color="auto"/>
            <w:bottom w:val="none" w:sz="0" w:space="0" w:color="auto"/>
            <w:right w:val="none" w:sz="0" w:space="0" w:color="auto"/>
          </w:divBdr>
        </w:div>
        <w:div w:id="1869103624">
          <w:marLeft w:val="2520"/>
          <w:marRight w:val="0"/>
          <w:marTop w:val="0"/>
          <w:marBottom w:val="0"/>
          <w:divBdr>
            <w:top w:val="none" w:sz="0" w:space="0" w:color="auto"/>
            <w:left w:val="none" w:sz="0" w:space="0" w:color="auto"/>
            <w:bottom w:val="none" w:sz="0" w:space="0" w:color="auto"/>
            <w:right w:val="none" w:sz="0" w:space="0" w:color="auto"/>
          </w:divBdr>
        </w:div>
        <w:div w:id="2019307039">
          <w:marLeft w:val="1166"/>
          <w:marRight w:val="0"/>
          <w:marTop w:val="0"/>
          <w:marBottom w:val="0"/>
          <w:divBdr>
            <w:top w:val="none" w:sz="0" w:space="0" w:color="auto"/>
            <w:left w:val="none" w:sz="0" w:space="0" w:color="auto"/>
            <w:bottom w:val="none" w:sz="0" w:space="0" w:color="auto"/>
            <w:right w:val="none" w:sz="0" w:space="0" w:color="auto"/>
          </w:divBdr>
        </w:div>
        <w:div w:id="2078476324">
          <w:marLeft w:val="3240"/>
          <w:marRight w:val="0"/>
          <w:marTop w:val="0"/>
          <w:marBottom w:val="0"/>
          <w:divBdr>
            <w:top w:val="none" w:sz="0" w:space="0" w:color="auto"/>
            <w:left w:val="none" w:sz="0" w:space="0" w:color="auto"/>
            <w:bottom w:val="none" w:sz="0" w:space="0" w:color="auto"/>
            <w:right w:val="none" w:sz="0" w:space="0" w:color="auto"/>
          </w:divBdr>
        </w:div>
      </w:divsChild>
    </w:div>
    <w:div w:id="597174634">
      <w:bodyDiv w:val="1"/>
      <w:marLeft w:val="0"/>
      <w:marRight w:val="0"/>
      <w:marTop w:val="0"/>
      <w:marBottom w:val="0"/>
      <w:divBdr>
        <w:top w:val="none" w:sz="0" w:space="0" w:color="auto"/>
        <w:left w:val="none" w:sz="0" w:space="0" w:color="auto"/>
        <w:bottom w:val="none" w:sz="0" w:space="0" w:color="auto"/>
        <w:right w:val="none" w:sz="0" w:space="0" w:color="auto"/>
      </w:divBdr>
      <w:divsChild>
        <w:div w:id="33623495">
          <w:marLeft w:val="0"/>
          <w:marRight w:val="0"/>
          <w:marTop w:val="0"/>
          <w:marBottom w:val="0"/>
          <w:divBdr>
            <w:top w:val="none" w:sz="0" w:space="0" w:color="auto"/>
            <w:left w:val="none" w:sz="0" w:space="0" w:color="auto"/>
            <w:bottom w:val="none" w:sz="0" w:space="0" w:color="auto"/>
            <w:right w:val="none" w:sz="0" w:space="0" w:color="auto"/>
          </w:divBdr>
        </w:div>
        <w:div w:id="258489205">
          <w:marLeft w:val="0"/>
          <w:marRight w:val="0"/>
          <w:marTop w:val="0"/>
          <w:marBottom w:val="0"/>
          <w:divBdr>
            <w:top w:val="none" w:sz="0" w:space="0" w:color="auto"/>
            <w:left w:val="none" w:sz="0" w:space="0" w:color="auto"/>
            <w:bottom w:val="none" w:sz="0" w:space="0" w:color="auto"/>
            <w:right w:val="none" w:sz="0" w:space="0" w:color="auto"/>
          </w:divBdr>
        </w:div>
        <w:div w:id="946616491">
          <w:marLeft w:val="0"/>
          <w:marRight w:val="0"/>
          <w:marTop w:val="0"/>
          <w:marBottom w:val="0"/>
          <w:divBdr>
            <w:top w:val="none" w:sz="0" w:space="0" w:color="auto"/>
            <w:left w:val="none" w:sz="0" w:space="0" w:color="auto"/>
            <w:bottom w:val="none" w:sz="0" w:space="0" w:color="auto"/>
            <w:right w:val="none" w:sz="0" w:space="0" w:color="auto"/>
          </w:divBdr>
        </w:div>
        <w:div w:id="1250584251">
          <w:marLeft w:val="0"/>
          <w:marRight w:val="0"/>
          <w:marTop w:val="0"/>
          <w:marBottom w:val="0"/>
          <w:divBdr>
            <w:top w:val="none" w:sz="0" w:space="0" w:color="auto"/>
            <w:left w:val="none" w:sz="0" w:space="0" w:color="auto"/>
            <w:bottom w:val="none" w:sz="0" w:space="0" w:color="auto"/>
            <w:right w:val="none" w:sz="0" w:space="0" w:color="auto"/>
          </w:divBdr>
        </w:div>
        <w:div w:id="1966960305">
          <w:marLeft w:val="0"/>
          <w:marRight w:val="0"/>
          <w:marTop w:val="0"/>
          <w:marBottom w:val="0"/>
          <w:divBdr>
            <w:top w:val="none" w:sz="0" w:space="0" w:color="auto"/>
            <w:left w:val="none" w:sz="0" w:space="0" w:color="auto"/>
            <w:bottom w:val="none" w:sz="0" w:space="0" w:color="auto"/>
            <w:right w:val="none" w:sz="0" w:space="0" w:color="auto"/>
          </w:divBdr>
        </w:div>
        <w:div w:id="2043092364">
          <w:marLeft w:val="0"/>
          <w:marRight w:val="0"/>
          <w:marTop w:val="0"/>
          <w:marBottom w:val="0"/>
          <w:divBdr>
            <w:top w:val="none" w:sz="0" w:space="0" w:color="auto"/>
            <w:left w:val="none" w:sz="0" w:space="0" w:color="auto"/>
            <w:bottom w:val="none" w:sz="0" w:space="0" w:color="auto"/>
            <w:right w:val="none" w:sz="0" w:space="0" w:color="auto"/>
          </w:divBdr>
        </w:div>
      </w:divsChild>
    </w:div>
    <w:div w:id="664825782">
      <w:bodyDiv w:val="1"/>
      <w:marLeft w:val="0"/>
      <w:marRight w:val="0"/>
      <w:marTop w:val="0"/>
      <w:marBottom w:val="0"/>
      <w:divBdr>
        <w:top w:val="none" w:sz="0" w:space="0" w:color="auto"/>
        <w:left w:val="none" w:sz="0" w:space="0" w:color="auto"/>
        <w:bottom w:val="none" w:sz="0" w:space="0" w:color="auto"/>
        <w:right w:val="none" w:sz="0" w:space="0" w:color="auto"/>
      </w:divBdr>
      <w:divsChild>
        <w:div w:id="1177041128">
          <w:marLeft w:val="547"/>
          <w:marRight w:val="0"/>
          <w:marTop w:val="60"/>
          <w:marBottom w:val="0"/>
          <w:divBdr>
            <w:top w:val="none" w:sz="0" w:space="0" w:color="auto"/>
            <w:left w:val="none" w:sz="0" w:space="0" w:color="auto"/>
            <w:bottom w:val="none" w:sz="0" w:space="0" w:color="auto"/>
            <w:right w:val="none" w:sz="0" w:space="0" w:color="auto"/>
          </w:divBdr>
        </w:div>
        <w:div w:id="1274939371">
          <w:marLeft w:val="547"/>
          <w:marRight w:val="0"/>
          <w:marTop w:val="60"/>
          <w:marBottom w:val="0"/>
          <w:divBdr>
            <w:top w:val="none" w:sz="0" w:space="0" w:color="auto"/>
            <w:left w:val="none" w:sz="0" w:space="0" w:color="auto"/>
            <w:bottom w:val="none" w:sz="0" w:space="0" w:color="auto"/>
            <w:right w:val="none" w:sz="0" w:space="0" w:color="auto"/>
          </w:divBdr>
        </w:div>
      </w:divsChild>
    </w:div>
    <w:div w:id="704210071">
      <w:bodyDiv w:val="1"/>
      <w:marLeft w:val="0"/>
      <w:marRight w:val="0"/>
      <w:marTop w:val="0"/>
      <w:marBottom w:val="0"/>
      <w:divBdr>
        <w:top w:val="none" w:sz="0" w:space="0" w:color="auto"/>
        <w:left w:val="none" w:sz="0" w:space="0" w:color="auto"/>
        <w:bottom w:val="none" w:sz="0" w:space="0" w:color="auto"/>
        <w:right w:val="none" w:sz="0" w:space="0" w:color="auto"/>
      </w:divBdr>
    </w:div>
    <w:div w:id="729307715">
      <w:bodyDiv w:val="1"/>
      <w:marLeft w:val="0"/>
      <w:marRight w:val="0"/>
      <w:marTop w:val="0"/>
      <w:marBottom w:val="0"/>
      <w:divBdr>
        <w:top w:val="none" w:sz="0" w:space="0" w:color="auto"/>
        <w:left w:val="none" w:sz="0" w:space="0" w:color="auto"/>
        <w:bottom w:val="none" w:sz="0" w:space="0" w:color="auto"/>
        <w:right w:val="none" w:sz="0" w:space="0" w:color="auto"/>
      </w:divBdr>
      <w:divsChild>
        <w:div w:id="66611931">
          <w:marLeft w:val="1800"/>
          <w:marRight w:val="0"/>
          <w:marTop w:val="0"/>
          <w:marBottom w:val="0"/>
          <w:divBdr>
            <w:top w:val="none" w:sz="0" w:space="0" w:color="auto"/>
            <w:left w:val="none" w:sz="0" w:space="0" w:color="auto"/>
            <w:bottom w:val="none" w:sz="0" w:space="0" w:color="auto"/>
            <w:right w:val="none" w:sz="0" w:space="0" w:color="auto"/>
          </w:divBdr>
        </w:div>
        <w:div w:id="150876947">
          <w:marLeft w:val="547"/>
          <w:marRight w:val="0"/>
          <w:marTop w:val="0"/>
          <w:marBottom w:val="0"/>
          <w:divBdr>
            <w:top w:val="none" w:sz="0" w:space="0" w:color="auto"/>
            <w:left w:val="none" w:sz="0" w:space="0" w:color="auto"/>
            <w:bottom w:val="none" w:sz="0" w:space="0" w:color="auto"/>
            <w:right w:val="none" w:sz="0" w:space="0" w:color="auto"/>
          </w:divBdr>
        </w:div>
        <w:div w:id="205527103">
          <w:marLeft w:val="547"/>
          <w:marRight w:val="0"/>
          <w:marTop w:val="0"/>
          <w:marBottom w:val="0"/>
          <w:divBdr>
            <w:top w:val="none" w:sz="0" w:space="0" w:color="auto"/>
            <w:left w:val="none" w:sz="0" w:space="0" w:color="auto"/>
            <w:bottom w:val="none" w:sz="0" w:space="0" w:color="auto"/>
            <w:right w:val="none" w:sz="0" w:space="0" w:color="auto"/>
          </w:divBdr>
        </w:div>
        <w:div w:id="477722735">
          <w:marLeft w:val="547"/>
          <w:marRight w:val="0"/>
          <w:marTop w:val="0"/>
          <w:marBottom w:val="0"/>
          <w:divBdr>
            <w:top w:val="none" w:sz="0" w:space="0" w:color="auto"/>
            <w:left w:val="none" w:sz="0" w:space="0" w:color="auto"/>
            <w:bottom w:val="none" w:sz="0" w:space="0" w:color="auto"/>
            <w:right w:val="none" w:sz="0" w:space="0" w:color="auto"/>
          </w:divBdr>
        </w:div>
        <w:div w:id="1004209640">
          <w:marLeft w:val="547"/>
          <w:marRight w:val="0"/>
          <w:marTop w:val="0"/>
          <w:marBottom w:val="0"/>
          <w:divBdr>
            <w:top w:val="none" w:sz="0" w:space="0" w:color="auto"/>
            <w:left w:val="none" w:sz="0" w:space="0" w:color="auto"/>
            <w:bottom w:val="none" w:sz="0" w:space="0" w:color="auto"/>
            <w:right w:val="none" w:sz="0" w:space="0" w:color="auto"/>
          </w:divBdr>
        </w:div>
        <w:div w:id="1240019460">
          <w:marLeft w:val="1800"/>
          <w:marRight w:val="0"/>
          <w:marTop w:val="0"/>
          <w:marBottom w:val="0"/>
          <w:divBdr>
            <w:top w:val="none" w:sz="0" w:space="0" w:color="auto"/>
            <w:left w:val="none" w:sz="0" w:space="0" w:color="auto"/>
            <w:bottom w:val="none" w:sz="0" w:space="0" w:color="auto"/>
            <w:right w:val="none" w:sz="0" w:space="0" w:color="auto"/>
          </w:divBdr>
        </w:div>
        <w:div w:id="2059477667">
          <w:marLeft w:val="547"/>
          <w:marRight w:val="0"/>
          <w:marTop w:val="0"/>
          <w:marBottom w:val="0"/>
          <w:divBdr>
            <w:top w:val="none" w:sz="0" w:space="0" w:color="auto"/>
            <w:left w:val="none" w:sz="0" w:space="0" w:color="auto"/>
            <w:bottom w:val="none" w:sz="0" w:space="0" w:color="auto"/>
            <w:right w:val="none" w:sz="0" w:space="0" w:color="auto"/>
          </w:divBdr>
        </w:div>
      </w:divsChild>
    </w:div>
    <w:div w:id="845636152">
      <w:bodyDiv w:val="1"/>
      <w:marLeft w:val="0"/>
      <w:marRight w:val="0"/>
      <w:marTop w:val="0"/>
      <w:marBottom w:val="0"/>
      <w:divBdr>
        <w:top w:val="none" w:sz="0" w:space="0" w:color="auto"/>
        <w:left w:val="none" w:sz="0" w:space="0" w:color="auto"/>
        <w:bottom w:val="none" w:sz="0" w:space="0" w:color="auto"/>
        <w:right w:val="none" w:sz="0" w:space="0" w:color="auto"/>
      </w:divBdr>
    </w:div>
    <w:div w:id="850530585">
      <w:bodyDiv w:val="1"/>
      <w:marLeft w:val="0"/>
      <w:marRight w:val="0"/>
      <w:marTop w:val="0"/>
      <w:marBottom w:val="0"/>
      <w:divBdr>
        <w:top w:val="none" w:sz="0" w:space="0" w:color="auto"/>
        <w:left w:val="none" w:sz="0" w:space="0" w:color="auto"/>
        <w:bottom w:val="none" w:sz="0" w:space="0" w:color="auto"/>
        <w:right w:val="none" w:sz="0" w:space="0" w:color="auto"/>
      </w:divBdr>
      <w:divsChild>
        <w:div w:id="95177608">
          <w:marLeft w:val="1166"/>
          <w:marRight w:val="0"/>
          <w:marTop w:val="0"/>
          <w:marBottom w:val="0"/>
          <w:divBdr>
            <w:top w:val="none" w:sz="0" w:space="0" w:color="auto"/>
            <w:left w:val="none" w:sz="0" w:space="0" w:color="auto"/>
            <w:bottom w:val="none" w:sz="0" w:space="0" w:color="auto"/>
            <w:right w:val="none" w:sz="0" w:space="0" w:color="auto"/>
          </w:divBdr>
        </w:div>
        <w:div w:id="103574309">
          <w:marLeft w:val="1166"/>
          <w:marRight w:val="0"/>
          <w:marTop w:val="0"/>
          <w:marBottom w:val="0"/>
          <w:divBdr>
            <w:top w:val="none" w:sz="0" w:space="0" w:color="auto"/>
            <w:left w:val="none" w:sz="0" w:space="0" w:color="auto"/>
            <w:bottom w:val="none" w:sz="0" w:space="0" w:color="auto"/>
            <w:right w:val="none" w:sz="0" w:space="0" w:color="auto"/>
          </w:divBdr>
        </w:div>
        <w:div w:id="198901996">
          <w:marLeft w:val="1166"/>
          <w:marRight w:val="0"/>
          <w:marTop w:val="0"/>
          <w:marBottom w:val="0"/>
          <w:divBdr>
            <w:top w:val="none" w:sz="0" w:space="0" w:color="auto"/>
            <w:left w:val="none" w:sz="0" w:space="0" w:color="auto"/>
            <w:bottom w:val="none" w:sz="0" w:space="0" w:color="auto"/>
            <w:right w:val="none" w:sz="0" w:space="0" w:color="auto"/>
          </w:divBdr>
        </w:div>
        <w:div w:id="531650733">
          <w:marLeft w:val="1166"/>
          <w:marRight w:val="0"/>
          <w:marTop w:val="0"/>
          <w:marBottom w:val="0"/>
          <w:divBdr>
            <w:top w:val="none" w:sz="0" w:space="0" w:color="auto"/>
            <w:left w:val="none" w:sz="0" w:space="0" w:color="auto"/>
            <w:bottom w:val="none" w:sz="0" w:space="0" w:color="auto"/>
            <w:right w:val="none" w:sz="0" w:space="0" w:color="auto"/>
          </w:divBdr>
        </w:div>
        <w:div w:id="704061195">
          <w:marLeft w:val="1166"/>
          <w:marRight w:val="0"/>
          <w:marTop w:val="0"/>
          <w:marBottom w:val="0"/>
          <w:divBdr>
            <w:top w:val="none" w:sz="0" w:space="0" w:color="auto"/>
            <w:left w:val="none" w:sz="0" w:space="0" w:color="auto"/>
            <w:bottom w:val="none" w:sz="0" w:space="0" w:color="auto"/>
            <w:right w:val="none" w:sz="0" w:space="0" w:color="auto"/>
          </w:divBdr>
        </w:div>
        <w:div w:id="834614594">
          <w:marLeft w:val="547"/>
          <w:marRight w:val="0"/>
          <w:marTop w:val="0"/>
          <w:marBottom w:val="0"/>
          <w:divBdr>
            <w:top w:val="none" w:sz="0" w:space="0" w:color="auto"/>
            <w:left w:val="none" w:sz="0" w:space="0" w:color="auto"/>
            <w:bottom w:val="none" w:sz="0" w:space="0" w:color="auto"/>
            <w:right w:val="none" w:sz="0" w:space="0" w:color="auto"/>
          </w:divBdr>
        </w:div>
        <w:div w:id="1529875871">
          <w:marLeft w:val="547"/>
          <w:marRight w:val="0"/>
          <w:marTop w:val="0"/>
          <w:marBottom w:val="0"/>
          <w:divBdr>
            <w:top w:val="none" w:sz="0" w:space="0" w:color="auto"/>
            <w:left w:val="none" w:sz="0" w:space="0" w:color="auto"/>
            <w:bottom w:val="none" w:sz="0" w:space="0" w:color="auto"/>
            <w:right w:val="none" w:sz="0" w:space="0" w:color="auto"/>
          </w:divBdr>
        </w:div>
        <w:div w:id="1782913641">
          <w:marLeft w:val="547"/>
          <w:marRight w:val="0"/>
          <w:marTop w:val="0"/>
          <w:marBottom w:val="0"/>
          <w:divBdr>
            <w:top w:val="none" w:sz="0" w:space="0" w:color="auto"/>
            <w:left w:val="none" w:sz="0" w:space="0" w:color="auto"/>
            <w:bottom w:val="none" w:sz="0" w:space="0" w:color="auto"/>
            <w:right w:val="none" w:sz="0" w:space="0" w:color="auto"/>
          </w:divBdr>
        </w:div>
        <w:div w:id="1932932935">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483575">
      <w:bodyDiv w:val="1"/>
      <w:marLeft w:val="0"/>
      <w:marRight w:val="0"/>
      <w:marTop w:val="0"/>
      <w:marBottom w:val="0"/>
      <w:divBdr>
        <w:top w:val="none" w:sz="0" w:space="0" w:color="auto"/>
        <w:left w:val="none" w:sz="0" w:space="0" w:color="auto"/>
        <w:bottom w:val="none" w:sz="0" w:space="0" w:color="auto"/>
        <w:right w:val="none" w:sz="0" w:space="0" w:color="auto"/>
      </w:divBdr>
      <w:divsChild>
        <w:div w:id="258225247">
          <w:marLeft w:val="0"/>
          <w:marRight w:val="0"/>
          <w:marTop w:val="0"/>
          <w:marBottom w:val="0"/>
          <w:divBdr>
            <w:top w:val="none" w:sz="0" w:space="0" w:color="auto"/>
            <w:left w:val="none" w:sz="0" w:space="0" w:color="auto"/>
            <w:bottom w:val="none" w:sz="0" w:space="0" w:color="auto"/>
            <w:right w:val="none" w:sz="0" w:space="0" w:color="auto"/>
          </w:divBdr>
        </w:div>
        <w:div w:id="759956717">
          <w:marLeft w:val="0"/>
          <w:marRight w:val="0"/>
          <w:marTop w:val="0"/>
          <w:marBottom w:val="0"/>
          <w:divBdr>
            <w:top w:val="none" w:sz="0" w:space="0" w:color="auto"/>
            <w:left w:val="none" w:sz="0" w:space="0" w:color="auto"/>
            <w:bottom w:val="none" w:sz="0" w:space="0" w:color="auto"/>
            <w:right w:val="none" w:sz="0" w:space="0" w:color="auto"/>
          </w:divBdr>
        </w:div>
        <w:div w:id="2089770666">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2363058">
      <w:bodyDiv w:val="1"/>
      <w:marLeft w:val="0"/>
      <w:marRight w:val="0"/>
      <w:marTop w:val="0"/>
      <w:marBottom w:val="0"/>
      <w:divBdr>
        <w:top w:val="none" w:sz="0" w:space="0" w:color="auto"/>
        <w:left w:val="none" w:sz="0" w:space="0" w:color="auto"/>
        <w:bottom w:val="none" w:sz="0" w:space="0" w:color="auto"/>
        <w:right w:val="none" w:sz="0" w:space="0" w:color="auto"/>
      </w:divBdr>
      <w:divsChild>
        <w:div w:id="767820321">
          <w:marLeft w:val="547"/>
          <w:marRight w:val="0"/>
          <w:marTop w:val="60"/>
          <w:marBottom w:val="0"/>
          <w:divBdr>
            <w:top w:val="none" w:sz="0" w:space="0" w:color="auto"/>
            <w:left w:val="none" w:sz="0" w:space="0" w:color="auto"/>
            <w:bottom w:val="none" w:sz="0" w:space="0" w:color="auto"/>
            <w:right w:val="none" w:sz="0" w:space="0" w:color="auto"/>
          </w:divBdr>
        </w:div>
      </w:divsChild>
    </w:div>
    <w:div w:id="1193377572">
      <w:bodyDiv w:val="1"/>
      <w:marLeft w:val="0"/>
      <w:marRight w:val="0"/>
      <w:marTop w:val="0"/>
      <w:marBottom w:val="0"/>
      <w:divBdr>
        <w:top w:val="none" w:sz="0" w:space="0" w:color="auto"/>
        <w:left w:val="none" w:sz="0" w:space="0" w:color="auto"/>
        <w:bottom w:val="none" w:sz="0" w:space="0" w:color="auto"/>
        <w:right w:val="none" w:sz="0" w:space="0" w:color="auto"/>
      </w:divBdr>
      <w:divsChild>
        <w:div w:id="29033920">
          <w:marLeft w:val="3240"/>
          <w:marRight w:val="0"/>
          <w:marTop w:val="0"/>
          <w:marBottom w:val="0"/>
          <w:divBdr>
            <w:top w:val="none" w:sz="0" w:space="0" w:color="auto"/>
            <w:left w:val="none" w:sz="0" w:space="0" w:color="auto"/>
            <w:bottom w:val="none" w:sz="0" w:space="0" w:color="auto"/>
            <w:right w:val="none" w:sz="0" w:space="0" w:color="auto"/>
          </w:divBdr>
        </w:div>
        <w:div w:id="339699360">
          <w:marLeft w:val="2520"/>
          <w:marRight w:val="0"/>
          <w:marTop w:val="0"/>
          <w:marBottom w:val="0"/>
          <w:divBdr>
            <w:top w:val="none" w:sz="0" w:space="0" w:color="auto"/>
            <w:left w:val="none" w:sz="0" w:space="0" w:color="auto"/>
            <w:bottom w:val="none" w:sz="0" w:space="0" w:color="auto"/>
            <w:right w:val="none" w:sz="0" w:space="0" w:color="auto"/>
          </w:divBdr>
        </w:div>
        <w:div w:id="365571422">
          <w:marLeft w:val="2520"/>
          <w:marRight w:val="0"/>
          <w:marTop w:val="0"/>
          <w:marBottom w:val="0"/>
          <w:divBdr>
            <w:top w:val="none" w:sz="0" w:space="0" w:color="auto"/>
            <w:left w:val="none" w:sz="0" w:space="0" w:color="auto"/>
            <w:bottom w:val="none" w:sz="0" w:space="0" w:color="auto"/>
            <w:right w:val="none" w:sz="0" w:space="0" w:color="auto"/>
          </w:divBdr>
        </w:div>
        <w:div w:id="395520717">
          <w:marLeft w:val="1166"/>
          <w:marRight w:val="0"/>
          <w:marTop w:val="0"/>
          <w:marBottom w:val="0"/>
          <w:divBdr>
            <w:top w:val="none" w:sz="0" w:space="0" w:color="auto"/>
            <w:left w:val="none" w:sz="0" w:space="0" w:color="auto"/>
            <w:bottom w:val="none" w:sz="0" w:space="0" w:color="auto"/>
            <w:right w:val="none" w:sz="0" w:space="0" w:color="auto"/>
          </w:divBdr>
        </w:div>
        <w:div w:id="615408702">
          <w:marLeft w:val="2520"/>
          <w:marRight w:val="0"/>
          <w:marTop w:val="0"/>
          <w:marBottom w:val="0"/>
          <w:divBdr>
            <w:top w:val="none" w:sz="0" w:space="0" w:color="auto"/>
            <w:left w:val="none" w:sz="0" w:space="0" w:color="auto"/>
            <w:bottom w:val="none" w:sz="0" w:space="0" w:color="auto"/>
            <w:right w:val="none" w:sz="0" w:space="0" w:color="auto"/>
          </w:divBdr>
        </w:div>
        <w:div w:id="686829866">
          <w:marLeft w:val="2520"/>
          <w:marRight w:val="0"/>
          <w:marTop w:val="0"/>
          <w:marBottom w:val="0"/>
          <w:divBdr>
            <w:top w:val="none" w:sz="0" w:space="0" w:color="auto"/>
            <w:left w:val="none" w:sz="0" w:space="0" w:color="auto"/>
            <w:bottom w:val="none" w:sz="0" w:space="0" w:color="auto"/>
            <w:right w:val="none" w:sz="0" w:space="0" w:color="auto"/>
          </w:divBdr>
        </w:div>
        <w:div w:id="775833947">
          <w:marLeft w:val="1166"/>
          <w:marRight w:val="0"/>
          <w:marTop w:val="0"/>
          <w:marBottom w:val="0"/>
          <w:divBdr>
            <w:top w:val="none" w:sz="0" w:space="0" w:color="auto"/>
            <w:left w:val="none" w:sz="0" w:space="0" w:color="auto"/>
            <w:bottom w:val="none" w:sz="0" w:space="0" w:color="auto"/>
            <w:right w:val="none" w:sz="0" w:space="0" w:color="auto"/>
          </w:divBdr>
        </w:div>
        <w:div w:id="1102341821">
          <w:marLeft w:val="1800"/>
          <w:marRight w:val="0"/>
          <w:marTop w:val="0"/>
          <w:marBottom w:val="0"/>
          <w:divBdr>
            <w:top w:val="none" w:sz="0" w:space="0" w:color="auto"/>
            <w:left w:val="none" w:sz="0" w:space="0" w:color="auto"/>
            <w:bottom w:val="none" w:sz="0" w:space="0" w:color="auto"/>
            <w:right w:val="none" w:sz="0" w:space="0" w:color="auto"/>
          </w:divBdr>
        </w:div>
        <w:div w:id="1137256585">
          <w:marLeft w:val="1166"/>
          <w:marRight w:val="0"/>
          <w:marTop w:val="0"/>
          <w:marBottom w:val="0"/>
          <w:divBdr>
            <w:top w:val="none" w:sz="0" w:space="0" w:color="auto"/>
            <w:left w:val="none" w:sz="0" w:space="0" w:color="auto"/>
            <w:bottom w:val="none" w:sz="0" w:space="0" w:color="auto"/>
            <w:right w:val="none" w:sz="0" w:space="0" w:color="auto"/>
          </w:divBdr>
        </w:div>
        <w:div w:id="1213346232">
          <w:marLeft w:val="1800"/>
          <w:marRight w:val="0"/>
          <w:marTop w:val="0"/>
          <w:marBottom w:val="0"/>
          <w:divBdr>
            <w:top w:val="none" w:sz="0" w:space="0" w:color="auto"/>
            <w:left w:val="none" w:sz="0" w:space="0" w:color="auto"/>
            <w:bottom w:val="none" w:sz="0" w:space="0" w:color="auto"/>
            <w:right w:val="none" w:sz="0" w:space="0" w:color="auto"/>
          </w:divBdr>
        </w:div>
        <w:div w:id="1218935728">
          <w:marLeft w:val="2520"/>
          <w:marRight w:val="0"/>
          <w:marTop w:val="0"/>
          <w:marBottom w:val="0"/>
          <w:divBdr>
            <w:top w:val="none" w:sz="0" w:space="0" w:color="auto"/>
            <w:left w:val="none" w:sz="0" w:space="0" w:color="auto"/>
            <w:bottom w:val="none" w:sz="0" w:space="0" w:color="auto"/>
            <w:right w:val="none" w:sz="0" w:space="0" w:color="auto"/>
          </w:divBdr>
        </w:div>
        <w:div w:id="1575316279">
          <w:marLeft w:val="547"/>
          <w:marRight w:val="0"/>
          <w:marTop w:val="0"/>
          <w:marBottom w:val="0"/>
          <w:divBdr>
            <w:top w:val="none" w:sz="0" w:space="0" w:color="auto"/>
            <w:left w:val="none" w:sz="0" w:space="0" w:color="auto"/>
            <w:bottom w:val="none" w:sz="0" w:space="0" w:color="auto"/>
            <w:right w:val="none" w:sz="0" w:space="0" w:color="auto"/>
          </w:divBdr>
        </w:div>
        <w:div w:id="1657563167">
          <w:marLeft w:val="2520"/>
          <w:marRight w:val="0"/>
          <w:marTop w:val="0"/>
          <w:marBottom w:val="0"/>
          <w:divBdr>
            <w:top w:val="none" w:sz="0" w:space="0" w:color="auto"/>
            <w:left w:val="none" w:sz="0" w:space="0" w:color="auto"/>
            <w:bottom w:val="none" w:sz="0" w:space="0" w:color="auto"/>
            <w:right w:val="none" w:sz="0" w:space="0" w:color="auto"/>
          </w:divBdr>
        </w:div>
        <w:div w:id="1730111610">
          <w:marLeft w:val="547"/>
          <w:marRight w:val="0"/>
          <w:marTop w:val="0"/>
          <w:marBottom w:val="0"/>
          <w:divBdr>
            <w:top w:val="none" w:sz="0" w:space="0" w:color="auto"/>
            <w:left w:val="none" w:sz="0" w:space="0" w:color="auto"/>
            <w:bottom w:val="none" w:sz="0" w:space="0" w:color="auto"/>
            <w:right w:val="none" w:sz="0" w:space="0" w:color="auto"/>
          </w:divBdr>
        </w:div>
        <w:div w:id="1964460159">
          <w:marLeft w:val="547"/>
          <w:marRight w:val="0"/>
          <w:marTop w:val="0"/>
          <w:marBottom w:val="0"/>
          <w:divBdr>
            <w:top w:val="none" w:sz="0" w:space="0" w:color="auto"/>
            <w:left w:val="none" w:sz="0" w:space="0" w:color="auto"/>
            <w:bottom w:val="none" w:sz="0" w:space="0" w:color="auto"/>
            <w:right w:val="none" w:sz="0" w:space="0" w:color="auto"/>
          </w:divBdr>
        </w:div>
        <w:div w:id="1991857817">
          <w:marLeft w:val="3240"/>
          <w:marRight w:val="0"/>
          <w:marTop w:val="0"/>
          <w:marBottom w:val="0"/>
          <w:divBdr>
            <w:top w:val="none" w:sz="0" w:space="0" w:color="auto"/>
            <w:left w:val="none" w:sz="0" w:space="0" w:color="auto"/>
            <w:bottom w:val="none" w:sz="0" w:space="0" w:color="auto"/>
            <w:right w:val="none" w:sz="0" w:space="0" w:color="auto"/>
          </w:divBdr>
        </w:div>
        <w:div w:id="2067293819">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477483">
      <w:bodyDiv w:val="1"/>
      <w:marLeft w:val="0"/>
      <w:marRight w:val="0"/>
      <w:marTop w:val="0"/>
      <w:marBottom w:val="0"/>
      <w:divBdr>
        <w:top w:val="none" w:sz="0" w:space="0" w:color="auto"/>
        <w:left w:val="none" w:sz="0" w:space="0" w:color="auto"/>
        <w:bottom w:val="none" w:sz="0" w:space="0" w:color="auto"/>
        <w:right w:val="none" w:sz="0" w:space="0" w:color="auto"/>
      </w:divBdr>
      <w:divsChild>
        <w:div w:id="1448618125">
          <w:marLeft w:val="547"/>
          <w:marRight w:val="0"/>
          <w:marTop w:val="60"/>
          <w:marBottom w:val="0"/>
          <w:divBdr>
            <w:top w:val="none" w:sz="0" w:space="0" w:color="auto"/>
            <w:left w:val="none" w:sz="0" w:space="0" w:color="auto"/>
            <w:bottom w:val="none" w:sz="0" w:space="0" w:color="auto"/>
            <w:right w:val="none" w:sz="0" w:space="0" w:color="auto"/>
          </w:divBdr>
        </w:div>
      </w:divsChild>
    </w:div>
    <w:div w:id="1383627925">
      <w:bodyDiv w:val="1"/>
      <w:marLeft w:val="0"/>
      <w:marRight w:val="0"/>
      <w:marTop w:val="0"/>
      <w:marBottom w:val="0"/>
      <w:divBdr>
        <w:top w:val="none" w:sz="0" w:space="0" w:color="auto"/>
        <w:left w:val="none" w:sz="0" w:space="0" w:color="auto"/>
        <w:bottom w:val="none" w:sz="0" w:space="0" w:color="auto"/>
        <w:right w:val="none" w:sz="0" w:space="0" w:color="auto"/>
      </w:divBdr>
      <w:divsChild>
        <w:div w:id="23217993">
          <w:marLeft w:val="0"/>
          <w:marRight w:val="0"/>
          <w:marTop w:val="0"/>
          <w:marBottom w:val="0"/>
          <w:divBdr>
            <w:top w:val="none" w:sz="0" w:space="0" w:color="auto"/>
            <w:left w:val="none" w:sz="0" w:space="0" w:color="auto"/>
            <w:bottom w:val="none" w:sz="0" w:space="0" w:color="auto"/>
            <w:right w:val="none" w:sz="0" w:space="0" w:color="auto"/>
          </w:divBdr>
        </w:div>
        <w:div w:id="402290588">
          <w:marLeft w:val="0"/>
          <w:marRight w:val="0"/>
          <w:marTop w:val="0"/>
          <w:marBottom w:val="0"/>
          <w:divBdr>
            <w:top w:val="none" w:sz="0" w:space="0" w:color="auto"/>
            <w:left w:val="none" w:sz="0" w:space="0" w:color="auto"/>
            <w:bottom w:val="none" w:sz="0" w:space="0" w:color="auto"/>
            <w:right w:val="none" w:sz="0" w:space="0" w:color="auto"/>
          </w:divBdr>
        </w:div>
        <w:div w:id="1454009842">
          <w:marLeft w:val="0"/>
          <w:marRight w:val="0"/>
          <w:marTop w:val="0"/>
          <w:marBottom w:val="0"/>
          <w:divBdr>
            <w:top w:val="none" w:sz="0" w:space="0" w:color="auto"/>
            <w:left w:val="none" w:sz="0" w:space="0" w:color="auto"/>
            <w:bottom w:val="none" w:sz="0" w:space="0" w:color="auto"/>
            <w:right w:val="none" w:sz="0" w:space="0" w:color="auto"/>
          </w:divBdr>
        </w:div>
        <w:div w:id="1494371924">
          <w:marLeft w:val="0"/>
          <w:marRight w:val="0"/>
          <w:marTop w:val="0"/>
          <w:marBottom w:val="0"/>
          <w:divBdr>
            <w:top w:val="none" w:sz="0" w:space="0" w:color="auto"/>
            <w:left w:val="none" w:sz="0" w:space="0" w:color="auto"/>
            <w:bottom w:val="none" w:sz="0" w:space="0" w:color="auto"/>
            <w:right w:val="none" w:sz="0" w:space="0" w:color="auto"/>
          </w:divBdr>
        </w:div>
      </w:divsChild>
    </w:div>
    <w:div w:id="1399211460">
      <w:bodyDiv w:val="1"/>
      <w:marLeft w:val="0"/>
      <w:marRight w:val="0"/>
      <w:marTop w:val="0"/>
      <w:marBottom w:val="0"/>
      <w:divBdr>
        <w:top w:val="none" w:sz="0" w:space="0" w:color="auto"/>
        <w:left w:val="none" w:sz="0" w:space="0" w:color="auto"/>
        <w:bottom w:val="none" w:sz="0" w:space="0" w:color="auto"/>
        <w:right w:val="none" w:sz="0" w:space="0" w:color="auto"/>
      </w:divBdr>
      <w:divsChild>
        <w:div w:id="91972291">
          <w:marLeft w:val="1800"/>
          <w:marRight w:val="0"/>
          <w:marTop w:val="0"/>
          <w:marBottom w:val="0"/>
          <w:divBdr>
            <w:top w:val="none" w:sz="0" w:space="0" w:color="auto"/>
            <w:left w:val="none" w:sz="0" w:space="0" w:color="auto"/>
            <w:bottom w:val="none" w:sz="0" w:space="0" w:color="auto"/>
            <w:right w:val="none" w:sz="0" w:space="0" w:color="auto"/>
          </w:divBdr>
        </w:div>
        <w:div w:id="125632702">
          <w:marLeft w:val="547"/>
          <w:marRight w:val="0"/>
          <w:marTop w:val="0"/>
          <w:marBottom w:val="0"/>
          <w:divBdr>
            <w:top w:val="none" w:sz="0" w:space="0" w:color="auto"/>
            <w:left w:val="none" w:sz="0" w:space="0" w:color="auto"/>
            <w:bottom w:val="none" w:sz="0" w:space="0" w:color="auto"/>
            <w:right w:val="none" w:sz="0" w:space="0" w:color="auto"/>
          </w:divBdr>
        </w:div>
        <w:div w:id="382952201">
          <w:marLeft w:val="547"/>
          <w:marRight w:val="0"/>
          <w:marTop w:val="0"/>
          <w:marBottom w:val="0"/>
          <w:divBdr>
            <w:top w:val="none" w:sz="0" w:space="0" w:color="auto"/>
            <w:left w:val="none" w:sz="0" w:space="0" w:color="auto"/>
            <w:bottom w:val="none" w:sz="0" w:space="0" w:color="auto"/>
            <w:right w:val="none" w:sz="0" w:space="0" w:color="auto"/>
          </w:divBdr>
        </w:div>
        <w:div w:id="389815411">
          <w:marLeft w:val="1800"/>
          <w:marRight w:val="0"/>
          <w:marTop w:val="0"/>
          <w:marBottom w:val="0"/>
          <w:divBdr>
            <w:top w:val="none" w:sz="0" w:space="0" w:color="auto"/>
            <w:left w:val="none" w:sz="0" w:space="0" w:color="auto"/>
            <w:bottom w:val="none" w:sz="0" w:space="0" w:color="auto"/>
            <w:right w:val="none" w:sz="0" w:space="0" w:color="auto"/>
          </w:divBdr>
        </w:div>
        <w:div w:id="1046638392">
          <w:marLeft w:val="547"/>
          <w:marRight w:val="0"/>
          <w:marTop w:val="0"/>
          <w:marBottom w:val="0"/>
          <w:divBdr>
            <w:top w:val="none" w:sz="0" w:space="0" w:color="auto"/>
            <w:left w:val="none" w:sz="0" w:space="0" w:color="auto"/>
            <w:bottom w:val="none" w:sz="0" w:space="0" w:color="auto"/>
            <w:right w:val="none" w:sz="0" w:space="0" w:color="auto"/>
          </w:divBdr>
        </w:div>
        <w:div w:id="1626696308">
          <w:marLeft w:val="547"/>
          <w:marRight w:val="0"/>
          <w:marTop w:val="0"/>
          <w:marBottom w:val="0"/>
          <w:divBdr>
            <w:top w:val="none" w:sz="0" w:space="0" w:color="auto"/>
            <w:left w:val="none" w:sz="0" w:space="0" w:color="auto"/>
            <w:bottom w:val="none" w:sz="0" w:space="0" w:color="auto"/>
            <w:right w:val="none" w:sz="0" w:space="0" w:color="auto"/>
          </w:divBdr>
        </w:div>
        <w:div w:id="1876850555">
          <w:marLeft w:val="547"/>
          <w:marRight w:val="0"/>
          <w:marTop w:val="0"/>
          <w:marBottom w:val="0"/>
          <w:divBdr>
            <w:top w:val="none" w:sz="0" w:space="0" w:color="auto"/>
            <w:left w:val="none" w:sz="0" w:space="0" w:color="auto"/>
            <w:bottom w:val="none" w:sz="0" w:space="0" w:color="auto"/>
            <w:right w:val="none" w:sz="0" w:space="0" w:color="auto"/>
          </w:divBdr>
        </w:div>
      </w:divsChild>
    </w:div>
    <w:div w:id="1559390419">
      <w:bodyDiv w:val="1"/>
      <w:marLeft w:val="0"/>
      <w:marRight w:val="0"/>
      <w:marTop w:val="0"/>
      <w:marBottom w:val="0"/>
      <w:divBdr>
        <w:top w:val="none" w:sz="0" w:space="0" w:color="auto"/>
        <w:left w:val="none" w:sz="0" w:space="0" w:color="auto"/>
        <w:bottom w:val="none" w:sz="0" w:space="0" w:color="auto"/>
        <w:right w:val="none" w:sz="0" w:space="0" w:color="auto"/>
      </w:divBdr>
      <w:divsChild>
        <w:div w:id="1363747178">
          <w:marLeft w:val="0"/>
          <w:marRight w:val="0"/>
          <w:marTop w:val="0"/>
          <w:marBottom w:val="0"/>
          <w:divBdr>
            <w:top w:val="none" w:sz="0" w:space="0" w:color="auto"/>
            <w:left w:val="none" w:sz="0" w:space="0" w:color="auto"/>
            <w:bottom w:val="none" w:sz="0" w:space="0" w:color="auto"/>
            <w:right w:val="none" w:sz="0" w:space="0" w:color="auto"/>
          </w:divBdr>
        </w:div>
        <w:div w:id="1583416549">
          <w:marLeft w:val="0"/>
          <w:marRight w:val="0"/>
          <w:marTop w:val="0"/>
          <w:marBottom w:val="0"/>
          <w:divBdr>
            <w:top w:val="none" w:sz="0" w:space="0" w:color="auto"/>
            <w:left w:val="none" w:sz="0" w:space="0" w:color="auto"/>
            <w:bottom w:val="none" w:sz="0" w:space="0" w:color="auto"/>
            <w:right w:val="none" w:sz="0" w:space="0" w:color="auto"/>
          </w:divBdr>
        </w:div>
        <w:div w:id="1793016822">
          <w:marLeft w:val="0"/>
          <w:marRight w:val="0"/>
          <w:marTop w:val="0"/>
          <w:marBottom w:val="0"/>
          <w:divBdr>
            <w:top w:val="none" w:sz="0" w:space="0" w:color="auto"/>
            <w:left w:val="none" w:sz="0" w:space="0" w:color="auto"/>
            <w:bottom w:val="none" w:sz="0" w:space="0" w:color="auto"/>
            <w:right w:val="none" w:sz="0" w:space="0" w:color="auto"/>
          </w:divBdr>
        </w:div>
      </w:divsChild>
    </w:div>
    <w:div w:id="1580823494">
      <w:bodyDiv w:val="1"/>
      <w:marLeft w:val="0"/>
      <w:marRight w:val="0"/>
      <w:marTop w:val="0"/>
      <w:marBottom w:val="0"/>
      <w:divBdr>
        <w:top w:val="none" w:sz="0" w:space="0" w:color="auto"/>
        <w:left w:val="none" w:sz="0" w:space="0" w:color="auto"/>
        <w:bottom w:val="none" w:sz="0" w:space="0" w:color="auto"/>
        <w:right w:val="none" w:sz="0" w:space="0" w:color="auto"/>
      </w:divBdr>
      <w:divsChild>
        <w:div w:id="434597388">
          <w:marLeft w:val="0"/>
          <w:marRight w:val="0"/>
          <w:marTop w:val="0"/>
          <w:marBottom w:val="0"/>
          <w:divBdr>
            <w:top w:val="none" w:sz="0" w:space="0" w:color="auto"/>
            <w:left w:val="none" w:sz="0" w:space="0" w:color="auto"/>
            <w:bottom w:val="none" w:sz="0" w:space="0" w:color="auto"/>
            <w:right w:val="none" w:sz="0" w:space="0" w:color="auto"/>
          </w:divBdr>
        </w:div>
        <w:div w:id="453985998">
          <w:marLeft w:val="0"/>
          <w:marRight w:val="0"/>
          <w:marTop w:val="0"/>
          <w:marBottom w:val="0"/>
          <w:divBdr>
            <w:top w:val="none" w:sz="0" w:space="0" w:color="auto"/>
            <w:left w:val="none" w:sz="0" w:space="0" w:color="auto"/>
            <w:bottom w:val="none" w:sz="0" w:space="0" w:color="auto"/>
            <w:right w:val="none" w:sz="0" w:space="0" w:color="auto"/>
          </w:divBdr>
        </w:div>
        <w:div w:id="514199235">
          <w:marLeft w:val="0"/>
          <w:marRight w:val="0"/>
          <w:marTop w:val="0"/>
          <w:marBottom w:val="0"/>
          <w:divBdr>
            <w:top w:val="none" w:sz="0" w:space="0" w:color="auto"/>
            <w:left w:val="none" w:sz="0" w:space="0" w:color="auto"/>
            <w:bottom w:val="none" w:sz="0" w:space="0" w:color="auto"/>
            <w:right w:val="none" w:sz="0" w:space="0" w:color="auto"/>
          </w:divBdr>
        </w:div>
        <w:div w:id="1051926844">
          <w:marLeft w:val="0"/>
          <w:marRight w:val="0"/>
          <w:marTop w:val="0"/>
          <w:marBottom w:val="0"/>
          <w:divBdr>
            <w:top w:val="none" w:sz="0" w:space="0" w:color="auto"/>
            <w:left w:val="none" w:sz="0" w:space="0" w:color="auto"/>
            <w:bottom w:val="none" w:sz="0" w:space="0" w:color="auto"/>
            <w:right w:val="none" w:sz="0" w:space="0" w:color="auto"/>
          </w:divBdr>
        </w:div>
        <w:div w:id="1676107236">
          <w:marLeft w:val="0"/>
          <w:marRight w:val="0"/>
          <w:marTop w:val="0"/>
          <w:marBottom w:val="0"/>
          <w:divBdr>
            <w:top w:val="none" w:sz="0" w:space="0" w:color="auto"/>
            <w:left w:val="none" w:sz="0" w:space="0" w:color="auto"/>
            <w:bottom w:val="none" w:sz="0" w:space="0" w:color="auto"/>
            <w:right w:val="none" w:sz="0" w:space="0" w:color="auto"/>
          </w:divBdr>
        </w:div>
        <w:div w:id="1938054381">
          <w:marLeft w:val="0"/>
          <w:marRight w:val="0"/>
          <w:marTop w:val="0"/>
          <w:marBottom w:val="0"/>
          <w:divBdr>
            <w:top w:val="none" w:sz="0" w:space="0" w:color="auto"/>
            <w:left w:val="none" w:sz="0" w:space="0" w:color="auto"/>
            <w:bottom w:val="none" w:sz="0" w:space="0" w:color="auto"/>
            <w:right w:val="none" w:sz="0" w:space="0" w:color="auto"/>
          </w:divBdr>
        </w:div>
      </w:divsChild>
    </w:div>
    <w:div w:id="1718773239">
      <w:bodyDiv w:val="1"/>
      <w:marLeft w:val="0"/>
      <w:marRight w:val="0"/>
      <w:marTop w:val="0"/>
      <w:marBottom w:val="0"/>
      <w:divBdr>
        <w:top w:val="none" w:sz="0" w:space="0" w:color="auto"/>
        <w:left w:val="none" w:sz="0" w:space="0" w:color="auto"/>
        <w:bottom w:val="none" w:sz="0" w:space="0" w:color="auto"/>
        <w:right w:val="none" w:sz="0" w:space="0" w:color="auto"/>
      </w:divBdr>
    </w:div>
    <w:div w:id="1798334327">
      <w:bodyDiv w:val="1"/>
      <w:marLeft w:val="0"/>
      <w:marRight w:val="0"/>
      <w:marTop w:val="0"/>
      <w:marBottom w:val="0"/>
      <w:divBdr>
        <w:top w:val="none" w:sz="0" w:space="0" w:color="auto"/>
        <w:left w:val="none" w:sz="0" w:space="0" w:color="auto"/>
        <w:bottom w:val="none" w:sz="0" w:space="0" w:color="auto"/>
        <w:right w:val="none" w:sz="0" w:space="0" w:color="auto"/>
      </w:divBdr>
    </w:div>
    <w:div w:id="1822694226">
      <w:bodyDiv w:val="1"/>
      <w:marLeft w:val="0"/>
      <w:marRight w:val="0"/>
      <w:marTop w:val="0"/>
      <w:marBottom w:val="0"/>
      <w:divBdr>
        <w:top w:val="none" w:sz="0" w:space="0" w:color="auto"/>
        <w:left w:val="none" w:sz="0" w:space="0" w:color="auto"/>
        <w:bottom w:val="none" w:sz="0" w:space="0" w:color="auto"/>
        <w:right w:val="none" w:sz="0" w:space="0" w:color="auto"/>
      </w:divBdr>
      <w:divsChild>
        <w:div w:id="12808896">
          <w:marLeft w:val="547"/>
          <w:marRight w:val="0"/>
          <w:marTop w:val="0"/>
          <w:marBottom w:val="0"/>
          <w:divBdr>
            <w:top w:val="none" w:sz="0" w:space="0" w:color="auto"/>
            <w:left w:val="none" w:sz="0" w:space="0" w:color="auto"/>
            <w:bottom w:val="none" w:sz="0" w:space="0" w:color="auto"/>
            <w:right w:val="none" w:sz="0" w:space="0" w:color="auto"/>
          </w:divBdr>
        </w:div>
        <w:div w:id="1996253658">
          <w:marLeft w:val="547"/>
          <w:marRight w:val="0"/>
          <w:marTop w:val="0"/>
          <w:marBottom w:val="180"/>
          <w:divBdr>
            <w:top w:val="none" w:sz="0" w:space="0" w:color="auto"/>
            <w:left w:val="none" w:sz="0" w:space="0" w:color="auto"/>
            <w:bottom w:val="none" w:sz="0" w:space="0" w:color="auto"/>
            <w:right w:val="none" w:sz="0" w:space="0" w:color="auto"/>
          </w:divBdr>
        </w:div>
        <w:div w:id="2070224549">
          <w:marLeft w:val="547"/>
          <w:marRight w:val="0"/>
          <w:marTop w:val="0"/>
          <w:marBottom w:val="0"/>
          <w:divBdr>
            <w:top w:val="none" w:sz="0" w:space="0" w:color="auto"/>
            <w:left w:val="none" w:sz="0" w:space="0" w:color="auto"/>
            <w:bottom w:val="none" w:sz="0" w:space="0" w:color="auto"/>
            <w:right w:val="none" w:sz="0" w:space="0" w:color="auto"/>
          </w:divBdr>
        </w:div>
      </w:divsChild>
    </w:div>
    <w:div w:id="1877573430">
      <w:bodyDiv w:val="1"/>
      <w:marLeft w:val="0"/>
      <w:marRight w:val="0"/>
      <w:marTop w:val="0"/>
      <w:marBottom w:val="0"/>
      <w:divBdr>
        <w:top w:val="none" w:sz="0" w:space="0" w:color="auto"/>
        <w:left w:val="none" w:sz="0" w:space="0" w:color="auto"/>
        <w:bottom w:val="none" w:sz="0" w:space="0" w:color="auto"/>
        <w:right w:val="none" w:sz="0" w:space="0" w:color="auto"/>
      </w:divBdr>
    </w:div>
    <w:div w:id="1923903620">
      <w:bodyDiv w:val="1"/>
      <w:marLeft w:val="0"/>
      <w:marRight w:val="0"/>
      <w:marTop w:val="0"/>
      <w:marBottom w:val="0"/>
      <w:divBdr>
        <w:top w:val="none" w:sz="0" w:space="0" w:color="auto"/>
        <w:left w:val="none" w:sz="0" w:space="0" w:color="auto"/>
        <w:bottom w:val="none" w:sz="0" w:space="0" w:color="auto"/>
        <w:right w:val="none" w:sz="0" w:space="0" w:color="auto"/>
      </w:divBdr>
      <w:divsChild>
        <w:div w:id="1217470896">
          <w:marLeft w:val="0"/>
          <w:marRight w:val="0"/>
          <w:marTop w:val="0"/>
          <w:marBottom w:val="0"/>
          <w:divBdr>
            <w:top w:val="none" w:sz="0" w:space="0" w:color="auto"/>
            <w:left w:val="none" w:sz="0" w:space="0" w:color="auto"/>
            <w:bottom w:val="none" w:sz="0" w:space="0" w:color="auto"/>
            <w:right w:val="none" w:sz="0" w:space="0" w:color="auto"/>
          </w:divBdr>
        </w:div>
        <w:div w:id="1358002557">
          <w:marLeft w:val="0"/>
          <w:marRight w:val="0"/>
          <w:marTop w:val="0"/>
          <w:marBottom w:val="0"/>
          <w:divBdr>
            <w:top w:val="none" w:sz="0" w:space="0" w:color="auto"/>
            <w:left w:val="none" w:sz="0" w:space="0" w:color="auto"/>
            <w:bottom w:val="none" w:sz="0" w:space="0" w:color="auto"/>
            <w:right w:val="none" w:sz="0" w:space="0" w:color="auto"/>
          </w:divBdr>
        </w:div>
        <w:div w:id="1811556414">
          <w:marLeft w:val="0"/>
          <w:marRight w:val="0"/>
          <w:marTop w:val="0"/>
          <w:marBottom w:val="0"/>
          <w:divBdr>
            <w:top w:val="none" w:sz="0" w:space="0" w:color="auto"/>
            <w:left w:val="none" w:sz="0" w:space="0" w:color="auto"/>
            <w:bottom w:val="none" w:sz="0" w:space="0" w:color="auto"/>
            <w:right w:val="none" w:sz="0" w:space="0" w:color="auto"/>
          </w:divBdr>
        </w:div>
        <w:div w:id="1958633631">
          <w:marLeft w:val="0"/>
          <w:marRight w:val="0"/>
          <w:marTop w:val="0"/>
          <w:marBottom w:val="0"/>
          <w:divBdr>
            <w:top w:val="none" w:sz="0" w:space="0" w:color="auto"/>
            <w:left w:val="none" w:sz="0" w:space="0" w:color="auto"/>
            <w:bottom w:val="none" w:sz="0" w:space="0" w:color="auto"/>
            <w:right w:val="none" w:sz="0" w:space="0" w:color="auto"/>
          </w:divBdr>
        </w:div>
      </w:divsChild>
    </w:div>
    <w:div w:id="1980181698">
      <w:bodyDiv w:val="1"/>
      <w:marLeft w:val="0"/>
      <w:marRight w:val="0"/>
      <w:marTop w:val="0"/>
      <w:marBottom w:val="0"/>
      <w:divBdr>
        <w:top w:val="none" w:sz="0" w:space="0" w:color="auto"/>
        <w:left w:val="none" w:sz="0" w:space="0" w:color="auto"/>
        <w:bottom w:val="none" w:sz="0" w:space="0" w:color="auto"/>
        <w:right w:val="none" w:sz="0" w:space="0" w:color="auto"/>
      </w:divBdr>
      <w:divsChild>
        <w:div w:id="19742695">
          <w:marLeft w:val="1800"/>
          <w:marRight w:val="0"/>
          <w:marTop w:val="0"/>
          <w:marBottom w:val="0"/>
          <w:divBdr>
            <w:top w:val="none" w:sz="0" w:space="0" w:color="auto"/>
            <w:left w:val="none" w:sz="0" w:space="0" w:color="auto"/>
            <w:bottom w:val="none" w:sz="0" w:space="0" w:color="auto"/>
            <w:right w:val="none" w:sz="0" w:space="0" w:color="auto"/>
          </w:divBdr>
        </w:div>
        <w:div w:id="276451621">
          <w:marLeft w:val="547"/>
          <w:marRight w:val="0"/>
          <w:marTop w:val="0"/>
          <w:marBottom w:val="0"/>
          <w:divBdr>
            <w:top w:val="none" w:sz="0" w:space="0" w:color="auto"/>
            <w:left w:val="none" w:sz="0" w:space="0" w:color="auto"/>
            <w:bottom w:val="none" w:sz="0" w:space="0" w:color="auto"/>
            <w:right w:val="none" w:sz="0" w:space="0" w:color="auto"/>
          </w:divBdr>
        </w:div>
        <w:div w:id="417094463">
          <w:marLeft w:val="547"/>
          <w:marRight w:val="0"/>
          <w:marTop w:val="0"/>
          <w:marBottom w:val="0"/>
          <w:divBdr>
            <w:top w:val="none" w:sz="0" w:space="0" w:color="auto"/>
            <w:left w:val="none" w:sz="0" w:space="0" w:color="auto"/>
            <w:bottom w:val="none" w:sz="0" w:space="0" w:color="auto"/>
            <w:right w:val="none" w:sz="0" w:space="0" w:color="auto"/>
          </w:divBdr>
        </w:div>
        <w:div w:id="824316689">
          <w:marLeft w:val="547"/>
          <w:marRight w:val="0"/>
          <w:marTop w:val="0"/>
          <w:marBottom w:val="0"/>
          <w:divBdr>
            <w:top w:val="none" w:sz="0" w:space="0" w:color="auto"/>
            <w:left w:val="none" w:sz="0" w:space="0" w:color="auto"/>
            <w:bottom w:val="none" w:sz="0" w:space="0" w:color="auto"/>
            <w:right w:val="none" w:sz="0" w:space="0" w:color="auto"/>
          </w:divBdr>
        </w:div>
        <w:div w:id="1601373933">
          <w:marLeft w:val="547"/>
          <w:marRight w:val="0"/>
          <w:marTop w:val="0"/>
          <w:marBottom w:val="0"/>
          <w:divBdr>
            <w:top w:val="none" w:sz="0" w:space="0" w:color="auto"/>
            <w:left w:val="none" w:sz="0" w:space="0" w:color="auto"/>
            <w:bottom w:val="none" w:sz="0" w:space="0" w:color="auto"/>
            <w:right w:val="none" w:sz="0" w:space="0" w:color="auto"/>
          </w:divBdr>
        </w:div>
        <w:div w:id="1859272451">
          <w:marLeft w:val="547"/>
          <w:marRight w:val="0"/>
          <w:marTop w:val="0"/>
          <w:marBottom w:val="0"/>
          <w:divBdr>
            <w:top w:val="none" w:sz="0" w:space="0" w:color="auto"/>
            <w:left w:val="none" w:sz="0" w:space="0" w:color="auto"/>
            <w:bottom w:val="none" w:sz="0" w:space="0" w:color="auto"/>
            <w:right w:val="none" w:sz="0" w:space="0" w:color="auto"/>
          </w:divBdr>
        </w:div>
        <w:div w:id="1901480328">
          <w:marLeft w:val="1800"/>
          <w:marRight w:val="0"/>
          <w:marTop w:val="0"/>
          <w:marBottom w:val="0"/>
          <w:divBdr>
            <w:top w:val="none" w:sz="0" w:space="0" w:color="auto"/>
            <w:left w:val="none" w:sz="0" w:space="0" w:color="auto"/>
            <w:bottom w:val="none" w:sz="0" w:space="0" w:color="auto"/>
            <w:right w:val="none" w:sz="0" w:space="0" w:color="auto"/>
          </w:divBdr>
        </w:div>
      </w:divsChild>
    </w:div>
    <w:div w:id="205272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hyperlink" Target="https://www.3gpp.org/ftp/Email_Discussions/RAN2/%5BRAN2%23129%5D/%5BPOST129%5D%5B024%5D%5BAI%20PHY%5D%20Stage%202%20running%20CR%20(vivo)/R2-25xxxxx_Introduction%20of%20AI%20for%20Air%20interface%20feature%20in%2038300_v00_Rapp.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RBI5PAMIO524-1616901215-43107</_dlc_DocId>
    <_dlc_DocIdUrl xmlns="71c5aaf6-e6ce-465b-b873-5148d2a4c105">
      <Url>https://nokia.sharepoint.com/sites/gxp/_layouts/15/DocIdRedir.aspx?ID=RBI5PAMIO524-1616901215-43107</Url>
      <Description>RBI5PAMIO524-1616901215-43107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C4064-2EC3-406D-AF16-AD1EED2B2D92}">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8</Pages>
  <Words>3970</Words>
  <Characters>22633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26550</CharactersWithSpaces>
  <SharedDoc>false</SharedDoc>
  <HyperlinkBase/>
  <HLinks>
    <vt:vector size="96" baseType="variant">
      <vt:variant>
        <vt:i4>6029322</vt:i4>
      </vt:variant>
      <vt:variant>
        <vt:i4>9</vt:i4>
      </vt:variant>
      <vt:variant>
        <vt:i4>0</vt:i4>
      </vt:variant>
      <vt:variant>
        <vt:i4>5</vt:i4>
      </vt:variant>
      <vt:variant>
        <vt:lpwstr>https://www.3gpp.org/ftp/Email_Discussions/RAN2/%5BRAN2%23129%5D/%5BPOST129%5D%5B024%5D%5BAI PHY%5D Stage 2 running CR (vivo)/R2-25xxxxx_Introduction of AI for Air interface feature in 38300_v00_Rapp.docx</vt:lpwstr>
      </vt:variant>
      <vt:variant>
        <vt:lpwstr/>
      </vt:variant>
      <vt:variant>
        <vt:i4>4718648</vt:i4>
      </vt:variant>
      <vt:variant>
        <vt:i4>42</vt:i4>
      </vt:variant>
      <vt:variant>
        <vt:i4>0</vt:i4>
      </vt:variant>
      <vt:variant>
        <vt:i4>5</vt:i4>
      </vt:variant>
      <vt:variant>
        <vt:lpwstr>mailto:gyorgy.wolfner@nokia.com</vt:lpwstr>
      </vt:variant>
      <vt:variant>
        <vt:lpwstr/>
      </vt:variant>
      <vt:variant>
        <vt:i4>5570608</vt:i4>
      </vt:variant>
      <vt:variant>
        <vt:i4>39</vt:i4>
      </vt:variant>
      <vt:variant>
        <vt:i4>0</vt:i4>
      </vt:variant>
      <vt:variant>
        <vt:i4>5</vt:i4>
      </vt:variant>
      <vt:variant>
        <vt:lpwstr>mailto:jerediah.fevold@nokia.com</vt:lpwstr>
      </vt:variant>
      <vt:variant>
        <vt:lpwstr/>
      </vt:variant>
      <vt:variant>
        <vt:i4>5570608</vt:i4>
      </vt:variant>
      <vt:variant>
        <vt:i4>36</vt:i4>
      </vt:variant>
      <vt:variant>
        <vt:i4>0</vt:i4>
      </vt:variant>
      <vt:variant>
        <vt:i4>5</vt:i4>
      </vt:variant>
      <vt:variant>
        <vt:lpwstr>mailto:jerediah.fevold@nokia.com</vt:lpwstr>
      </vt:variant>
      <vt:variant>
        <vt:lpwstr/>
      </vt:variant>
      <vt:variant>
        <vt:i4>6160435</vt:i4>
      </vt:variant>
      <vt:variant>
        <vt:i4>33</vt:i4>
      </vt:variant>
      <vt:variant>
        <vt:i4>0</vt:i4>
      </vt:variant>
      <vt:variant>
        <vt:i4>5</vt:i4>
      </vt:variant>
      <vt:variant>
        <vt:lpwstr>mailto:laxman.gumaste@nokia.com</vt:lpwstr>
      </vt:variant>
      <vt:variant>
        <vt:lpwstr/>
      </vt:variant>
      <vt:variant>
        <vt:i4>5570608</vt:i4>
      </vt:variant>
      <vt:variant>
        <vt:i4>30</vt:i4>
      </vt:variant>
      <vt:variant>
        <vt:i4>0</vt:i4>
      </vt:variant>
      <vt:variant>
        <vt:i4>5</vt:i4>
      </vt:variant>
      <vt:variant>
        <vt:lpwstr>mailto:jerediah.fevold@nokia.com</vt:lpwstr>
      </vt:variant>
      <vt:variant>
        <vt:lpwstr/>
      </vt:variant>
      <vt:variant>
        <vt:i4>3407997</vt:i4>
      </vt:variant>
      <vt:variant>
        <vt:i4>27</vt:i4>
      </vt:variant>
      <vt:variant>
        <vt:i4>0</vt:i4>
      </vt:variant>
      <vt:variant>
        <vt:i4>5</vt:i4>
      </vt:variant>
      <vt:variant>
        <vt:lpwstr>mailto:amir.ahmadian_tehrani@nokia.com</vt:lpwstr>
      </vt:variant>
      <vt:variant>
        <vt:lpwstr/>
      </vt:variant>
      <vt:variant>
        <vt:i4>3407997</vt:i4>
      </vt:variant>
      <vt:variant>
        <vt:i4>24</vt:i4>
      </vt:variant>
      <vt:variant>
        <vt:i4>0</vt:i4>
      </vt:variant>
      <vt:variant>
        <vt:i4>5</vt:i4>
      </vt:variant>
      <vt:variant>
        <vt:lpwstr>mailto:amir.ahmadian_tehrani@nokia.com</vt:lpwstr>
      </vt:variant>
      <vt:variant>
        <vt:lpwstr/>
      </vt:variant>
      <vt:variant>
        <vt:i4>6160435</vt:i4>
      </vt:variant>
      <vt:variant>
        <vt:i4>21</vt:i4>
      </vt:variant>
      <vt:variant>
        <vt:i4>0</vt:i4>
      </vt:variant>
      <vt:variant>
        <vt:i4>5</vt:i4>
      </vt:variant>
      <vt:variant>
        <vt:lpwstr>mailto:laxman.gumaste@nokia.com</vt:lpwstr>
      </vt:variant>
      <vt:variant>
        <vt:lpwstr/>
      </vt:variant>
      <vt:variant>
        <vt:i4>5570608</vt:i4>
      </vt:variant>
      <vt:variant>
        <vt:i4>18</vt:i4>
      </vt:variant>
      <vt:variant>
        <vt:i4>0</vt:i4>
      </vt:variant>
      <vt:variant>
        <vt:i4>5</vt:i4>
      </vt:variant>
      <vt:variant>
        <vt:lpwstr>mailto:jerediah.fevold@nokia.com</vt:lpwstr>
      </vt:variant>
      <vt:variant>
        <vt:lpwstr/>
      </vt:variant>
      <vt:variant>
        <vt:i4>5570608</vt:i4>
      </vt:variant>
      <vt:variant>
        <vt:i4>15</vt:i4>
      </vt:variant>
      <vt:variant>
        <vt:i4>0</vt:i4>
      </vt:variant>
      <vt:variant>
        <vt:i4>5</vt:i4>
      </vt:variant>
      <vt:variant>
        <vt:lpwstr>mailto:jerediah.fevold@nokia.com</vt:lpwstr>
      </vt:variant>
      <vt:variant>
        <vt:lpwstr/>
      </vt:variant>
      <vt:variant>
        <vt:i4>6160435</vt:i4>
      </vt:variant>
      <vt:variant>
        <vt:i4>12</vt:i4>
      </vt:variant>
      <vt:variant>
        <vt:i4>0</vt:i4>
      </vt:variant>
      <vt:variant>
        <vt:i4>5</vt:i4>
      </vt:variant>
      <vt:variant>
        <vt:lpwstr>mailto:laxman.gumaste@nokia.com</vt:lpwstr>
      </vt:variant>
      <vt:variant>
        <vt:lpwstr/>
      </vt:variant>
      <vt:variant>
        <vt:i4>5570608</vt:i4>
      </vt:variant>
      <vt:variant>
        <vt:i4>9</vt:i4>
      </vt:variant>
      <vt:variant>
        <vt:i4>0</vt:i4>
      </vt:variant>
      <vt:variant>
        <vt:i4>5</vt:i4>
      </vt:variant>
      <vt:variant>
        <vt:lpwstr>mailto:jerediah.fevold@nokia.com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3407997</vt:i4>
      </vt:variant>
      <vt:variant>
        <vt:i4>0</vt:i4>
      </vt:variant>
      <vt:variant>
        <vt:i4>0</vt:i4>
      </vt:variant>
      <vt:variant>
        <vt:i4>5</vt:i4>
      </vt:variant>
      <vt:variant>
        <vt:lpwstr>mailto:amir.ahmadian_tehrani@nokia.com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6</cp:revision>
  <dcterms:created xsi:type="dcterms:W3CDTF">2025-03-27T19:49:00Z</dcterms:created>
  <dcterms:modified xsi:type="dcterms:W3CDTF">2025-03-28T02:00:00Z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f9e2a916-9537-421b-bd33-49ac6bbd1f11</vt:lpwstr>
  </property>
</Properties>
</file>