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28                            R2-2409889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Orlando, USA, Nov.18</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Nov.22</w:t>
      </w:r>
      <w:r>
        <w:rPr>
          <w:rFonts w:hint="eastAsia" w:ascii="Arial" w:hAnsi="Arial" w:eastAsia="MS Mincho" w:cs="Times New Roman"/>
          <w:b/>
          <w:sz w:val="24"/>
          <w:szCs w:val="24"/>
          <w:vertAlign w:val="superscript"/>
          <w:lang w:val="en-US" w:eastAsia="zh-CN" w:bidi="ar-SA"/>
        </w:rPr>
        <w:t>nd</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bookmarkStart w:id="10" w:name="_GoBack"/>
      <w:bookmarkEnd w:id="10"/>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pBdr>
          <w:top w:val="single" w:color="auto" w:sz="4" w:space="1"/>
          <w:left w:val="single" w:color="auto" w:sz="4" w:space="4"/>
          <w:bottom w:val="single" w:color="auto" w:sz="4" w:space="1"/>
          <w:right w:val="single" w:color="auto" w:sz="4" w:space="4"/>
        </w:pBd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RAN2#127b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support of Store&amp;Forward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1.</w:t>
      </w:r>
      <w:r>
        <w:rPr>
          <w:lang w:val="en-US" w:eastAsia="ko-KR"/>
        </w:rPr>
        <w:tab/>
      </w:r>
      <w:r>
        <w:rPr>
          <w:lang w:val="en-US" w:eastAsia="ko-KR"/>
        </w:rPr>
        <w:t>The dynamic indication that “the cell is operating in S&amp;F mode” is called “S&amp;F operation” indication (we can come back on the exact name when putting this in the spec, if needed)</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2.</w:t>
      </w:r>
      <w:r>
        <w:rPr>
          <w:lang w:val="en-US" w:eastAsia="ko-KR"/>
        </w:rPr>
        <w:tab/>
      </w:r>
      <w:r>
        <w:rPr>
          <w:lang w:val="en-US" w:eastAsia="ko-KR"/>
        </w:rPr>
        <w:t>RAN2 assumes that if</w:t>
      </w:r>
      <w:r>
        <w:t xml:space="preserve"> </w:t>
      </w:r>
      <w:r>
        <w:rPr>
          <w:lang w:val="en-US" w:eastAsia="ko-KR"/>
        </w:rPr>
        <w:t>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3.</w:t>
      </w:r>
      <w:r>
        <w:rPr>
          <w:lang w:val="en-US" w:eastAsia="ko-KR"/>
        </w:rPr>
        <w:tab/>
      </w:r>
      <w:r>
        <w:rPr>
          <w:lang w:val="en-US" w:eastAsia="ko-KR"/>
        </w:rPr>
        <w:t>An S&amp;F explicit capability indication by the serving cell, conceived as a static indication of whether the S&amp;F capability is supported or not by a specific satellite/NTN-cell, in addition to the indication that “the cell is operating in S&amp;F mode”, is not needed</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4.</w:t>
      </w:r>
      <w:r>
        <w:rPr>
          <w:lang w:val="en-US" w:eastAsia="ko-KR"/>
        </w:rPr>
        <w:tab/>
      </w:r>
      <w:r>
        <w:rPr>
          <w:lang w:val="en-US" w:eastAsia="ko-KR"/>
        </w:rPr>
        <w:t>If the “S&amp;F operation” indication is not broadcast, a Rel-19 UE (regardless whether supporting S&amp;F or not) shall follow the legacy barring procedure</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5.</w:t>
      </w:r>
      <w:r>
        <w:rPr>
          <w:lang w:val="en-US" w:eastAsia="ko-KR"/>
        </w:rPr>
        <w:tab/>
      </w:r>
      <w:r>
        <w:rPr>
          <w:lang w:val="en-US" w:eastAsia="ko-KR"/>
        </w:rPr>
        <w:t>When present, the “S&amp;F operation” indication has two possible settings:</w:t>
      </w:r>
    </w:p>
    <w:p>
      <w:pPr>
        <w:pStyle w:val="41"/>
        <w:pBdr>
          <w:top w:val="single" w:color="auto" w:sz="4" w:space="1"/>
          <w:left w:val="single" w:color="auto" w:sz="4" w:space="4"/>
          <w:bottom w:val="single" w:color="auto" w:sz="4" w:space="1"/>
          <w:right w:val="single" w:color="auto" w:sz="4" w:space="4"/>
        </w:pBdr>
      </w:pPr>
      <w:r>
        <w:tab/>
      </w:r>
      <w:r>
        <w:t>‘1’: the cell is operating in S&amp;F mode for all UEs (Rel-19 UEs supporting S&amp;F are allowed to access the cell)</w:t>
      </w:r>
    </w:p>
    <w:p>
      <w:pPr>
        <w:pStyle w:val="41"/>
        <w:pBdr>
          <w:top w:val="single" w:color="auto" w:sz="4" w:space="1"/>
          <w:left w:val="single" w:color="auto" w:sz="4" w:space="4"/>
          <w:bottom w:val="single" w:color="auto" w:sz="4" w:space="1"/>
          <w:right w:val="single" w:color="auto" w:sz="4" w:space="4"/>
        </w:pBdr>
      </w:pPr>
      <w:r>
        <w:tab/>
      </w:r>
      <w:r>
        <w:t xml:space="preserve">‘0’: the cell is operating in S&amp;F mode for UEs in Connected mode (which are not required to monitor the “S&amp;F indication”), but idle Rel-19 UEs supporting S&amp;F are barred (Rel-19 UEs not supporting S&amp;F will follow legacy barring procedure). </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bidi="ar-SA"/>
        </w:rPr>
      </w:pPr>
      <w:r>
        <w:rPr>
          <w:rFonts w:hint="eastAsia" w:ascii="Arial" w:hAnsi="Arial" w:cs="Arial" w:eastAsiaTheme="minorEastAsia"/>
          <w:b w:val="0"/>
          <w:bCs/>
          <w:sz w:val="20"/>
          <w:szCs w:val="20"/>
          <w:lang w:val="en-US" w:eastAsia="zh-CN" w:bidi="ar-SA"/>
        </w:rPr>
        <w:t>In last meeting it has been agreed that the UE is informed of whether its serving satellite is currently operating in S&amp;F via System information broadcast. Whether the UE is informed of the change time of the satellite’s current operation mode was discussed and no agreement is made. We think the change time of the satellite’s current operation is beneficial for UE’s operation. For example if the serving satellite works in normal mode and the work mode will change to S&amp;F mode soon, then the UE may not choose to initiate access to the satellite. One may argue that this change can be done by system information change notification procedure. However this system information change notification procedure will result in paging for all UEs which is not good for power saving. Morever the IoT UEs in RRC_CONNECTED can’t acquire system information which will result not knowing the work mode change of the satellite. We think this work mode change is essential for IoT UEs in RRC_CONNECTED, the network has to release the UE according to current spec. So we suggest the change time of the satellite’s current operation mode can be broadcast together with the current satellite operation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cs="Arial" w:eastAsiaTheme="minorEastAsia"/>
          <w:b/>
          <w:bCs/>
          <w:sz w:val="20"/>
          <w:szCs w:val="20"/>
          <w:lang w:val="en-US" w:eastAsia="zh-CN"/>
        </w:rPr>
      </w:pPr>
      <w:bookmarkStart w:id="1" w:name="OLE_LINK2"/>
      <w:bookmarkStart w:id="2" w:name="OLE_LINK7"/>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bookmarkEnd w:id="1"/>
      <w:r>
        <w:rPr>
          <w:rFonts w:hint="eastAsia" w:ascii="Arial" w:hAnsi="Arial" w:eastAsia="宋体" w:cs="Arial"/>
          <w:b/>
          <w:bCs/>
          <w:sz w:val="21"/>
          <w:szCs w:val="20"/>
          <w:lang w:val="en-US" w:eastAsia="zh-CN" w:bidi="ar-SA"/>
        </w:rPr>
        <w:t>The network broadcasts the current operation mode of the satellite and the next change time of operation mode.</w:t>
      </w:r>
    </w:p>
    <w:bookmarkEnd w:id="2"/>
    <w:p>
      <w:pPr>
        <w:pStyle w:val="3"/>
        <w:bidi w:val="0"/>
        <w:rPr>
          <w:rFonts w:hint="default"/>
          <w:lang w:val="en-US" w:eastAsia="zh-CN"/>
        </w:rPr>
      </w:pPr>
      <w:bookmarkStart w:id="3" w:name="OLE_LINK4"/>
      <w:r>
        <w:rPr>
          <w:rFonts w:hint="eastAsia"/>
          <w:lang w:val="en-US" w:eastAsia="zh-CN"/>
        </w:rPr>
        <w:t xml:space="preserve"> Paging enhancement in satellite Store&amp;Forward mode</w:t>
      </w:r>
    </w:p>
    <w:bookmarkEnd w:id="3"/>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4"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send or monitoring can be optimized for power saving when network operates in S&amp;F mode.</w:t>
      </w:r>
    </w:p>
    <w:bookmarkEnd w:id="4"/>
    <w:p>
      <w:pPr>
        <w:pStyle w:val="3"/>
        <w:rPr>
          <w:rFonts w:hint="eastAsia" w:ascii="Arial" w:hAnsi="Arial" w:eastAsia="MS Mincho" w:cs="Arial"/>
          <w:b/>
          <w:szCs w:val="28"/>
          <w:lang w:val="en-US" w:eastAsia="zh-CN"/>
        </w:rPr>
      </w:pPr>
      <w:r>
        <w:rPr>
          <w:rFonts w:hint="eastAsia"/>
          <w:lang w:val="en-US" w:eastAsia="zh-CN"/>
        </w:rPr>
        <w:t xml:space="preserve"> UP CIoT EPS optimisation support in satellite Store&amp;Forward mode</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For UP mode, when UE resume the RRC connection with a eNB, if the eNB is not the old eNB which suspend the connection, the eNB has to fetch the context from the old eNB. However for satellite in S&amp;F mode, as the fast moving satellite and the no ISL between the satellite, the eNB the UE trys to resume may not the old eNB and can</w:t>
      </w:r>
      <w:r>
        <w:rPr>
          <w:rFonts w:hint="default" w:ascii="Arial" w:hAnsi="Arial" w:eastAsia="宋体" w:cs="Arial"/>
          <w:b w:val="0"/>
          <w:sz w:val="21"/>
          <w:szCs w:val="20"/>
          <w:lang w:val="en-US" w:eastAsia="zh-CN"/>
        </w:rPr>
        <w:t>’</w:t>
      </w:r>
      <w:r>
        <w:rPr>
          <w:rFonts w:hint="eastAsia" w:ascii="Arial" w:hAnsi="Arial" w:eastAsia="宋体" w:cs="Arial"/>
          <w:b w:val="0"/>
          <w:sz w:val="21"/>
          <w:szCs w:val="20"/>
          <w:lang w:val="en-US" w:eastAsia="zh-CN"/>
        </w:rPr>
        <w:t>t get the context from the old eNB, the UE has to fallback to the RRC connection setup procedure. To avoid this, it has to make sure that the eNB the UE resume has the UE context. To achieve this, the context can be transfer to specific satellites and UE only resume the connection to this satellites. As to how to decide these satellites, there can be two methods: one is the UE itself determines the satellites based on the satellite assistance information and the UE traffic pattern and send the satellite list to the network, then the netwrok confirms some or all of them and then transfer/distribute the context to these satellites via the network on ground when the feederlink recovered. The other method is the UE provide some assistant information such as UE location and traffic pattern to the network and the network determines the satellite list and then transfer/distribute the context to these satellites via the network on ground when the feederlink recovered.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satellites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When UE resume the RRC connection to a new eNB, the security key used by the new eNB is generated by the old eNB using the old key or NH、the target PCI and target EARFCN-DL. For S&amp;F mode, if the satellite list the UE will resume are determined, the security key used by the new eNB in the satellite list in the future can be generated advance by the old eNB using the parameters(e.g. PCI、EARFCN-DL) associated with the determined satellite list. The generated security key are associated with each of the satellite in the satllite list and will be transfered to these satellites in advance via the ground network when the feeder link recovered.</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sz w:val="20"/>
          <w:szCs w:val="20"/>
          <w:lang w:val="en-GB" w:eastAsia="zh-CN"/>
        </w:rPr>
      </w:pPr>
      <w:r>
        <w:rPr>
          <w:rFonts w:hint="eastAsia" w:ascii="Arial" w:hAnsi="Arial" w:cs="Arial" w:eastAsiaTheme="minorEastAsia"/>
          <w:bCs w:val="0"/>
          <w:sz w:val="20"/>
          <w:szCs w:val="20"/>
          <w:lang w:val="en-GB" w:eastAsia="zh-CN"/>
        </w:rPr>
        <w:t>Proposal 5: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eastAsia="宋体" w:cs="Arial"/>
          <w:b/>
          <w:bCs/>
          <w:sz w:val="21"/>
          <w:szCs w:val="20"/>
          <w:lang w:val="en-US" w:eastAsia="zh-CN" w:bidi="ar-SA"/>
        </w:rPr>
        <w:t>The network signals the current operation mode of the satellite and the change time of operation mode change.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satellies via the network on ground when the feederlink recovered and the UE only resumes connecton to these satellites. How the satelllites are determined is FFS.</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kern w:val="0"/>
          <w:szCs w:val="20"/>
          <w:lang w:val="en-GB" w:eastAsia="zh-CN"/>
        </w:rPr>
      </w:pPr>
      <w:r>
        <w:rPr>
          <w:rFonts w:hint="eastAsia" w:ascii="Arial" w:hAnsi="Arial" w:cs="Arial" w:eastAsiaTheme="minorEastAsia"/>
          <w:bCs w:val="0"/>
          <w:sz w:val="20"/>
          <w:szCs w:val="20"/>
          <w:lang w:val="en-GB" w:eastAsia="zh-CN"/>
        </w:rPr>
        <w:t>Proposal 5: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bookmarkStart w:id="5" w:name="OLE_LINK58"/>
      <w:bookmarkStart w:id="6" w:name="OLE_LINK48"/>
      <w:bookmarkStart w:id="7" w:name="OLE_LINK47"/>
      <w:bookmarkStart w:id="8" w:name="OLE_LINK59"/>
      <w:bookmarkStart w:id="9" w:name="OLE_LINK60"/>
      <w:r>
        <w:t>Reference</w:t>
      </w:r>
      <w:bookmarkEnd w:id="5"/>
      <w:bookmarkEnd w:id="6"/>
      <w:bookmarkEnd w:id="7"/>
      <w:bookmarkEnd w:id="8"/>
      <w:bookmarkEnd w:id="9"/>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Draft_RAN2_127b_Meeting_Report_v1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30F15"/>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7F1191"/>
    <w:rsid w:val="0304423A"/>
    <w:rsid w:val="035F60CC"/>
    <w:rsid w:val="03787214"/>
    <w:rsid w:val="03F47970"/>
    <w:rsid w:val="04044F9A"/>
    <w:rsid w:val="050C0141"/>
    <w:rsid w:val="0550780F"/>
    <w:rsid w:val="06510970"/>
    <w:rsid w:val="06797CD3"/>
    <w:rsid w:val="06A00757"/>
    <w:rsid w:val="06FF294D"/>
    <w:rsid w:val="07EA6365"/>
    <w:rsid w:val="07EF5BD4"/>
    <w:rsid w:val="082F6FF7"/>
    <w:rsid w:val="08415DB4"/>
    <w:rsid w:val="08454AB2"/>
    <w:rsid w:val="084C139F"/>
    <w:rsid w:val="08A22A43"/>
    <w:rsid w:val="094D21CC"/>
    <w:rsid w:val="0A6D15CC"/>
    <w:rsid w:val="0BB75D7E"/>
    <w:rsid w:val="0D860A22"/>
    <w:rsid w:val="0F417E38"/>
    <w:rsid w:val="103C0B3D"/>
    <w:rsid w:val="108123D4"/>
    <w:rsid w:val="10C66D19"/>
    <w:rsid w:val="10F1567B"/>
    <w:rsid w:val="12105415"/>
    <w:rsid w:val="126256E5"/>
    <w:rsid w:val="13C70AD4"/>
    <w:rsid w:val="14926ED8"/>
    <w:rsid w:val="15215CC8"/>
    <w:rsid w:val="15462052"/>
    <w:rsid w:val="15DE1242"/>
    <w:rsid w:val="15FF1ACA"/>
    <w:rsid w:val="166C39B7"/>
    <w:rsid w:val="16AA6D34"/>
    <w:rsid w:val="176647AC"/>
    <w:rsid w:val="179A1B0C"/>
    <w:rsid w:val="198E0015"/>
    <w:rsid w:val="1A5A53F0"/>
    <w:rsid w:val="1ABB6560"/>
    <w:rsid w:val="1B445D6E"/>
    <w:rsid w:val="1B59397D"/>
    <w:rsid w:val="1C7B4CA3"/>
    <w:rsid w:val="1CA1384F"/>
    <w:rsid w:val="1E0B7CB6"/>
    <w:rsid w:val="1E523033"/>
    <w:rsid w:val="1F045CEA"/>
    <w:rsid w:val="1F2C7D23"/>
    <w:rsid w:val="1FAF7026"/>
    <w:rsid w:val="20462FD7"/>
    <w:rsid w:val="21CD368A"/>
    <w:rsid w:val="221016C7"/>
    <w:rsid w:val="228D678C"/>
    <w:rsid w:val="22A27F45"/>
    <w:rsid w:val="23967BC1"/>
    <w:rsid w:val="23BF020B"/>
    <w:rsid w:val="24805F2B"/>
    <w:rsid w:val="24966A58"/>
    <w:rsid w:val="24E86231"/>
    <w:rsid w:val="26131534"/>
    <w:rsid w:val="26672625"/>
    <w:rsid w:val="26F53B52"/>
    <w:rsid w:val="273C2AE6"/>
    <w:rsid w:val="275C59D5"/>
    <w:rsid w:val="27E9536C"/>
    <w:rsid w:val="282B7F1A"/>
    <w:rsid w:val="282E6418"/>
    <w:rsid w:val="28514B4F"/>
    <w:rsid w:val="28B35423"/>
    <w:rsid w:val="28C825BA"/>
    <w:rsid w:val="2A6D06FD"/>
    <w:rsid w:val="2BC97744"/>
    <w:rsid w:val="2BDF7690"/>
    <w:rsid w:val="2C167DFF"/>
    <w:rsid w:val="2C5E3FAA"/>
    <w:rsid w:val="2C9014EE"/>
    <w:rsid w:val="2DF85D92"/>
    <w:rsid w:val="2E3E1AA5"/>
    <w:rsid w:val="2EB13602"/>
    <w:rsid w:val="2FC63C8F"/>
    <w:rsid w:val="2FE018AF"/>
    <w:rsid w:val="30AD73A5"/>
    <w:rsid w:val="329B7C99"/>
    <w:rsid w:val="32C77F8C"/>
    <w:rsid w:val="32CB387D"/>
    <w:rsid w:val="32D55AB9"/>
    <w:rsid w:val="335B0D8A"/>
    <w:rsid w:val="33B41D34"/>
    <w:rsid w:val="33EF0217"/>
    <w:rsid w:val="356754B7"/>
    <w:rsid w:val="35A53430"/>
    <w:rsid w:val="37426E6E"/>
    <w:rsid w:val="38486C88"/>
    <w:rsid w:val="388B34B6"/>
    <w:rsid w:val="393B37B4"/>
    <w:rsid w:val="3A3A09C6"/>
    <w:rsid w:val="3B8D13D0"/>
    <w:rsid w:val="3B957525"/>
    <w:rsid w:val="3BE514B4"/>
    <w:rsid w:val="3C7A0817"/>
    <w:rsid w:val="3CBF641E"/>
    <w:rsid w:val="3CD70242"/>
    <w:rsid w:val="3E2248D8"/>
    <w:rsid w:val="3FE0616F"/>
    <w:rsid w:val="4016756E"/>
    <w:rsid w:val="40E05B05"/>
    <w:rsid w:val="41D14C1D"/>
    <w:rsid w:val="42353253"/>
    <w:rsid w:val="435F628D"/>
    <w:rsid w:val="44DE5FA3"/>
    <w:rsid w:val="454E5FD4"/>
    <w:rsid w:val="45B063D8"/>
    <w:rsid w:val="46682B04"/>
    <w:rsid w:val="46F047E7"/>
    <w:rsid w:val="470C53DE"/>
    <w:rsid w:val="4779366F"/>
    <w:rsid w:val="47EC7853"/>
    <w:rsid w:val="482B0659"/>
    <w:rsid w:val="487E4912"/>
    <w:rsid w:val="48B061A5"/>
    <w:rsid w:val="48F165EB"/>
    <w:rsid w:val="49D966E1"/>
    <w:rsid w:val="49F62F33"/>
    <w:rsid w:val="4BD9044D"/>
    <w:rsid w:val="4CDB457B"/>
    <w:rsid w:val="4D5702DE"/>
    <w:rsid w:val="4D8917CF"/>
    <w:rsid w:val="4E635896"/>
    <w:rsid w:val="4ED9736A"/>
    <w:rsid w:val="4EFC5EF9"/>
    <w:rsid w:val="4F1F0E61"/>
    <w:rsid w:val="4FB27051"/>
    <w:rsid w:val="50F26F6A"/>
    <w:rsid w:val="51951B3D"/>
    <w:rsid w:val="5215436D"/>
    <w:rsid w:val="55EB6E4E"/>
    <w:rsid w:val="561B49FC"/>
    <w:rsid w:val="56561485"/>
    <w:rsid w:val="56B44089"/>
    <w:rsid w:val="58196C7F"/>
    <w:rsid w:val="58327856"/>
    <w:rsid w:val="58AC7F48"/>
    <w:rsid w:val="59A4172A"/>
    <w:rsid w:val="5A0B344B"/>
    <w:rsid w:val="5A8C74D3"/>
    <w:rsid w:val="5AC258BA"/>
    <w:rsid w:val="5C0031E7"/>
    <w:rsid w:val="5C481980"/>
    <w:rsid w:val="5CEE0CA7"/>
    <w:rsid w:val="5D474464"/>
    <w:rsid w:val="5EE9029B"/>
    <w:rsid w:val="5F273984"/>
    <w:rsid w:val="5F5B5F3E"/>
    <w:rsid w:val="5F7C0711"/>
    <w:rsid w:val="5FEF6ACE"/>
    <w:rsid w:val="60B34005"/>
    <w:rsid w:val="60E953AA"/>
    <w:rsid w:val="614420B6"/>
    <w:rsid w:val="61483DCA"/>
    <w:rsid w:val="61786A80"/>
    <w:rsid w:val="61BA59D1"/>
    <w:rsid w:val="61DC00C2"/>
    <w:rsid w:val="62102E7C"/>
    <w:rsid w:val="62590312"/>
    <w:rsid w:val="62815194"/>
    <w:rsid w:val="62BD5600"/>
    <w:rsid w:val="630A7F69"/>
    <w:rsid w:val="630E0C34"/>
    <w:rsid w:val="63E1421B"/>
    <w:rsid w:val="64034EA4"/>
    <w:rsid w:val="64C862AF"/>
    <w:rsid w:val="65184C81"/>
    <w:rsid w:val="651923CA"/>
    <w:rsid w:val="656D337B"/>
    <w:rsid w:val="65BD1739"/>
    <w:rsid w:val="66E37CF1"/>
    <w:rsid w:val="67DC720C"/>
    <w:rsid w:val="67E92655"/>
    <w:rsid w:val="681E2D2C"/>
    <w:rsid w:val="68377AAD"/>
    <w:rsid w:val="688B7936"/>
    <w:rsid w:val="68C77475"/>
    <w:rsid w:val="69701295"/>
    <w:rsid w:val="69A27629"/>
    <w:rsid w:val="6A9D7635"/>
    <w:rsid w:val="6ABC46FD"/>
    <w:rsid w:val="6B233CE6"/>
    <w:rsid w:val="6B8D221A"/>
    <w:rsid w:val="6BBB6ACB"/>
    <w:rsid w:val="6BF4272A"/>
    <w:rsid w:val="6C750DEF"/>
    <w:rsid w:val="6CE858CE"/>
    <w:rsid w:val="6D16046B"/>
    <w:rsid w:val="6D8E2554"/>
    <w:rsid w:val="6D9A5E61"/>
    <w:rsid w:val="6E0D1FE7"/>
    <w:rsid w:val="6EFF5A76"/>
    <w:rsid w:val="6F740CE2"/>
    <w:rsid w:val="70436DC4"/>
    <w:rsid w:val="7055318F"/>
    <w:rsid w:val="70871801"/>
    <w:rsid w:val="71314C8A"/>
    <w:rsid w:val="71B9201A"/>
    <w:rsid w:val="72402019"/>
    <w:rsid w:val="727A4FD4"/>
    <w:rsid w:val="731D23A2"/>
    <w:rsid w:val="73707DE3"/>
    <w:rsid w:val="741D4E81"/>
    <w:rsid w:val="74201914"/>
    <w:rsid w:val="745C718B"/>
    <w:rsid w:val="74F97BE7"/>
    <w:rsid w:val="75A722D7"/>
    <w:rsid w:val="76411C77"/>
    <w:rsid w:val="76700534"/>
    <w:rsid w:val="76A345D7"/>
    <w:rsid w:val="76C9285A"/>
    <w:rsid w:val="77760276"/>
    <w:rsid w:val="78911E34"/>
    <w:rsid w:val="7A4B5FBA"/>
    <w:rsid w:val="7A5E174B"/>
    <w:rsid w:val="7A9C4D88"/>
    <w:rsid w:val="7A9C7192"/>
    <w:rsid w:val="7B826359"/>
    <w:rsid w:val="7BF20CB4"/>
    <w:rsid w:val="7C330D5B"/>
    <w:rsid w:val="7CB92E75"/>
    <w:rsid w:val="7D86797B"/>
    <w:rsid w:val="7D8C0969"/>
    <w:rsid w:val="7DF4667A"/>
    <w:rsid w:val="7EC92764"/>
    <w:rsid w:val="7F3D09D5"/>
    <w:rsid w:val="7F40220C"/>
    <w:rsid w:val="7FDE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5</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ww</cp:lastModifiedBy>
  <cp:lastPrinted>2007-08-29T03:45:00Z</cp:lastPrinted>
  <dcterms:modified xsi:type="dcterms:W3CDTF">2024-11-06T08:15:26Z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