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1D626" w14:textId="0AA5508D" w:rsidR="00C57C20" w:rsidRPr="007B519D" w:rsidRDefault="00C57C20" w:rsidP="00C57C20">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w:t>
      </w:r>
      <w:r>
        <w:rPr>
          <w:rFonts w:asciiTheme="minorBidi" w:hAnsiTheme="minorBidi"/>
          <w:b/>
          <w:bCs/>
          <w:snapToGrid w:val="0"/>
          <w:sz w:val="24"/>
          <w:szCs w:val="24"/>
          <w:lang w:val="en-US"/>
        </w:rPr>
        <w:t>2</w:t>
      </w:r>
      <w:r w:rsidRPr="007B519D">
        <w:rPr>
          <w:rFonts w:asciiTheme="minorBidi" w:hAnsiTheme="minorBidi"/>
          <w:b/>
          <w:bCs/>
          <w:snapToGrid w:val="0"/>
          <w:sz w:val="24"/>
          <w:szCs w:val="24"/>
          <w:lang w:val="en-US"/>
        </w:rPr>
        <w:t xml:space="preserve"> Meeting #</w:t>
      </w:r>
      <w:r>
        <w:rPr>
          <w:rFonts w:asciiTheme="minorBidi" w:hAnsiTheme="minorBidi"/>
          <w:b/>
          <w:bCs/>
          <w:snapToGrid w:val="0"/>
          <w:sz w:val="24"/>
          <w:szCs w:val="24"/>
          <w:lang w:val="en-US"/>
        </w:rPr>
        <w:t>127</w:t>
      </w:r>
      <w:r w:rsidR="00002F07">
        <w:rPr>
          <w:rFonts w:asciiTheme="minorBidi" w:hAnsiTheme="minorBidi"/>
          <w:b/>
          <w:bCs/>
          <w:snapToGrid w:val="0"/>
          <w:sz w:val="24"/>
          <w:szCs w:val="24"/>
          <w:lang w:val="en-US"/>
        </w:rPr>
        <w:t>bis</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009D4A45" w:rsidRPr="009D4A45">
        <w:rPr>
          <w:rFonts w:asciiTheme="minorBidi" w:hAnsiTheme="minorBidi"/>
          <w:b/>
          <w:bCs/>
          <w:snapToGrid w:val="0"/>
          <w:sz w:val="24"/>
          <w:szCs w:val="24"/>
        </w:rPr>
        <w:t>R2-2409146</w:t>
      </w:r>
    </w:p>
    <w:p w14:paraId="40F8C272" w14:textId="77777777" w:rsidR="00002F07" w:rsidRPr="00002F07" w:rsidRDefault="00002F07" w:rsidP="00002F07">
      <w:pPr>
        <w:spacing w:after="0" w:line="276" w:lineRule="auto"/>
        <w:rPr>
          <w:rFonts w:asciiTheme="minorBidi" w:hAnsiTheme="minorBidi"/>
          <w:b/>
          <w:bCs/>
          <w:snapToGrid w:val="0"/>
          <w:sz w:val="24"/>
          <w:szCs w:val="24"/>
          <w:lang w:val="en-US"/>
        </w:rPr>
      </w:pPr>
      <w:r w:rsidRPr="00002F07">
        <w:rPr>
          <w:rFonts w:asciiTheme="minorBidi" w:hAnsiTheme="minorBidi"/>
          <w:b/>
          <w:bCs/>
          <w:snapToGrid w:val="0"/>
          <w:sz w:val="24"/>
          <w:szCs w:val="24"/>
          <w:lang w:val="en-US"/>
        </w:rPr>
        <w:t>Hefei, China, Oct 14</w:t>
      </w:r>
      <w:r w:rsidRPr="00002F07">
        <w:rPr>
          <w:rFonts w:asciiTheme="minorBidi" w:hAnsiTheme="minorBidi"/>
          <w:b/>
          <w:bCs/>
          <w:snapToGrid w:val="0"/>
          <w:sz w:val="24"/>
          <w:szCs w:val="24"/>
          <w:vertAlign w:val="superscript"/>
          <w:lang w:val="en-US"/>
        </w:rPr>
        <w:t>th</w:t>
      </w:r>
      <w:r w:rsidRPr="00002F07">
        <w:rPr>
          <w:rFonts w:asciiTheme="minorBidi" w:hAnsiTheme="minorBidi"/>
          <w:b/>
          <w:bCs/>
          <w:snapToGrid w:val="0"/>
          <w:sz w:val="24"/>
          <w:szCs w:val="24"/>
          <w:lang w:val="en-US"/>
        </w:rPr>
        <w:t xml:space="preserve"> – 18</w:t>
      </w:r>
      <w:r w:rsidRPr="00002F07">
        <w:rPr>
          <w:rFonts w:asciiTheme="minorBidi" w:hAnsiTheme="minorBidi"/>
          <w:b/>
          <w:bCs/>
          <w:snapToGrid w:val="0"/>
          <w:sz w:val="24"/>
          <w:szCs w:val="24"/>
          <w:vertAlign w:val="superscript"/>
          <w:lang w:val="en-US"/>
        </w:rPr>
        <w:t>th</w:t>
      </w:r>
      <w:r w:rsidRPr="00002F07">
        <w:rPr>
          <w:rFonts w:asciiTheme="minorBidi" w:hAnsiTheme="minorBidi"/>
          <w:b/>
          <w:bCs/>
          <w:snapToGrid w:val="0"/>
          <w:sz w:val="24"/>
          <w:szCs w:val="24"/>
          <w:lang w:val="en-US"/>
        </w:rPr>
        <w:t>, 2024</w:t>
      </w:r>
    </w:p>
    <w:p w14:paraId="1A46D608" w14:textId="77777777" w:rsidR="00E627D2" w:rsidRPr="009D7AA5" w:rsidRDefault="00E627D2" w:rsidP="00E80FE7">
      <w:pPr>
        <w:spacing w:after="0" w:line="276" w:lineRule="auto"/>
        <w:rPr>
          <w:rFonts w:asciiTheme="minorBidi" w:hAnsiTheme="minorBidi"/>
          <w:b/>
          <w:bCs/>
          <w:snapToGrid w:val="0"/>
          <w:sz w:val="24"/>
          <w:szCs w:val="24"/>
          <w:lang w:val="en-US"/>
        </w:rPr>
      </w:pPr>
    </w:p>
    <w:p w14:paraId="3968EB5D" w14:textId="20E8357F"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C27437">
        <w:rPr>
          <w:rFonts w:asciiTheme="minorBidi" w:hAnsiTheme="minorBidi"/>
          <w:b/>
          <w:bCs/>
          <w:snapToGrid w:val="0"/>
          <w:sz w:val="24"/>
          <w:szCs w:val="24"/>
          <w:lang w:val="en-US"/>
        </w:rPr>
        <w:t>8</w:t>
      </w:r>
      <w:r w:rsidR="00542FE2">
        <w:rPr>
          <w:rFonts w:asciiTheme="minorBidi" w:hAnsiTheme="minorBidi"/>
          <w:b/>
          <w:bCs/>
          <w:snapToGrid w:val="0"/>
          <w:sz w:val="24"/>
          <w:szCs w:val="24"/>
          <w:lang w:val="en-US"/>
        </w:rPr>
        <w:t>.</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C27437">
        <w:rPr>
          <w:rFonts w:asciiTheme="minorBidi" w:hAnsiTheme="minorBidi"/>
          <w:b/>
          <w:bCs/>
          <w:snapToGrid w:val="0"/>
          <w:sz w:val="24"/>
          <w:szCs w:val="24"/>
          <w:lang w:val="en-US"/>
        </w:rPr>
        <w:t>4</w:t>
      </w:r>
    </w:p>
    <w:p w14:paraId="091A1AD7" w14:textId="2B851FF0"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E51F4C">
        <w:rPr>
          <w:rFonts w:asciiTheme="minorBidi" w:hAnsiTheme="minorBidi"/>
          <w:b/>
          <w:bCs/>
          <w:snapToGrid w:val="0"/>
          <w:sz w:val="24"/>
          <w:szCs w:val="24"/>
          <w:lang w:val="en-US"/>
        </w:rPr>
        <w:t>Adaptation of Common Signals</w:t>
      </w:r>
      <w:r w:rsidR="0005537A">
        <w:rPr>
          <w:rFonts w:asciiTheme="minorBidi" w:hAnsiTheme="minorBidi"/>
          <w:b/>
          <w:bCs/>
          <w:snapToGrid w:val="0"/>
          <w:sz w:val="24"/>
          <w:szCs w:val="24"/>
          <w:lang w:val="en-US"/>
        </w:rPr>
        <w:t xml:space="preserve"> and Channels</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Heading1"/>
        <w:tabs>
          <w:tab w:val="clear" w:pos="432"/>
        </w:tabs>
        <w:spacing w:before="480" w:line="276" w:lineRule="auto"/>
        <w:ind w:left="431" w:hanging="431"/>
        <w:rPr>
          <w:snapToGrid w:val="0"/>
          <w:lang w:val="en-US"/>
        </w:rPr>
      </w:pPr>
      <w:r w:rsidRPr="007B14CC">
        <w:rPr>
          <w:lang w:val="en-US"/>
        </w:rPr>
        <w:t>Introduction</w:t>
      </w:r>
    </w:p>
    <w:p w14:paraId="010369D3" w14:textId="28190FF5" w:rsidR="0005537A" w:rsidRPr="003D4522" w:rsidRDefault="00B82810" w:rsidP="0005537A">
      <w:pPr>
        <w:pStyle w:val="3GPPNormalText"/>
        <w:spacing w:line="276" w:lineRule="auto"/>
        <w:rPr>
          <w:sz w:val="24"/>
        </w:rPr>
      </w:pPr>
      <w:r w:rsidRPr="003D4522">
        <w:rPr>
          <w:sz w:val="24"/>
        </w:rPr>
        <w:t>The</w:t>
      </w:r>
      <w:r w:rsidR="003D2BD1">
        <w:rPr>
          <w:sz w:val="24"/>
        </w:rPr>
        <w:t xml:space="preserve"> latest</w:t>
      </w:r>
      <w:r w:rsidRPr="003D4522">
        <w:rPr>
          <w:sz w:val="24"/>
        </w:rPr>
        <w:t xml:space="preserve"> </w:t>
      </w:r>
      <w:r w:rsidR="007A4FE7">
        <w:rPr>
          <w:sz w:val="24"/>
        </w:rPr>
        <w:t xml:space="preserve">Release 19 </w:t>
      </w:r>
      <w:r w:rsidR="0091553A">
        <w:rPr>
          <w:sz w:val="24"/>
        </w:rPr>
        <w:t>WI</w:t>
      </w:r>
      <w:r w:rsidR="009D1C4B">
        <w:rPr>
          <w:sz w:val="24"/>
        </w:rPr>
        <w:t>D</w:t>
      </w:r>
      <w:r w:rsidR="0091553A">
        <w:rPr>
          <w:sz w:val="24"/>
        </w:rPr>
        <w:t xml:space="preserve"> </w:t>
      </w:r>
      <w:r w:rsidRPr="003D4522">
        <w:rPr>
          <w:sz w:val="24"/>
        </w:rPr>
        <w:t xml:space="preserve">for </w:t>
      </w:r>
      <w:r w:rsidR="00B6066F">
        <w:rPr>
          <w:sz w:val="24"/>
        </w:rPr>
        <w:t>Network Energy Saving</w:t>
      </w:r>
      <w:r w:rsidR="00377A8F">
        <w:rPr>
          <w:sz w:val="24"/>
        </w:rPr>
        <w:t xml:space="preserve"> (NES)</w:t>
      </w:r>
      <w:r w:rsidR="00B6066F">
        <w:rPr>
          <w:sz w:val="24"/>
        </w:rPr>
        <w:t xml:space="preserve"> was approved </w:t>
      </w:r>
      <w:r w:rsidRPr="003D4522">
        <w:rPr>
          <w:sz w:val="24"/>
        </w:rPr>
        <w:t>in RAN#</w:t>
      </w:r>
      <w:r w:rsidR="009D1C4B">
        <w:rPr>
          <w:sz w:val="24"/>
        </w:rPr>
        <w:t>104</w:t>
      </w:r>
      <w:r w:rsidR="009D1C4B" w:rsidRPr="003D4522">
        <w:rPr>
          <w:sz w:val="24"/>
        </w:rPr>
        <w:t xml:space="preserve"> </w:t>
      </w:r>
      <w:r w:rsidRPr="003D4522">
        <w:rPr>
          <w:sz w:val="24"/>
        </w:rPr>
        <w:t>[1]</w:t>
      </w:r>
      <w:r w:rsidR="00327900" w:rsidRPr="003D4522">
        <w:rPr>
          <w:sz w:val="24"/>
        </w:rPr>
        <w:t xml:space="preserve">. </w:t>
      </w:r>
      <w:r w:rsidR="0005537A" w:rsidRPr="003D4522">
        <w:rPr>
          <w:sz w:val="24"/>
        </w:rPr>
        <w:t xml:space="preserve">One of </w:t>
      </w:r>
      <w:r w:rsidR="0005537A">
        <w:rPr>
          <w:sz w:val="24"/>
        </w:rPr>
        <w:t xml:space="preserve">the </w:t>
      </w:r>
      <w:r w:rsidR="0005537A" w:rsidRPr="003D4522">
        <w:rPr>
          <w:sz w:val="24"/>
        </w:rPr>
        <w:t xml:space="preserve">objectives </w:t>
      </w:r>
      <w:r w:rsidR="0005537A">
        <w:rPr>
          <w:sz w:val="24"/>
        </w:rPr>
        <w:t xml:space="preserve">for specification </w:t>
      </w:r>
      <w:r w:rsidR="0005537A" w:rsidRPr="003D4522">
        <w:rPr>
          <w:sz w:val="24"/>
        </w:rPr>
        <w:t xml:space="preserve">is </w:t>
      </w:r>
      <w:r w:rsidR="0005537A">
        <w:rPr>
          <w:sz w:val="24"/>
        </w:rPr>
        <w:t>as follows</w:t>
      </w:r>
      <w:r w:rsidR="0005537A" w:rsidRPr="003D4522">
        <w:rPr>
          <w:sz w:val="24"/>
        </w:rPr>
        <w:t>:</w:t>
      </w:r>
    </w:p>
    <w:tbl>
      <w:tblPr>
        <w:tblStyle w:val="TableGrid"/>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0227FBB7" w14:textId="77777777" w:rsidR="004F1DF8" w:rsidRPr="004F1DF8" w:rsidRDefault="004F1DF8" w:rsidP="004F1DF8">
            <w:pPr>
              <w:numPr>
                <w:ilvl w:val="0"/>
                <w:numId w:val="75"/>
              </w:numPr>
              <w:spacing w:after="0"/>
              <w:rPr>
                <w:sz w:val="22"/>
                <w:szCs w:val="22"/>
                <w:lang w:eastAsia="zh-CN"/>
              </w:rPr>
            </w:pPr>
            <w:r w:rsidRPr="004F1DF8">
              <w:rPr>
                <w:sz w:val="22"/>
                <w:szCs w:val="22"/>
                <w:lang w:eastAsia="zh-CN"/>
              </w:rPr>
              <w:t>Specify a</w:t>
            </w:r>
            <w:r w:rsidRPr="004F1DF8">
              <w:rPr>
                <w:sz w:val="22"/>
                <w:szCs w:val="22"/>
              </w:rPr>
              <w:t xml:space="preserve">daptation of common signal/channel transmissions. </w:t>
            </w:r>
            <w:r w:rsidRPr="004F1DF8">
              <w:rPr>
                <w:sz w:val="22"/>
                <w:szCs w:val="22"/>
                <w:lang w:eastAsia="zh-CN"/>
              </w:rPr>
              <w:t>[RAN1/2/3/4]</w:t>
            </w:r>
          </w:p>
          <w:p w14:paraId="7B942597" w14:textId="77777777" w:rsidR="003D2BD1" w:rsidRPr="007563E2" w:rsidRDefault="003D2BD1" w:rsidP="003D2BD1">
            <w:pPr>
              <w:numPr>
                <w:ilvl w:val="1"/>
                <w:numId w:val="74"/>
              </w:numPr>
              <w:spacing w:beforeLines="50" w:afterLines="50" w:after="120"/>
              <w:ind w:left="1049" w:hanging="329"/>
              <w:rPr>
                <w:bCs/>
                <w:lang w:val="en-US" w:eastAsia="zh-CN"/>
              </w:rPr>
            </w:pPr>
            <w:bookmarkStart w:id="0" w:name="_Hlk158621745"/>
            <w:r w:rsidRPr="007563E2">
              <w:rPr>
                <w:bCs/>
                <w:lang w:val="en-US" w:eastAsia="zh-CN"/>
              </w:rPr>
              <w:t xml:space="preserve">Adaptation of SSB in time domain, e.g. adapting periodicity </w:t>
            </w:r>
          </w:p>
          <w:p w14:paraId="7D730C70" w14:textId="77777777" w:rsidR="003D2BD1" w:rsidRPr="007563E2" w:rsidRDefault="003D2BD1" w:rsidP="003D2BD1">
            <w:pPr>
              <w:numPr>
                <w:ilvl w:val="1"/>
                <w:numId w:val="74"/>
              </w:numPr>
              <w:spacing w:beforeLines="50" w:afterLines="50" w:after="120"/>
              <w:ind w:left="1049" w:hanging="329"/>
              <w:rPr>
                <w:lang w:eastAsia="zh-CN"/>
              </w:rPr>
            </w:pPr>
            <w:r w:rsidRPr="007563E2">
              <w:t>Adaptation of PRACH in time domain</w:t>
            </w:r>
          </w:p>
          <w:p w14:paraId="41B1105C" w14:textId="77777777" w:rsidR="003D2BD1" w:rsidRPr="007563E2" w:rsidRDefault="003D2BD1" w:rsidP="003D2BD1">
            <w:pPr>
              <w:numPr>
                <w:ilvl w:val="1"/>
                <w:numId w:val="74"/>
              </w:numPr>
              <w:spacing w:beforeLines="50" w:afterLines="50" w:after="120"/>
              <w:ind w:left="1049" w:hanging="329"/>
              <w:rPr>
                <w:lang w:eastAsia="zh-CN"/>
              </w:rPr>
            </w:pPr>
            <w:r w:rsidRPr="007563E2">
              <w:rPr>
                <w:lang w:eastAsia="zh-CN"/>
              </w:rPr>
              <w:t>Adaptation of paging occasions including confining the paging occasions in the time domain</w:t>
            </w:r>
          </w:p>
          <w:p w14:paraId="40CD7403" w14:textId="77777777" w:rsidR="003D2BD1" w:rsidRDefault="003D2BD1" w:rsidP="003D2BD1">
            <w:pPr>
              <w:numPr>
                <w:ilvl w:val="2"/>
                <w:numId w:val="74"/>
              </w:numPr>
              <w:spacing w:beforeLines="50" w:afterLines="50" w:after="120"/>
              <w:rPr>
                <w:lang w:eastAsia="zh-CN"/>
              </w:rPr>
            </w:pPr>
            <w:r w:rsidRPr="007563E2">
              <w:rPr>
                <w:lang w:eastAsia="zh-CN"/>
              </w:rPr>
              <w:t>Note: there shall be no paging latency increase</w:t>
            </w:r>
          </w:p>
          <w:p w14:paraId="24E861B8" w14:textId="77777777" w:rsidR="003D2BD1" w:rsidRDefault="003D2BD1" w:rsidP="003D2BD1">
            <w:pPr>
              <w:numPr>
                <w:ilvl w:val="1"/>
                <w:numId w:val="74"/>
              </w:numPr>
              <w:spacing w:beforeLines="50" w:afterLines="50" w:after="120"/>
              <w:ind w:left="1049" w:hanging="329"/>
              <w:rPr>
                <w:lang w:eastAsia="zh-CN"/>
              </w:rPr>
            </w:pPr>
            <w:r w:rsidRPr="007563E2">
              <w:rPr>
                <w:lang w:eastAsia="zh-CN"/>
              </w:rPr>
              <w:t xml:space="preserve">Note: there shall be no negative impact to legacy UEs, unless significant benefits are shown </w:t>
            </w:r>
          </w:p>
          <w:bookmarkEnd w:id="0"/>
          <w:p w14:paraId="7C51282D" w14:textId="5F717720" w:rsidR="007061BC" w:rsidRPr="004F1DF8" w:rsidRDefault="007061BC" w:rsidP="00632986">
            <w:pPr>
              <w:rPr>
                <w:lang w:eastAsia="zh-CN"/>
              </w:rPr>
            </w:pPr>
          </w:p>
        </w:tc>
      </w:tr>
    </w:tbl>
    <w:p w14:paraId="0E085DFE" w14:textId="77777777" w:rsidR="003A0897" w:rsidRDefault="003A0897" w:rsidP="00E80FE7">
      <w:pPr>
        <w:spacing w:after="0" w:line="276" w:lineRule="auto"/>
        <w:jc w:val="both"/>
        <w:rPr>
          <w:sz w:val="24"/>
          <w:szCs w:val="24"/>
          <w:lang w:val="en-US"/>
        </w:rPr>
      </w:pPr>
    </w:p>
    <w:p w14:paraId="6AE45713" w14:textId="54ED771A" w:rsidR="0075309B" w:rsidRDefault="00AA1F6D" w:rsidP="00E80FE7">
      <w:pPr>
        <w:spacing w:after="240" w:line="276" w:lineRule="auto"/>
        <w:jc w:val="both"/>
        <w:rPr>
          <w:sz w:val="24"/>
          <w:szCs w:val="24"/>
          <w:lang w:val="en-US"/>
        </w:rPr>
      </w:pPr>
      <w:r>
        <w:rPr>
          <w:sz w:val="24"/>
          <w:szCs w:val="24"/>
          <w:lang w:val="en-US"/>
        </w:rPr>
        <w:t>This contrib</w:t>
      </w:r>
      <w:r w:rsidR="00E46FD2">
        <w:rPr>
          <w:sz w:val="24"/>
          <w:szCs w:val="24"/>
          <w:lang w:val="en-US"/>
        </w:rPr>
        <w:t xml:space="preserve">ution focuses on relevant aspects concerning </w:t>
      </w:r>
      <w:r w:rsidR="0005537A">
        <w:rPr>
          <w:sz w:val="24"/>
          <w:szCs w:val="24"/>
          <w:lang w:val="en-US"/>
        </w:rPr>
        <w:t>the adaptation of common signals and channels</w:t>
      </w:r>
      <w:r>
        <w:rPr>
          <w:sz w:val="24"/>
          <w:szCs w:val="24"/>
          <w:lang w:val="en-US"/>
        </w:rPr>
        <w:t xml:space="preserve">. </w:t>
      </w:r>
    </w:p>
    <w:p w14:paraId="61301EFF" w14:textId="2255624D" w:rsidR="00166603" w:rsidRPr="00166603" w:rsidRDefault="00166603" w:rsidP="00166603">
      <w:pPr>
        <w:pStyle w:val="Heading1"/>
        <w:rPr>
          <w:lang w:eastAsia="zh-CN"/>
        </w:rPr>
      </w:pPr>
      <w:r w:rsidRPr="00166603">
        <w:rPr>
          <w:lang w:eastAsia="zh-CN"/>
        </w:rPr>
        <w:t>SSB Periodicity</w:t>
      </w:r>
      <w:r>
        <w:rPr>
          <w:lang w:eastAsia="zh-CN"/>
        </w:rPr>
        <w:t xml:space="preserve"> adaptation:</w:t>
      </w:r>
      <w:r w:rsidRPr="00166603">
        <w:rPr>
          <w:lang w:eastAsia="zh-CN"/>
        </w:rPr>
        <w:t xml:space="preserve"> Coverage vs Capacity Cells</w:t>
      </w:r>
    </w:p>
    <w:p w14:paraId="0E2218DF" w14:textId="1EF3E304" w:rsidR="00166603" w:rsidRPr="00E91383" w:rsidRDefault="00166603" w:rsidP="00166603">
      <w:pPr>
        <w:pStyle w:val="TDocObservation"/>
        <w:numPr>
          <w:ilvl w:val="0"/>
          <w:numId w:val="0"/>
        </w:numPr>
        <w:spacing w:line="276" w:lineRule="auto"/>
        <w:jc w:val="both"/>
        <w:rPr>
          <w:sz w:val="24"/>
          <w:lang w:val="en-US"/>
        </w:rPr>
      </w:pPr>
      <w:r>
        <w:rPr>
          <w:b w:val="0"/>
          <w:sz w:val="24"/>
          <w:szCs w:val="24"/>
          <w:lang w:val="en-US"/>
        </w:rPr>
        <w:t>In the previous meeting, discussions on the scope of SSB periodicity adaptation on different cells was mainly from the UE’s perspective, i.e., depending on whether it is in connected or in idle/inactive mode</w:t>
      </w:r>
      <w:r w:rsidR="00A70327">
        <w:rPr>
          <w:b w:val="0"/>
          <w:sz w:val="24"/>
          <w:szCs w:val="24"/>
          <w:lang w:val="en-US"/>
        </w:rPr>
        <w:t>.</w:t>
      </w:r>
      <w:r>
        <w:rPr>
          <w:b w:val="0"/>
          <w:sz w:val="24"/>
          <w:szCs w:val="24"/>
          <w:lang w:val="en-US"/>
        </w:rPr>
        <w:t xml:space="preserve"> </w:t>
      </w:r>
      <w:r w:rsidR="00A70327">
        <w:rPr>
          <w:b w:val="0"/>
          <w:sz w:val="24"/>
          <w:szCs w:val="24"/>
          <w:lang w:val="en-US"/>
        </w:rPr>
        <w:t xml:space="preserve">The </w:t>
      </w:r>
      <w:r w:rsidR="0074435D">
        <w:rPr>
          <w:b w:val="0"/>
          <w:sz w:val="24"/>
          <w:szCs w:val="24"/>
          <w:lang w:val="en-US"/>
        </w:rPr>
        <w:t xml:space="preserve">discussion </w:t>
      </w:r>
      <w:r w:rsidR="00A70327">
        <w:rPr>
          <w:b w:val="0"/>
          <w:sz w:val="24"/>
          <w:szCs w:val="24"/>
          <w:lang w:val="en-US"/>
        </w:rPr>
        <w:t xml:space="preserve">focus was </w:t>
      </w:r>
      <w:r w:rsidR="00FB553B">
        <w:rPr>
          <w:b w:val="0"/>
          <w:sz w:val="24"/>
          <w:szCs w:val="24"/>
          <w:lang w:val="en-US"/>
        </w:rPr>
        <w:t xml:space="preserve">on </w:t>
      </w:r>
      <w:r w:rsidR="0074435D">
        <w:rPr>
          <w:b w:val="0"/>
          <w:sz w:val="24"/>
          <w:szCs w:val="24"/>
          <w:lang w:val="en-US"/>
        </w:rPr>
        <w:t xml:space="preserve">which </w:t>
      </w:r>
      <w:r>
        <w:rPr>
          <w:b w:val="0"/>
          <w:sz w:val="24"/>
          <w:szCs w:val="24"/>
          <w:lang w:val="en-US"/>
        </w:rPr>
        <w:t xml:space="preserve">extent </w:t>
      </w:r>
      <w:r w:rsidR="00A70327">
        <w:rPr>
          <w:b w:val="0"/>
          <w:sz w:val="24"/>
          <w:szCs w:val="24"/>
          <w:lang w:val="en-US"/>
        </w:rPr>
        <w:t xml:space="preserve">the </w:t>
      </w:r>
      <w:r>
        <w:rPr>
          <w:b w:val="0"/>
          <w:sz w:val="24"/>
          <w:szCs w:val="24"/>
          <w:lang w:val="en-US"/>
        </w:rPr>
        <w:t xml:space="preserve">SSB adaptation should be applicable for the UE’s </w:t>
      </w:r>
      <w:proofErr w:type="spellStart"/>
      <w:r>
        <w:rPr>
          <w:b w:val="0"/>
          <w:sz w:val="24"/>
          <w:szCs w:val="24"/>
          <w:lang w:val="en-US"/>
        </w:rPr>
        <w:t>PCell</w:t>
      </w:r>
      <w:proofErr w:type="spellEnd"/>
      <w:r>
        <w:rPr>
          <w:b w:val="0"/>
          <w:sz w:val="24"/>
          <w:szCs w:val="24"/>
          <w:lang w:val="en-US"/>
        </w:rPr>
        <w:t xml:space="preserve"> or </w:t>
      </w:r>
      <w:proofErr w:type="spellStart"/>
      <w:r>
        <w:rPr>
          <w:b w:val="0"/>
          <w:sz w:val="24"/>
          <w:szCs w:val="24"/>
          <w:lang w:val="en-US"/>
        </w:rPr>
        <w:t>SCell</w:t>
      </w:r>
      <w:proofErr w:type="spellEnd"/>
      <w:r w:rsidR="004E1404">
        <w:rPr>
          <w:b w:val="0"/>
          <w:sz w:val="24"/>
          <w:szCs w:val="24"/>
          <w:lang w:val="en-US"/>
        </w:rPr>
        <w:t xml:space="preserve"> and a given RRC state. </w:t>
      </w:r>
    </w:p>
    <w:p w14:paraId="69BBFBBE" w14:textId="6DB4D2A4" w:rsidR="00166603" w:rsidRPr="004D456E" w:rsidRDefault="00166603" w:rsidP="00166603">
      <w:pPr>
        <w:pStyle w:val="TDocObservation"/>
        <w:numPr>
          <w:ilvl w:val="0"/>
          <w:numId w:val="0"/>
        </w:numPr>
        <w:spacing w:line="276" w:lineRule="auto"/>
        <w:jc w:val="both"/>
        <w:rPr>
          <w:b w:val="0"/>
          <w:sz w:val="24"/>
          <w:szCs w:val="24"/>
          <w:lang w:val="en-US"/>
        </w:rPr>
      </w:pPr>
      <w:r>
        <w:rPr>
          <w:b w:val="0"/>
          <w:sz w:val="24"/>
          <w:szCs w:val="24"/>
          <w:lang w:val="en-US"/>
        </w:rPr>
        <w:t xml:space="preserve">In our view, before delving into details of the UE perspective a consensus </w:t>
      </w:r>
      <w:proofErr w:type="gramStart"/>
      <w:r>
        <w:rPr>
          <w:b w:val="0"/>
          <w:sz w:val="24"/>
          <w:szCs w:val="24"/>
          <w:lang w:val="en-US"/>
        </w:rPr>
        <w:t>need</w:t>
      </w:r>
      <w:proofErr w:type="gramEnd"/>
      <w:r>
        <w:rPr>
          <w:b w:val="0"/>
          <w:sz w:val="24"/>
          <w:szCs w:val="24"/>
          <w:lang w:val="en-US"/>
        </w:rPr>
        <w:t xml:space="preserve"> to be reached how the network is supposed to use SSB adaptation. </w:t>
      </w:r>
      <w:proofErr w:type="gramStart"/>
      <w:r>
        <w:rPr>
          <w:b w:val="0"/>
          <w:sz w:val="24"/>
          <w:szCs w:val="24"/>
          <w:lang w:val="en-US"/>
        </w:rPr>
        <w:t>In particular, we</w:t>
      </w:r>
      <w:proofErr w:type="gramEnd"/>
      <w:r>
        <w:rPr>
          <w:b w:val="0"/>
          <w:sz w:val="24"/>
          <w:szCs w:val="24"/>
          <w:lang w:val="en-US"/>
        </w:rPr>
        <w:t xml:space="preserve"> need to decide </w:t>
      </w:r>
      <w:r w:rsidR="00E54655">
        <w:rPr>
          <w:b w:val="0"/>
          <w:sz w:val="24"/>
          <w:szCs w:val="24"/>
          <w:lang w:val="en-US"/>
        </w:rPr>
        <w:t xml:space="preserve">not only </w:t>
      </w:r>
      <w:r>
        <w:rPr>
          <w:b w:val="0"/>
          <w:sz w:val="24"/>
          <w:szCs w:val="24"/>
          <w:lang w:val="en-US"/>
        </w:rPr>
        <w:t xml:space="preserve">how the SSB periodicity </w:t>
      </w:r>
      <w:r w:rsidR="00C27EE7">
        <w:rPr>
          <w:b w:val="0"/>
          <w:sz w:val="24"/>
          <w:szCs w:val="24"/>
          <w:lang w:val="en-US"/>
        </w:rPr>
        <w:t>can be</w:t>
      </w:r>
      <w:r>
        <w:rPr>
          <w:b w:val="0"/>
          <w:sz w:val="24"/>
          <w:szCs w:val="24"/>
          <w:lang w:val="en-US"/>
        </w:rPr>
        <w:t xml:space="preserve"> adapt</w:t>
      </w:r>
      <w:r w:rsidR="00E54655">
        <w:rPr>
          <w:b w:val="0"/>
          <w:sz w:val="24"/>
          <w:szCs w:val="24"/>
          <w:lang w:val="en-US"/>
        </w:rPr>
        <w:t xml:space="preserve">ed but on which </w:t>
      </w:r>
      <w:proofErr w:type="spellStart"/>
      <w:r w:rsidR="00E54655">
        <w:rPr>
          <w:b w:val="0"/>
          <w:sz w:val="24"/>
          <w:szCs w:val="24"/>
          <w:lang w:val="en-US"/>
        </w:rPr>
        <w:t>cells</w:t>
      </w:r>
      <w:proofErr w:type="spellEnd"/>
      <w:r w:rsidR="00E54655">
        <w:rPr>
          <w:b w:val="0"/>
          <w:sz w:val="24"/>
          <w:szCs w:val="24"/>
          <w:lang w:val="en-US"/>
        </w:rPr>
        <w:t xml:space="preserve"> the technique is applicable. </w:t>
      </w:r>
      <w:r>
        <w:rPr>
          <w:b w:val="0"/>
          <w:sz w:val="24"/>
          <w:szCs w:val="24"/>
          <w:lang w:val="en-US"/>
        </w:rPr>
        <w:t xml:space="preserve"> </w:t>
      </w:r>
      <w:r w:rsidR="00E54655">
        <w:rPr>
          <w:b w:val="0"/>
          <w:sz w:val="24"/>
          <w:szCs w:val="24"/>
          <w:lang w:val="en-US"/>
        </w:rPr>
        <w:t xml:space="preserve">The main distinction is between a coverage layer, responsible to </w:t>
      </w:r>
      <w:r w:rsidR="0072466F">
        <w:rPr>
          <w:b w:val="0"/>
          <w:sz w:val="24"/>
          <w:szCs w:val="24"/>
          <w:lang w:val="en-US"/>
        </w:rPr>
        <w:t>guarantee coverage and mobility, and capacity cells where NES adaptations do not pose challenges because the coverage layer assures coverage and mobility.  Essentially</w:t>
      </w:r>
      <w:r>
        <w:rPr>
          <w:b w:val="0"/>
          <w:sz w:val="24"/>
          <w:szCs w:val="24"/>
          <w:lang w:val="en-US"/>
        </w:rPr>
        <w:t xml:space="preserve">, we propose to limit the applicability of this technique to the capacity cells while maintaining the </w:t>
      </w:r>
      <w:r w:rsidR="00D51B02">
        <w:rPr>
          <w:b w:val="0"/>
          <w:sz w:val="24"/>
          <w:szCs w:val="24"/>
          <w:lang w:val="en-US"/>
        </w:rPr>
        <w:t xml:space="preserve">legacy </w:t>
      </w:r>
      <w:r>
        <w:rPr>
          <w:b w:val="0"/>
          <w:sz w:val="24"/>
          <w:szCs w:val="24"/>
          <w:lang w:val="en-US"/>
        </w:rPr>
        <w:t xml:space="preserve">SSB periodicity on the coverage layer as depicted in </w:t>
      </w:r>
      <w:r>
        <w:rPr>
          <w:b w:val="0"/>
          <w:sz w:val="24"/>
          <w:szCs w:val="24"/>
          <w:lang w:val="en-US"/>
        </w:rPr>
        <w:fldChar w:fldCharType="begin"/>
      </w:r>
      <w:r>
        <w:rPr>
          <w:b w:val="0"/>
          <w:sz w:val="24"/>
          <w:szCs w:val="24"/>
          <w:lang w:val="en-US"/>
        </w:rPr>
        <w:instrText xml:space="preserve"> REF _Ref174022335 \h </w:instrText>
      </w:r>
      <w:r>
        <w:rPr>
          <w:b w:val="0"/>
          <w:sz w:val="24"/>
          <w:szCs w:val="24"/>
          <w:lang w:val="en-US"/>
        </w:rPr>
      </w:r>
      <w:r>
        <w:rPr>
          <w:b w:val="0"/>
          <w:sz w:val="24"/>
          <w:szCs w:val="24"/>
          <w:lang w:val="en-US"/>
        </w:rPr>
        <w:fldChar w:fldCharType="separate"/>
      </w:r>
      <w:r w:rsidR="00632986" w:rsidRPr="00632986">
        <w:rPr>
          <w:lang w:val="en-US"/>
        </w:rPr>
        <w:t xml:space="preserve">Figure </w:t>
      </w:r>
      <w:r w:rsidR="00632986" w:rsidRPr="00632986">
        <w:rPr>
          <w:noProof/>
          <w:lang w:val="en-US"/>
        </w:rPr>
        <w:t>1</w:t>
      </w:r>
      <w:r>
        <w:rPr>
          <w:b w:val="0"/>
          <w:sz w:val="24"/>
          <w:szCs w:val="24"/>
          <w:lang w:val="en-US"/>
        </w:rPr>
        <w:fldChar w:fldCharType="end"/>
      </w:r>
      <w:r>
        <w:rPr>
          <w:b w:val="0"/>
          <w:sz w:val="24"/>
          <w:szCs w:val="24"/>
          <w:lang w:val="en-US"/>
        </w:rPr>
        <w:t>. Such an approach can greatly aid backward compatibility for legacy UEs.</w:t>
      </w:r>
    </w:p>
    <w:p w14:paraId="6BB588FA" w14:textId="77777777" w:rsidR="00166603" w:rsidRDefault="00166603" w:rsidP="00166603">
      <w:pPr>
        <w:pStyle w:val="TDocObservation"/>
        <w:keepNext/>
        <w:numPr>
          <w:ilvl w:val="0"/>
          <w:numId w:val="0"/>
        </w:numPr>
        <w:spacing w:line="276" w:lineRule="auto"/>
        <w:jc w:val="center"/>
      </w:pPr>
      <w:r>
        <w:rPr>
          <w:noProof/>
        </w:rPr>
        <w:drawing>
          <wp:inline distT="0" distB="0" distL="0" distR="0" wp14:anchorId="71356CDE" wp14:editId="15B7E46E">
            <wp:extent cx="4034155" cy="2050011"/>
            <wp:effectExtent l="0" t="0" r="4445" b="0"/>
            <wp:docPr id="876319167" name="Picture 4" descr="Ein Bild, das Krei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319167" name="Picture 4" descr="Ein Bild, das Kreis enthält.&#10;&#10;Automatisch generierte Beschreibu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52256" cy="2059209"/>
                    </a:xfrm>
                    <a:prstGeom prst="rect">
                      <a:avLst/>
                    </a:prstGeom>
                    <a:noFill/>
                  </pic:spPr>
                </pic:pic>
              </a:graphicData>
            </a:graphic>
          </wp:inline>
        </w:drawing>
      </w:r>
    </w:p>
    <w:p w14:paraId="2E54E0AC" w14:textId="409834A3" w:rsidR="00166603" w:rsidRDefault="00166603" w:rsidP="00166603">
      <w:pPr>
        <w:pStyle w:val="Caption"/>
        <w:jc w:val="center"/>
        <w:rPr>
          <w:bCs w:val="0"/>
          <w:sz w:val="24"/>
          <w:szCs w:val="24"/>
          <w:lang w:val="en-US"/>
        </w:rPr>
      </w:pPr>
      <w:bookmarkStart w:id="1" w:name="_Ref174022335"/>
      <w:bookmarkStart w:id="2" w:name="_Ref174022330"/>
      <w:r>
        <w:t xml:space="preserve">Figure </w:t>
      </w:r>
      <w:r>
        <w:fldChar w:fldCharType="begin"/>
      </w:r>
      <w:r>
        <w:instrText xml:space="preserve"> SEQ Figure \* ARABIC </w:instrText>
      </w:r>
      <w:r>
        <w:fldChar w:fldCharType="separate"/>
      </w:r>
      <w:r w:rsidR="00632986">
        <w:rPr>
          <w:noProof/>
        </w:rPr>
        <w:t>1</w:t>
      </w:r>
      <w:r>
        <w:fldChar w:fldCharType="end"/>
      </w:r>
      <w:bookmarkEnd w:id="1"/>
      <w:r>
        <w:t>: SSB periodicity adaptation restricted to the capacity cells while legacy SSB pattern is maintained on coverage cells.</w:t>
      </w:r>
      <w:bookmarkEnd w:id="2"/>
    </w:p>
    <w:p w14:paraId="093BF816" w14:textId="2D0B7683" w:rsidR="00166603" w:rsidRPr="001822F8" w:rsidRDefault="00166603" w:rsidP="00166603">
      <w:pPr>
        <w:pStyle w:val="TDocObservation"/>
        <w:numPr>
          <w:ilvl w:val="0"/>
          <w:numId w:val="0"/>
        </w:numPr>
        <w:spacing w:line="276" w:lineRule="auto"/>
        <w:jc w:val="both"/>
        <w:rPr>
          <w:b w:val="0"/>
          <w:sz w:val="24"/>
          <w:szCs w:val="24"/>
          <w:lang w:val="en-US"/>
        </w:rPr>
      </w:pPr>
      <w:r>
        <w:rPr>
          <w:b w:val="0"/>
          <w:sz w:val="24"/>
          <w:szCs w:val="24"/>
          <w:lang w:val="en-US"/>
        </w:rPr>
        <w:t>More specifically, the UEs searching for CD-SSBs will always succeed on the coverage layer (with legacy SSBs). Thus, legacy UE access is guaranteed</w:t>
      </w:r>
      <w:r w:rsidR="00627E56">
        <w:rPr>
          <w:b w:val="0"/>
          <w:sz w:val="24"/>
          <w:szCs w:val="24"/>
          <w:lang w:val="en-US"/>
        </w:rPr>
        <w:t>,</w:t>
      </w:r>
      <w:r>
        <w:rPr>
          <w:b w:val="0"/>
          <w:sz w:val="24"/>
          <w:szCs w:val="24"/>
          <w:lang w:val="en-US"/>
        </w:rPr>
        <w:t xml:space="preserve"> and Initial Cell Search keeps working because there is a coverage layer. The capacity layer is where energy savings and adaptations apply. On the capacity layer, diverse aspects of performance can be regulated via periodicity adaptation. </w:t>
      </w:r>
    </w:p>
    <w:p w14:paraId="5CA9100C" w14:textId="4D01D9BC" w:rsidR="00166603" w:rsidRDefault="00166603" w:rsidP="00166603">
      <w:pPr>
        <w:pStyle w:val="TDocObservation"/>
        <w:numPr>
          <w:ilvl w:val="0"/>
          <w:numId w:val="0"/>
        </w:numPr>
        <w:spacing w:line="276" w:lineRule="auto"/>
        <w:jc w:val="both"/>
        <w:rPr>
          <w:bCs/>
          <w:sz w:val="24"/>
          <w:szCs w:val="24"/>
          <w:lang w:val="en-US"/>
        </w:rPr>
      </w:pPr>
      <w:bookmarkStart w:id="3" w:name="_Hlk174088918"/>
      <w:r>
        <w:rPr>
          <w:bCs/>
          <w:sz w:val="24"/>
          <w:szCs w:val="24"/>
          <w:lang w:val="en-US"/>
        </w:rPr>
        <w:t xml:space="preserve">Observation </w:t>
      </w:r>
      <w:r w:rsidR="005B7FC1">
        <w:rPr>
          <w:bCs/>
          <w:sz w:val="24"/>
          <w:szCs w:val="24"/>
          <w:lang w:val="en-US"/>
        </w:rPr>
        <w:t>1</w:t>
      </w:r>
      <w:r>
        <w:rPr>
          <w:bCs/>
          <w:sz w:val="24"/>
          <w:szCs w:val="24"/>
          <w:lang w:val="en-US"/>
        </w:rPr>
        <w:t xml:space="preserve">: First addressing SSB periodicity adaptation from the network’s perspective rather than the UE’s perspective can streamline discussion and </w:t>
      </w:r>
      <w:r w:rsidR="00D51B02">
        <w:rPr>
          <w:bCs/>
          <w:sz w:val="24"/>
          <w:szCs w:val="24"/>
          <w:lang w:val="en-US"/>
        </w:rPr>
        <w:t xml:space="preserve">help to clarify core questions on Initial Cell Search and legacy UE support. </w:t>
      </w:r>
    </w:p>
    <w:bookmarkEnd w:id="3"/>
    <w:p w14:paraId="5CD99511" w14:textId="1D61DC00" w:rsidR="00166603" w:rsidRDefault="00166603" w:rsidP="00166603">
      <w:pPr>
        <w:pStyle w:val="TDocObservation"/>
        <w:numPr>
          <w:ilvl w:val="0"/>
          <w:numId w:val="0"/>
        </w:numPr>
        <w:spacing w:line="276" w:lineRule="auto"/>
        <w:jc w:val="both"/>
        <w:rPr>
          <w:bCs/>
          <w:sz w:val="24"/>
          <w:szCs w:val="24"/>
          <w:lang w:val="en-US"/>
        </w:rPr>
      </w:pPr>
      <w:r w:rsidRPr="00E765EF">
        <w:rPr>
          <w:bCs/>
          <w:sz w:val="24"/>
          <w:szCs w:val="24"/>
          <w:lang w:val="en-US"/>
        </w:rPr>
        <w:t xml:space="preserve">Proposal </w:t>
      </w:r>
      <w:r w:rsidR="005B7FC1">
        <w:rPr>
          <w:bCs/>
          <w:sz w:val="24"/>
          <w:szCs w:val="24"/>
          <w:lang w:val="en-US"/>
        </w:rPr>
        <w:t>1</w:t>
      </w:r>
      <w:r w:rsidRPr="00E765EF">
        <w:rPr>
          <w:bCs/>
          <w:sz w:val="24"/>
          <w:szCs w:val="24"/>
          <w:lang w:val="en-US"/>
        </w:rPr>
        <w:t>:</w:t>
      </w:r>
      <w:r>
        <w:rPr>
          <w:bCs/>
          <w:sz w:val="24"/>
          <w:szCs w:val="24"/>
          <w:lang w:val="en-US"/>
        </w:rPr>
        <w:t xml:space="preserve"> SSB periodicity adaptation</w:t>
      </w:r>
      <w:r w:rsidRPr="00A33316">
        <w:rPr>
          <w:bCs/>
          <w:sz w:val="24"/>
          <w:szCs w:val="24"/>
          <w:lang w:val="en-US"/>
        </w:rPr>
        <w:t xml:space="preserve"> </w:t>
      </w:r>
      <w:r w:rsidR="002D36AE">
        <w:rPr>
          <w:bCs/>
          <w:sz w:val="24"/>
          <w:szCs w:val="24"/>
          <w:lang w:val="en-US"/>
        </w:rPr>
        <w:t xml:space="preserve">is limited </w:t>
      </w:r>
      <w:r w:rsidRPr="00A33316">
        <w:rPr>
          <w:bCs/>
          <w:sz w:val="24"/>
          <w:szCs w:val="24"/>
          <w:lang w:val="en-US"/>
        </w:rPr>
        <w:t xml:space="preserve">to capacity cells while maintaining </w:t>
      </w:r>
      <w:r>
        <w:rPr>
          <w:bCs/>
          <w:sz w:val="24"/>
          <w:szCs w:val="24"/>
          <w:lang w:val="en-US"/>
        </w:rPr>
        <w:t>legacy</w:t>
      </w:r>
      <w:r w:rsidRPr="00A33316">
        <w:rPr>
          <w:bCs/>
          <w:sz w:val="24"/>
          <w:szCs w:val="24"/>
          <w:lang w:val="en-US"/>
        </w:rPr>
        <w:t xml:space="preserve"> SSB periodicity on </w:t>
      </w:r>
      <w:r w:rsidR="00C27EE7">
        <w:rPr>
          <w:bCs/>
          <w:sz w:val="24"/>
          <w:szCs w:val="24"/>
          <w:lang w:val="en-US"/>
        </w:rPr>
        <w:t xml:space="preserve">the </w:t>
      </w:r>
      <w:r w:rsidRPr="00A33316">
        <w:rPr>
          <w:bCs/>
          <w:sz w:val="24"/>
          <w:szCs w:val="24"/>
          <w:lang w:val="en-US"/>
        </w:rPr>
        <w:t>coverage layer</w:t>
      </w:r>
      <w:r>
        <w:rPr>
          <w:bCs/>
          <w:sz w:val="24"/>
          <w:szCs w:val="24"/>
          <w:lang w:val="en-US"/>
        </w:rPr>
        <w:t>.</w:t>
      </w:r>
    </w:p>
    <w:p w14:paraId="22389EEB" w14:textId="504E5D1E" w:rsidR="00166603" w:rsidRDefault="00166603" w:rsidP="00166603">
      <w:pPr>
        <w:pStyle w:val="TDocObservation"/>
        <w:numPr>
          <w:ilvl w:val="0"/>
          <w:numId w:val="0"/>
        </w:numPr>
        <w:spacing w:line="276" w:lineRule="auto"/>
        <w:jc w:val="both"/>
        <w:rPr>
          <w:b w:val="0"/>
          <w:sz w:val="24"/>
          <w:szCs w:val="24"/>
          <w:lang w:val="en-US"/>
        </w:rPr>
      </w:pPr>
      <w:r>
        <w:rPr>
          <w:b w:val="0"/>
          <w:sz w:val="24"/>
          <w:szCs w:val="24"/>
          <w:lang w:val="en-US"/>
        </w:rPr>
        <w:t xml:space="preserve">Note that legacy UEs can also access the capacity layer, as an </w:t>
      </w:r>
      <w:proofErr w:type="spellStart"/>
      <w:r>
        <w:rPr>
          <w:b w:val="0"/>
          <w:sz w:val="24"/>
          <w:szCs w:val="24"/>
          <w:lang w:val="en-US"/>
        </w:rPr>
        <w:t>SCell</w:t>
      </w:r>
      <w:proofErr w:type="spellEnd"/>
      <w:r>
        <w:rPr>
          <w:b w:val="0"/>
          <w:sz w:val="24"/>
          <w:szCs w:val="24"/>
          <w:lang w:val="en-US"/>
        </w:rPr>
        <w:t xml:space="preserve"> (with </w:t>
      </w:r>
      <w:proofErr w:type="spellStart"/>
      <w:r>
        <w:rPr>
          <w:b w:val="0"/>
          <w:sz w:val="24"/>
          <w:szCs w:val="24"/>
          <w:lang w:val="en-US"/>
        </w:rPr>
        <w:t>PCell</w:t>
      </w:r>
      <w:proofErr w:type="spellEnd"/>
      <w:r>
        <w:rPr>
          <w:b w:val="0"/>
          <w:sz w:val="24"/>
          <w:szCs w:val="24"/>
          <w:lang w:val="en-US"/>
        </w:rPr>
        <w:t xml:space="preserve"> on coverage layer) or even directly, via cell re-selection. </w:t>
      </w:r>
      <w:r w:rsidR="004E1404">
        <w:rPr>
          <w:b w:val="0"/>
          <w:sz w:val="24"/>
          <w:szCs w:val="24"/>
          <w:lang w:val="en-US"/>
        </w:rPr>
        <w:t xml:space="preserve">Our companion </w:t>
      </w:r>
      <w:r w:rsidR="00E62B92">
        <w:rPr>
          <w:b w:val="0"/>
          <w:sz w:val="24"/>
          <w:szCs w:val="24"/>
          <w:lang w:val="en-US"/>
        </w:rPr>
        <w:t xml:space="preserve">RAN1 </w:t>
      </w:r>
      <w:r w:rsidR="004E1404">
        <w:rPr>
          <w:b w:val="0"/>
          <w:sz w:val="24"/>
          <w:szCs w:val="24"/>
          <w:lang w:val="en-US"/>
        </w:rPr>
        <w:t xml:space="preserve">contribution </w:t>
      </w:r>
      <w:r w:rsidR="00796B48">
        <w:rPr>
          <w:b w:val="0"/>
          <w:sz w:val="24"/>
          <w:szCs w:val="24"/>
          <w:lang w:val="en-US"/>
        </w:rPr>
        <w:fldChar w:fldCharType="begin"/>
      </w:r>
      <w:r w:rsidR="00796B48">
        <w:rPr>
          <w:b w:val="0"/>
          <w:sz w:val="24"/>
          <w:szCs w:val="24"/>
          <w:lang w:val="en-US"/>
        </w:rPr>
        <w:instrText xml:space="preserve"> REF _Ref174090452 \n \h </w:instrText>
      </w:r>
      <w:r w:rsidR="00796B48">
        <w:rPr>
          <w:b w:val="0"/>
          <w:sz w:val="24"/>
          <w:szCs w:val="24"/>
          <w:lang w:val="en-US"/>
        </w:rPr>
      </w:r>
      <w:r w:rsidR="00796B48">
        <w:rPr>
          <w:b w:val="0"/>
          <w:sz w:val="24"/>
          <w:szCs w:val="24"/>
          <w:lang w:val="en-US"/>
        </w:rPr>
        <w:fldChar w:fldCharType="separate"/>
      </w:r>
      <w:r w:rsidR="00632986">
        <w:rPr>
          <w:b w:val="0"/>
          <w:sz w:val="24"/>
          <w:szCs w:val="24"/>
          <w:lang w:val="en-US"/>
        </w:rPr>
        <w:t>[2]</w:t>
      </w:r>
      <w:r w:rsidR="00796B48">
        <w:rPr>
          <w:b w:val="0"/>
          <w:sz w:val="24"/>
          <w:szCs w:val="24"/>
          <w:lang w:val="en-US"/>
        </w:rPr>
        <w:fldChar w:fldCharType="end"/>
      </w:r>
      <w:r w:rsidR="00796B48">
        <w:rPr>
          <w:b w:val="0"/>
          <w:sz w:val="24"/>
          <w:szCs w:val="24"/>
          <w:lang w:val="en-US"/>
        </w:rPr>
        <w:t xml:space="preserve"> </w:t>
      </w:r>
      <w:r w:rsidR="004E1404">
        <w:rPr>
          <w:b w:val="0"/>
          <w:sz w:val="24"/>
          <w:szCs w:val="24"/>
          <w:lang w:val="en-US"/>
        </w:rPr>
        <w:t>describes in detail</w:t>
      </w:r>
      <w:r>
        <w:rPr>
          <w:b w:val="0"/>
          <w:sz w:val="24"/>
          <w:szCs w:val="24"/>
          <w:lang w:val="en-US"/>
        </w:rPr>
        <w:t xml:space="preserve"> how periodicity adaptation can be reconciled with backward </w:t>
      </w:r>
      <w:r w:rsidR="00E62B92">
        <w:rPr>
          <w:b w:val="0"/>
          <w:sz w:val="24"/>
          <w:szCs w:val="24"/>
          <w:lang w:val="en-US"/>
        </w:rPr>
        <w:t>compatibility,</w:t>
      </w:r>
      <w:r w:rsidR="00E62B92" w:rsidRPr="00E62B92">
        <w:rPr>
          <w:b w:val="0"/>
          <w:sz w:val="24"/>
          <w:szCs w:val="24"/>
          <w:lang w:val="en-US"/>
        </w:rPr>
        <w:t xml:space="preserve"> so that it is not necessary to define cells exclusively for Rel-19 UE</w:t>
      </w:r>
      <w:r w:rsidR="0074435D">
        <w:rPr>
          <w:b w:val="0"/>
          <w:sz w:val="24"/>
          <w:szCs w:val="24"/>
          <w:lang w:val="en-US"/>
        </w:rPr>
        <w:t>s</w:t>
      </w:r>
      <w:r w:rsidR="00E62B92" w:rsidRPr="00E62B92">
        <w:rPr>
          <w:b w:val="0"/>
          <w:sz w:val="24"/>
          <w:szCs w:val="24"/>
          <w:lang w:val="en-US"/>
        </w:rPr>
        <w:t>.</w:t>
      </w:r>
      <w:r>
        <w:rPr>
          <w:b w:val="0"/>
          <w:sz w:val="24"/>
          <w:szCs w:val="24"/>
          <w:lang w:val="en-US"/>
        </w:rPr>
        <w:t xml:space="preserve">  </w:t>
      </w:r>
    </w:p>
    <w:p w14:paraId="68FAEEB7" w14:textId="77777777" w:rsidR="005B7FC1" w:rsidRPr="00261F61" w:rsidRDefault="005B7FC1" w:rsidP="005B7FC1">
      <w:pPr>
        <w:pStyle w:val="Heading1"/>
        <w:rPr>
          <w:lang w:eastAsia="zh-CN"/>
        </w:rPr>
      </w:pPr>
      <w:r w:rsidRPr="004F1DF8">
        <w:rPr>
          <w:lang w:eastAsia="zh-CN"/>
        </w:rPr>
        <w:t xml:space="preserve">Adaptation of </w:t>
      </w:r>
      <w:r>
        <w:rPr>
          <w:lang w:eastAsia="zh-CN"/>
        </w:rPr>
        <w:t>Paging Occasions</w:t>
      </w:r>
    </w:p>
    <w:p w14:paraId="7DA4DF4C" w14:textId="1BDFEB22" w:rsidR="005B7FC1" w:rsidRDefault="005B7FC1" w:rsidP="005B7FC1">
      <w:pPr>
        <w:jc w:val="both"/>
        <w:rPr>
          <w:sz w:val="24"/>
          <w:szCs w:val="24"/>
          <w:lang w:eastAsia="zh-CN"/>
        </w:rPr>
      </w:pPr>
      <w:r w:rsidRPr="003E1772">
        <w:rPr>
          <w:sz w:val="24"/>
          <w:szCs w:val="24"/>
          <w:lang w:eastAsia="zh-CN"/>
        </w:rPr>
        <w:t xml:space="preserve">In cellular networks, paging occasions are typically distributed across time to ensure </w:t>
      </w:r>
      <w:r>
        <w:rPr>
          <w:sz w:val="24"/>
          <w:szCs w:val="24"/>
          <w:lang w:eastAsia="zh-CN"/>
        </w:rPr>
        <w:t>distributing the paging load over time</w:t>
      </w:r>
      <w:r w:rsidRPr="003E1772">
        <w:rPr>
          <w:sz w:val="24"/>
          <w:szCs w:val="24"/>
          <w:lang w:eastAsia="zh-CN"/>
        </w:rPr>
        <w:t xml:space="preserve"> </w:t>
      </w:r>
      <w:r w:rsidR="00E62B92">
        <w:rPr>
          <w:sz w:val="24"/>
          <w:szCs w:val="24"/>
          <w:lang w:eastAsia="zh-CN"/>
        </w:rPr>
        <w:t>resulting in</w:t>
      </w:r>
      <w:r>
        <w:rPr>
          <w:sz w:val="24"/>
          <w:szCs w:val="24"/>
          <w:lang w:eastAsia="zh-CN"/>
        </w:rPr>
        <w:t xml:space="preserve"> </w:t>
      </w:r>
      <w:r w:rsidRPr="003E1772">
        <w:rPr>
          <w:sz w:val="24"/>
          <w:szCs w:val="24"/>
          <w:lang w:eastAsia="zh-CN"/>
        </w:rPr>
        <w:t xml:space="preserve">timely delivery of paging messages to UEs. However, spreading paging occasions throughout time may lead to suboptimal energy utilization in the network. Compact paging occasions, concentrated within specific time slots, can potentially yield energy savings by allowing </w:t>
      </w:r>
      <w:proofErr w:type="spellStart"/>
      <w:r>
        <w:rPr>
          <w:sz w:val="24"/>
          <w:szCs w:val="24"/>
          <w:lang w:eastAsia="zh-CN"/>
        </w:rPr>
        <w:t>gNB</w:t>
      </w:r>
      <w:proofErr w:type="spellEnd"/>
      <w:r>
        <w:rPr>
          <w:sz w:val="24"/>
          <w:szCs w:val="24"/>
          <w:lang w:eastAsia="zh-CN"/>
        </w:rPr>
        <w:t xml:space="preserve"> </w:t>
      </w:r>
      <w:r w:rsidRPr="003E1772">
        <w:rPr>
          <w:sz w:val="24"/>
          <w:szCs w:val="24"/>
          <w:lang w:eastAsia="zh-CN"/>
        </w:rPr>
        <w:t>to enter deeper sleep modes during idle periods</w:t>
      </w:r>
      <w:r>
        <w:rPr>
          <w:sz w:val="24"/>
          <w:szCs w:val="24"/>
          <w:lang w:eastAsia="zh-CN"/>
        </w:rPr>
        <w:t>, particularly if SSB and SIB-1 are also adapted</w:t>
      </w:r>
      <w:r w:rsidRPr="003E1772">
        <w:rPr>
          <w:sz w:val="24"/>
          <w:szCs w:val="24"/>
          <w:lang w:eastAsia="zh-CN"/>
        </w:rPr>
        <w:t>.</w:t>
      </w:r>
      <w:r>
        <w:rPr>
          <w:sz w:val="24"/>
          <w:szCs w:val="24"/>
          <w:lang w:eastAsia="zh-CN"/>
        </w:rPr>
        <w:t xml:space="preserve"> A more compact pattern may also be defined without </w:t>
      </w:r>
      <w:r w:rsidR="00E62B92">
        <w:rPr>
          <w:sz w:val="24"/>
          <w:szCs w:val="24"/>
          <w:lang w:eastAsia="zh-CN"/>
        </w:rPr>
        <w:t>affecting the</w:t>
      </w:r>
      <w:r>
        <w:rPr>
          <w:sz w:val="24"/>
          <w:szCs w:val="24"/>
          <w:lang w:eastAsia="zh-CN"/>
        </w:rPr>
        <w:t xml:space="preserve"> paging capacity by </w:t>
      </w:r>
      <w:r w:rsidR="00E62B92">
        <w:rPr>
          <w:sz w:val="24"/>
          <w:szCs w:val="24"/>
          <w:lang w:eastAsia="zh-CN"/>
        </w:rPr>
        <w:t xml:space="preserve">maintaining </w:t>
      </w:r>
      <w:r>
        <w:rPr>
          <w:sz w:val="24"/>
          <w:szCs w:val="24"/>
          <w:lang w:eastAsia="zh-CN"/>
        </w:rPr>
        <w:t>the same capacity as the sparse pattern.</w:t>
      </w:r>
    </w:p>
    <w:p w14:paraId="39176F0E" w14:textId="7582D303" w:rsidR="005B7FC1" w:rsidRDefault="005B7FC1" w:rsidP="005B7FC1">
      <w:pPr>
        <w:jc w:val="both"/>
        <w:rPr>
          <w:sz w:val="24"/>
          <w:szCs w:val="24"/>
          <w:lang w:eastAsia="zh-CN"/>
        </w:rPr>
      </w:pPr>
      <w:r w:rsidRPr="003E1772">
        <w:rPr>
          <w:sz w:val="24"/>
          <w:szCs w:val="24"/>
          <w:lang w:eastAsia="zh-CN"/>
        </w:rPr>
        <w:t xml:space="preserve">However, </w:t>
      </w:r>
      <w:r w:rsidR="00E62B92">
        <w:rPr>
          <w:sz w:val="24"/>
          <w:szCs w:val="24"/>
          <w:lang w:eastAsia="zh-CN"/>
        </w:rPr>
        <w:t>if</w:t>
      </w:r>
      <w:r>
        <w:rPr>
          <w:sz w:val="24"/>
          <w:szCs w:val="24"/>
          <w:lang w:eastAsia="zh-CN"/>
        </w:rPr>
        <w:t xml:space="preserve"> </w:t>
      </w:r>
      <w:r w:rsidRPr="003E1772">
        <w:rPr>
          <w:sz w:val="24"/>
          <w:szCs w:val="24"/>
          <w:lang w:eastAsia="zh-CN"/>
        </w:rPr>
        <w:t>legacy UEs</w:t>
      </w:r>
      <w:r>
        <w:rPr>
          <w:sz w:val="24"/>
          <w:szCs w:val="24"/>
          <w:lang w:eastAsia="zh-CN"/>
        </w:rPr>
        <w:t xml:space="preserve"> are present, they will use the legacy paging pattern. Therefore, the energy saving potential </w:t>
      </w:r>
      <w:r w:rsidR="009E0F84">
        <w:rPr>
          <w:sz w:val="24"/>
          <w:szCs w:val="24"/>
          <w:lang w:eastAsia="zh-CN"/>
        </w:rPr>
        <w:t xml:space="preserve">resulting from the </w:t>
      </w:r>
      <w:r>
        <w:rPr>
          <w:sz w:val="24"/>
          <w:szCs w:val="24"/>
          <w:lang w:eastAsia="zh-CN"/>
        </w:rPr>
        <w:t>adapt</w:t>
      </w:r>
      <w:r w:rsidR="009E0F84">
        <w:rPr>
          <w:sz w:val="24"/>
          <w:szCs w:val="24"/>
          <w:lang w:eastAsia="zh-CN"/>
        </w:rPr>
        <w:t xml:space="preserve">ation of </w:t>
      </w:r>
      <w:r>
        <w:rPr>
          <w:sz w:val="24"/>
          <w:szCs w:val="24"/>
          <w:lang w:eastAsia="zh-CN"/>
        </w:rPr>
        <w:t xml:space="preserve">the paging occasions cannot be fulfilled with legacy UEs. For this reason, operators should have the possibility to bar legacy UEs from cells applying paging adaptation. </w:t>
      </w:r>
    </w:p>
    <w:p w14:paraId="530C3D15" w14:textId="3A1D397A" w:rsidR="005B7FC1" w:rsidRPr="00C40871" w:rsidRDefault="005B7FC1" w:rsidP="005B7FC1">
      <w:pPr>
        <w:pStyle w:val="TDocObservation"/>
        <w:numPr>
          <w:ilvl w:val="0"/>
          <w:numId w:val="0"/>
        </w:numPr>
        <w:spacing w:line="276" w:lineRule="auto"/>
        <w:jc w:val="both"/>
        <w:rPr>
          <w:bCs/>
          <w:sz w:val="24"/>
          <w:szCs w:val="24"/>
          <w:lang w:val="en-US"/>
        </w:rPr>
      </w:pPr>
      <w:r>
        <w:rPr>
          <w:bCs/>
          <w:sz w:val="24"/>
          <w:szCs w:val="24"/>
          <w:lang w:val="en-US"/>
        </w:rPr>
        <w:t>Observation 2: T</w:t>
      </w:r>
      <w:r w:rsidRPr="00C40871">
        <w:rPr>
          <w:sz w:val="24"/>
          <w:szCs w:val="24"/>
          <w:lang w:val="en-US" w:eastAsia="zh-CN"/>
        </w:rPr>
        <w:t xml:space="preserve">he energy saving potential </w:t>
      </w:r>
      <w:r w:rsidR="009E0F84" w:rsidRPr="009E0F84">
        <w:rPr>
          <w:sz w:val="24"/>
          <w:szCs w:val="24"/>
          <w:lang w:val="en-US" w:eastAsia="zh-CN"/>
        </w:rPr>
        <w:t xml:space="preserve">resulting from </w:t>
      </w:r>
      <w:r w:rsidRPr="00C40871">
        <w:rPr>
          <w:sz w:val="24"/>
          <w:szCs w:val="24"/>
          <w:lang w:val="en-US" w:eastAsia="zh-CN"/>
        </w:rPr>
        <w:t>adapting the paging occasions cannot be fulfilled with legacy UEs.</w:t>
      </w:r>
    </w:p>
    <w:p w14:paraId="17903608" w14:textId="54918C8F" w:rsidR="005B7FC1" w:rsidRDefault="005B7FC1" w:rsidP="005B7FC1">
      <w:pPr>
        <w:pStyle w:val="TDocObservation"/>
        <w:numPr>
          <w:ilvl w:val="0"/>
          <w:numId w:val="0"/>
        </w:numPr>
        <w:spacing w:line="276" w:lineRule="auto"/>
        <w:jc w:val="both"/>
        <w:rPr>
          <w:bCs/>
          <w:sz w:val="24"/>
          <w:szCs w:val="24"/>
          <w:lang w:val="en-US"/>
        </w:rPr>
      </w:pPr>
      <w:r>
        <w:rPr>
          <w:bCs/>
          <w:sz w:val="24"/>
          <w:szCs w:val="24"/>
          <w:lang w:val="en-US"/>
        </w:rPr>
        <w:t>Proposal 2: RAN2 to investigate the solutions to optionally bar the legacy UEs from cells applying the paging occasion</w:t>
      </w:r>
      <w:r w:rsidR="00627E56">
        <w:rPr>
          <w:bCs/>
          <w:sz w:val="24"/>
          <w:szCs w:val="24"/>
          <w:lang w:val="en-US"/>
        </w:rPr>
        <w:t xml:space="preserve"> adaptation</w:t>
      </w:r>
      <w:r>
        <w:rPr>
          <w:bCs/>
          <w:sz w:val="24"/>
          <w:szCs w:val="24"/>
          <w:lang w:val="en-US"/>
        </w:rPr>
        <w:t xml:space="preserve"> for NES.</w:t>
      </w:r>
    </w:p>
    <w:p w14:paraId="3CCF633B" w14:textId="7C4F1EE7" w:rsidR="00C05AC4" w:rsidRPr="00A70DCC" w:rsidRDefault="00C05AC4" w:rsidP="00A70DCC">
      <w:pPr>
        <w:pStyle w:val="Heading1"/>
        <w:tabs>
          <w:tab w:val="clear" w:pos="432"/>
        </w:tabs>
        <w:spacing w:before="480" w:line="276" w:lineRule="auto"/>
        <w:ind w:left="431" w:hanging="431"/>
        <w:rPr>
          <w:lang w:val="en-US"/>
        </w:rPr>
      </w:pPr>
      <w:r w:rsidRPr="00D96E37">
        <w:rPr>
          <w:lang w:val="en-US"/>
        </w:rPr>
        <w:t>Conclusions</w:t>
      </w:r>
    </w:p>
    <w:p w14:paraId="3476D789" w14:textId="556CC7D0" w:rsidR="00D730D1" w:rsidRDefault="00BE3AFD" w:rsidP="00C40871">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F41AF8">
        <w:rPr>
          <w:bCs/>
          <w:sz w:val="24"/>
        </w:rPr>
        <w:t>Common signals adaptation for NES</w:t>
      </w:r>
      <w:r w:rsidRPr="00BE3AFD">
        <w:rPr>
          <w:sz w:val="24"/>
        </w:rPr>
        <w:t xml:space="preserve">. </w:t>
      </w:r>
      <w:r w:rsidRPr="0019134D">
        <w:rPr>
          <w:sz w:val="24"/>
        </w:rPr>
        <w:t>The following observations and proposals have been made:</w:t>
      </w:r>
    </w:p>
    <w:p w14:paraId="768D60D3" w14:textId="77777777" w:rsidR="00105279" w:rsidRPr="00C40871" w:rsidRDefault="00105279" w:rsidP="00C40871">
      <w:pPr>
        <w:pStyle w:val="3GPPNormalText"/>
        <w:spacing w:after="0" w:line="276" w:lineRule="auto"/>
        <w:rPr>
          <w:sz w:val="24"/>
        </w:rPr>
      </w:pPr>
    </w:p>
    <w:p w14:paraId="7C1E72C4" w14:textId="77777777" w:rsidR="003D2BD1" w:rsidRDefault="003D2BD1" w:rsidP="003D2BD1">
      <w:pPr>
        <w:pStyle w:val="TDocObservation"/>
        <w:numPr>
          <w:ilvl w:val="0"/>
          <w:numId w:val="0"/>
        </w:numPr>
        <w:spacing w:line="276" w:lineRule="auto"/>
        <w:jc w:val="both"/>
        <w:rPr>
          <w:bCs/>
          <w:sz w:val="24"/>
          <w:szCs w:val="24"/>
          <w:lang w:val="en-US"/>
        </w:rPr>
      </w:pPr>
      <w:r>
        <w:rPr>
          <w:bCs/>
          <w:sz w:val="24"/>
          <w:szCs w:val="24"/>
          <w:lang w:val="en-US"/>
        </w:rPr>
        <w:t xml:space="preserve">Observation 1: First addressing SSB periodicity adaptation from the network’s perspective rather than the UE’s perspective can streamline discussion and help to clarify core questions on Initial Cell Search and legacy UE support. </w:t>
      </w:r>
    </w:p>
    <w:p w14:paraId="0820CD76" w14:textId="218B5479" w:rsidR="003D2BD1" w:rsidRDefault="003D2BD1" w:rsidP="003D2BD1">
      <w:pPr>
        <w:pStyle w:val="TDocObservation"/>
        <w:numPr>
          <w:ilvl w:val="0"/>
          <w:numId w:val="0"/>
        </w:numPr>
        <w:spacing w:line="276" w:lineRule="auto"/>
        <w:jc w:val="both"/>
        <w:rPr>
          <w:bCs/>
          <w:sz w:val="24"/>
          <w:szCs w:val="24"/>
          <w:lang w:val="en-US"/>
        </w:rPr>
      </w:pPr>
      <w:r>
        <w:rPr>
          <w:bCs/>
          <w:sz w:val="24"/>
          <w:szCs w:val="24"/>
          <w:lang w:val="en-US"/>
        </w:rPr>
        <w:t>Observation 2: T</w:t>
      </w:r>
      <w:r w:rsidRPr="00C40871">
        <w:rPr>
          <w:sz w:val="24"/>
          <w:szCs w:val="24"/>
          <w:lang w:val="en-US" w:eastAsia="zh-CN"/>
        </w:rPr>
        <w:t xml:space="preserve">he energy saving potential </w:t>
      </w:r>
      <w:r w:rsidRPr="009E0F84">
        <w:rPr>
          <w:sz w:val="24"/>
          <w:szCs w:val="24"/>
          <w:lang w:val="en-US" w:eastAsia="zh-CN"/>
        </w:rPr>
        <w:t xml:space="preserve">resulting from </w:t>
      </w:r>
      <w:r w:rsidRPr="00C40871">
        <w:rPr>
          <w:sz w:val="24"/>
          <w:szCs w:val="24"/>
          <w:lang w:val="en-US" w:eastAsia="zh-CN"/>
        </w:rPr>
        <w:t>adapting the paging occasions cannot be fulfilled with legacy UEs.</w:t>
      </w:r>
    </w:p>
    <w:p w14:paraId="3725BE9E" w14:textId="77777777" w:rsidR="003D2BD1" w:rsidRDefault="003D2BD1" w:rsidP="003D2BD1">
      <w:pPr>
        <w:pStyle w:val="TDocObservation"/>
        <w:numPr>
          <w:ilvl w:val="0"/>
          <w:numId w:val="0"/>
        </w:numPr>
        <w:spacing w:line="276" w:lineRule="auto"/>
        <w:jc w:val="both"/>
        <w:rPr>
          <w:bCs/>
          <w:sz w:val="24"/>
          <w:szCs w:val="24"/>
          <w:lang w:val="en-US"/>
        </w:rPr>
      </w:pPr>
      <w:r w:rsidRPr="00E765EF">
        <w:rPr>
          <w:bCs/>
          <w:sz w:val="24"/>
          <w:szCs w:val="24"/>
          <w:lang w:val="en-US"/>
        </w:rPr>
        <w:t xml:space="preserve">Proposal </w:t>
      </w:r>
      <w:r>
        <w:rPr>
          <w:bCs/>
          <w:sz w:val="24"/>
          <w:szCs w:val="24"/>
          <w:lang w:val="en-US"/>
        </w:rPr>
        <w:t>1</w:t>
      </w:r>
      <w:r w:rsidRPr="00E765EF">
        <w:rPr>
          <w:bCs/>
          <w:sz w:val="24"/>
          <w:szCs w:val="24"/>
          <w:lang w:val="en-US"/>
        </w:rPr>
        <w:t>:</w:t>
      </w:r>
      <w:r>
        <w:rPr>
          <w:bCs/>
          <w:sz w:val="24"/>
          <w:szCs w:val="24"/>
          <w:lang w:val="en-US"/>
        </w:rPr>
        <w:t xml:space="preserve"> SSB periodicity adaptation</w:t>
      </w:r>
      <w:r w:rsidRPr="00A33316">
        <w:rPr>
          <w:bCs/>
          <w:sz w:val="24"/>
          <w:szCs w:val="24"/>
          <w:lang w:val="en-US"/>
        </w:rPr>
        <w:t xml:space="preserve"> </w:t>
      </w:r>
      <w:r>
        <w:rPr>
          <w:bCs/>
          <w:sz w:val="24"/>
          <w:szCs w:val="24"/>
          <w:lang w:val="en-US"/>
        </w:rPr>
        <w:t xml:space="preserve">is limited </w:t>
      </w:r>
      <w:r w:rsidRPr="00A33316">
        <w:rPr>
          <w:bCs/>
          <w:sz w:val="24"/>
          <w:szCs w:val="24"/>
          <w:lang w:val="en-US"/>
        </w:rPr>
        <w:t xml:space="preserve">to capacity cells while maintaining </w:t>
      </w:r>
      <w:r>
        <w:rPr>
          <w:bCs/>
          <w:sz w:val="24"/>
          <w:szCs w:val="24"/>
          <w:lang w:val="en-US"/>
        </w:rPr>
        <w:t>legacy</w:t>
      </w:r>
      <w:r w:rsidRPr="00A33316">
        <w:rPr>
          <w:bCs/>
          <w:sz w:val="24"/>
          <w:szCs w:val="24"/>
          <w:lang w:val="en-US"/>
        </w:rPr>
        <w:t xml:space="preserve"> SSB periodicity on </w:t>
      </w:r>
      <w:r>
        <w:rPr>
          <w:bCs/>
          <w:sz w:val="24"/>
          <w:szCs w:val="24"/>
          <w:lang w:val="en-US"/>
        </w:rPr>
        <w:t xml:space="preserve">the </w:t>
      </w:r>
      <w:r w:rsidRPr="00A33316">
        <w:rPr>
          <w:bCs/>
          <w:sz w:val="24"/>
          <w:szCs w:val="24"/>
          <w:lang w:val="en-US"/>
        </w:rPr>
        <w:t>coverage layer</w:t>
      </w:r>
      <w:r>
        <w:rPr>
          <w:bCs/>
          <w:sz w:val="24"/>
          <w:szCs w:val="24"/>
          <w:lang w:val="en-US"/>
        </w:rPr>
        <w:t>.</w:t>
      </w:r>
    </w:p>
    <w:p w14:paraId="0D1E03D7" w14:textId="36A00019" w:rsidR="003D2BD1" w:rsidRDefault="003D2BD1" w:rsidP="003D2BD1">
      <w:pPr>
        <w:pStyle w:val="TDocObservation"/>
        <w:numPr>
          <w:ilvl w:val="0"/>
          <w:numId w:val="0"/>
        </w:numPr>
        <w:spacing w:line="276" w:lineRule="auto"/>
        <w:jc w:val="both"/>
        <w:rPr>
          <w:bCs/>
          <w:sz w:val="24"/>
          <w:szCs w:val="24"/>
          <w:lang w:val="en-US"/>
        </w:rPr>
      </w:pPr>
      <w:r>
        <w:rPr>
          <w:bCs/>
          <w:sz w:val="24"/>
          <w:szCs w:val="24"/>
          <w:lang w:val="en-US"/>
        </w:rPr>
        <w:t xml:space="preserve">Proposal 2: RAN2 to investigate the solutions to optionally bar the legacy UEs from cells </w:t>
      </w:r>
      <w:r w:rsidR="00796B48">
        <w:rPr>
          <w:bCs/>
          <w:sz w:val="24"/>
          <w:szCs w:val="24"/>
          <w:lang w:val="en-US"/>
        </w:rPr>
        <w:t>applying the</w:t>
      </w:r>
      <w:r>
        <w:rPr>
          <w:bCs/>
          <w:sz w:val="24"/>
          <w:szCs w:val="24"/>
          <w:lang w:val="en-US"/>
        </w:rPr>
        <w:t xml:space="preserve"> paging occasion adaptation for NES.</w:t>
      </w:r>
    </w:p>
    <w:p w14:paraId="241A5F3B" w14:textId="77777777" w:rsidR="003D2BD1" w:rsidRDefault="003D2BD1" w:rsidP="003D2BD1">
      <w:pPr>
        <w:pStyle w:val="TDocObservation"/>
        <w:numPr>
          <w:ilvl w:val="0"/>
          <w:numId w:val="0"/>
        </w:numPr>
        <w:spacing w:line="276" w:lineRule="auto"/>
        <w:jc w:val="both"/>
        <w:rPr>
          <w:bCs/>
          <w:sz w:val="24"/>
          <w:szCs w:val="24"/>
          <w:lang w:val="en-US"/>
        </w:rPr>
      </w:pPr>
    </w:p>
    <w:p w14:paraId="68F1FAA0" w14:textId="644A7ECE" w:rsidR="00C05AC4" w:rsidRPr="00B41BCC" w:rsidRDefault="00C05AC4" w:rsidP="00E80FE7">
      <w:pPr>
        <w:pStyle w:val="Heading1"/>
        <w:tabs>
          <w:tab w:val="clear" w:pos="432"/>
        </w:tabs>
        <w:spacing w:before="480" w:line="276" w:lineRule="auto"/>
        <w:ind w:left="431" w:hanging="431"/>
        <w:jc w:val="both"/>
        <w:rPr>
          <w:snapToGrid w:val="0"/>
          <w:lang w:val="en-US"/>
        </w:rPr>
      </w:pPr>
      <w:r w:rsidRPr="00990ECA">
        <w:rPr>
          <w:lang w:val="en-US"/>
        </w:rPr>
        <w:t>References</w:t>
      </w:r>
    </w:p>
    <w:p w14:paraId="19CAE8AE" w14:textId="782DE521" w:rsidR="00D62824" w:rsidRPr="00632986" w:rsidRDefault="00D62824" w:rsidP="00D62824">
      <w:pPr>
        <w:widowControl w:val="0"/>
        <w:numPr>
          <w:ilvl w:val="0"/>
          <w:numId w:val="10"/>
        </w:numPr>
        <w:overflowPunct/>
        <w:autoSpaceDE/>
        <w:adjustRightInd/>
        <w:spacing w:after="60" w:line="276" w:lineRule="auto"/>
        <w:jc w:val="both"/>
        <w:textAlignment w:val="auto"/>
        <w:rPr>
          <w:iCs/>
          <w:sz w:val="24"/>
          <w:szCs w:val="24"/>
          <w:lang w:val="en-US"/>
        </w:rPr>
      </w:pPr>
      <w:bookmarkStart w:id="4" w:name="_Ref494465620"/>
      <w:bookmarkStart w:id="5" w:name="_Ref527624780"/>
      <w:bookmarkStart w:id="6" w:name="_Ref127449194"/>
      <w:r w:rsidRPr="00F33F6C">
        <w:rPr>
          <w:rFonts w:cs="Arial"/>
          <w:sz w:val="24"/>
          <w:szCs w:val="24"/>
        </w:rPr>
        <w:t>RP-2</w:t>
      </w:r>
      <w:r w:rsidR="009D1C4B">
        <w:rPr>
          <w:rFonts w:cs="Arial"/>
          <w:sz w:val="24"/>
          <w:szCs w:val="24"/>
        </w:rPr>
        <w:t>41650</w:t>
      </w:r>
      <w:r w:rsidRPr="00F33F6C">
        <w:rPr>
          <w:rFonts w:cs="Arial"/>
          <w:sz w:val="24"/>
          <w:szCs w:val="24"/>
        </w:rPr>
        <w:t>, “</w:t>
      </w:r>
      <w:r w:rsidR="009D1C4B" w:rsidRPr="009D1C4B">
        <w:rPr>
          <w:rFonts w:cs="Arial"/>
          <w:sz w:val="24"/>
          <w:szCs w:val="24"/>
        </w:rPr>
        <w:t xml:space="preserve">Revised WID: Enhancements of network energy savings for </w:t>
      </w:r>
      <w:proofErr w:type="gramStart"/>
      <w:r w:rsidR="009D1C4B" w:rsidRPr="009D1C4B">
        <w:rPr>
          <w:rFonts w:cs="Arial"/>
          <w:sz w:val="24"/>
          <w:szCs w:val="24"/>
        </w:rPr>
        <w:t>NR</w:t>
      </w:r>
      <w:r w:rsidR="009D1C4B" w:rsidRPr="009D1C4B" w:rsidDel="009D1C4B">
        <w:rPr>
          <w:rFonts w:cs="Arial"/>
          <w:sz w:val="24"/>
          <w:szCs w:val="24"/>
        </w:rPr>
        <w:t xml:space="preserve"> </w:t>
      </w:r>
      <w:r w:rsidRPr="00F33F6C">
        <w:rPr>
          <w:rFonts w:cs="Arial"/>
          <w:sz w:val="24"/>
          <w:szCs w:val="24"/>
        </w:rPr>
        <w:t>”</w:t>
      </w:r>
      <w:proofErr w:type="gramEnd"/>
      <w:r w:rsidRPr="00F33F6C">
        <w:rPr>
          <w:rFonts w:cs="Arial"/>
          <w:sz w:val="24"/>
          <w:szCs w:val="24"/>
        </w:rPr>
        <w:t>, Ericsson</w:t>
      </w:r>
      <w:r w:rsidR="009D1C4B">
        <w:rPr>
          <w:rFonts w:cs="Arial"/>
          <w:sz w:val="24"/>
          <w:szCs w:val="24"/>
        </w:rPr>
        <w:t>, Apple</w:t>
      </w:r>
      <w:r w:rsidRPr="00F33F6C">
        <w:rPr>
          <w:rFonts w:cs="Arial"/>
          <w:sz w:val="24"/>
          <w:szCs w:val="24"/>
        </w:rPr>
        <w:t xml:space="preserve"> (Moderator</w:t>
      </w:r>
      <w:r w:rsidR="00041800">
        <w:rPr>
          <w:rFonts w:cs="Arial"/>
          <w:sz w:val="24"/>
          <w:szCs w:val="24"/>
        </w:rPr>
        <w:t>s</w:t>
      </w:r>
      <w:r w:rsidRPr="00F33F6C">
        <w:rPr>
          <w:rFonts w:cs="Arial"/>
          <w:sz w:val="24"/>
          <w:szCs w:val="24"/>
        </w:rPr>
        <w:t>), 3GPP TSG RAN Meeting #10</w:t>
      </w:r>
      <w:r w:rsidR="009D1C4B">
        <w:rPr>
          <w:rFonts w:cs="Arial"/>
          <w:sz w:val="24"/>
          <w:szCs w:val="24"/>
        </w:rPr>
        <w:t xml:space="preserve">4, </w:t>
      </w:r>
      <w:r w:rsidR="009D1C4B" w:rsidRPr="009D1C4B">
        <w:rPr>
          <w:rFonts w:cs="Arial"/>
          <w:sz w:val="24"/>
          <w:szCs w:val="24"/>
        </w:rPr>
        <w:t xml:space="preserve">Shanghai, China, </w:t>
      </w:r>
      <w:r w:rsidR="009D1C4B">
        <w:rPr>
          <w:rFonts w:cs="Arial"/>
          <w:sz w:val="24"/>
          <w:szCs w:val="24"/>
        </w:rPr>
        <w:t>June</w:t>
      </w:r>
      <w:r w:rsidR="009D1C4B" w:rsidRPr="00F33F6C">
        <w:rPr>
          <w:rFonts w:cs="Arial"/>
          <w:sz w:val="24"/>
          <w:szCs w:val="24"/>
        </w:rPr>
        <w:t xml:space="preserve"> </w:t>
      </w:r>
      <w:r w:rsidRPr="00F33F6C">
        <w:rPr>
          <w:rFonts w:cs="Arial"/>
          <w:sz w:val="24"/>
          <w:szCs w:val="24"/>
        </w:rPr>
        <w:t>202</w:t>
      </w:r>
      <w:r w:rsidR="009D1C4B">
        <w:rPr>
          <w:rFonts w:cs="Arial"/>
          <w:sz w:val="24"/>
          <w:szCs w:val="24"/>
        </w:rPr>
        <w:t>4</w:t>
      </w:r>
      <w:r w:rsidRPr="00F33F6C">
        <w:rPr>
          <w:rFonts w:cs="Arial"/>
          <w:sz w:val="24"/>
          <w:szCs w:val="24"/>
        </w:rPr>
        <w:t>.</w:t>
      </w:r>
      <w:bookmarkEnd w:id="4"/>
      <w:bookmarkEnd w:id="5"/>
    </w:p>
    <w:p w14:paraId="192AE82C" w14:textId="663AE7DD" w:rsidR="003D2BD1" w:rsidRPr="00F33F6C" w:rsidRDefault="00796B48" w:rsidP="00D62824">
      <w:pPr>
        <w:widowControl w:val="0"/>
        <w:numPr>
          <w:ilvl w:val="0"/>
          <w:numId w:val="10"/>
        </w:numPr>
        <w:overflowPunct/>
        <w:autoSpaceDE/>
        <w:adjustRightInd/>
        <w:spacing w:after="60" w:line="276" w:lineRule="auto"/>
        <w:jc w:val="both"/>
        <w:textAlignment w:val="auto"/>
        <w:rPr>
          <w:iCs/>
          <w:sz w:val="24"/>
          <w:szCs w:val="24"/>
          <w:lang w:val="en-US"/>
        </w:rPr>
      </w:pPr>
      <w:bookmarkStart w:id="7" w:name="_Ref174090452"/>
      <w:bookmarkStart w:id="8" w:name="_Hlk174091462"/>
      <w:r w:rsidRPr="00796B48">
        <w:rPr>
          <w:iCs/>
          <w:sz w:val="24"/>
          <w:szCs w:val="24"/>
          <w:lang w:val="en-US"/>
        </w:rPr>
        <w:t>R1-2407100</w:t>
      </w:r>
      <w:r>
        <w:rPr>
          <w:iCs/>
          <w:sz w:val="24"/>
          <w:szCs w:val="24"/>
          <w:lang w:val="en-US"/>
        </w:rPr>
        <w:t>, “</w:t>
      </w:r>
      <w:r w:rsidRPr="00796B48">
        <w:rPr>
          <w:iCs/>
          <w:sz w:val="24"/>
          <w:szCs w:val="24"/>
          <w:lang w:val="en-US"/>
        </w:rPr>
        <w:t>Adaptation of Common Signals and Channels for NES</w:t>
      </w:r>
      <w:r>
        <w:rPr>
          <w:iCs/>
          <w:sz w:val="24"/>
          <w:szCs w:val="24"/>
          <w:lang w:val="en-US"/>
        </w:rPr>
        <w:t xml:space="preserve">”, </w:t>
      </w:r>
      <w:r w:rsidRPr="00796B48">
        <w:rPr>
          <w:iCs/>
          <w:sz w:val="24"/>
          <w:szCs w:val="24"/>
          <w:lang w:val="en-US"/>
        </w:rPr>
        <w:t>Fraunhofer IIS, Fraunhofer HHI</w:t>
      </w:r>
      <w:r>
        <w:rPr>
          <w:iCs/>
          <w:sz w:val="24"/>
          <w:szCs w:val="24"/>
          <w:lang w:val="en-US"/>
        </w:rPr>
        <w:t xml:space="preserve">, </w:t>
      </w:r>
      <w:r w:rsidRPr="00BE01EC">
        <w:rPr>
          <w:iCs/>
          <w:sz w:val="24"/>
          <w:szCs w:val="24"/>
          <w:lang w:val="en-US"/>
        </w:rPr>
        <w:t>3GPP TSG RAN WG1 #11</w:t>
      </w:r>
      <w:r>
        <w:rPr>
          <w:iCs/>
          <w:sz w:val="24"/>
          <w:szCs w:val="24"/>
          <w:lang w:val="en-US"/>
        </w:rPr>
        <w:t>8</w:t>
      </w:r>
      <w:r w:rsidRPr="00BE01EC">
        <w:rPr>
          <w:iCs/>
          <w:sz w:val="24"/>
          <w:szCs w:val="24"/>
          <w:lang w:val="en-US"/>
        </w:rPr>
        <w:t xml:space="preserve">, </w:t>
      </w:r>
      <w:r w:rsidRPr="00796B48">
        <w:rPr>
          <w:iCs/>
          <w:sz w:val="24"/>
          <w:szCs w:val="24"/>
          <w:lang w:val="en-US"/>
        </w:rPr>
        <w:t>Maastricht, Netherlands, August 2024</w:t>
      </w:r>
      <w:bookmarkEnd w:id="7"/>
    </w:p>
    <w:bookmarkEnd w:id="6"/>
    <w:bookmarkEnd w:id="8"/>
    <w:p w14:paraId="5F9D1D73" w14:textId="18A39CF0" w:rsidR="00FF49B6" w:rsidRPr="00E80FE7" w:rsidRDefault="00FF49B6" w:rsidP="00E80FE7">
      <w:pPr>
        <w:widowControl w:val="0"/>
        <w:overflowPunct/>
        <w:autoSpaceDE/>
        <w:adjustRightInd/>
        <w:spacing w:after="60" w:line="276" w:lineRule="auto"/>
        <w:jc w:val="both"/>
        <w:textAlignment w:val="auto"/>
        <w:rPr>
          <w:iCs/>
          <w:sz w:val="22"/>
          <w:szCs w:val="22"/>
          <w:lang w:val="en-US"/>
        </w:rPr>
      </w:pPr>
    </w:p>
    <w:sectPr w:rsidR="00FF49B6" w:rsidRPr="00E80FE7"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45AE3" w14:textId="77777777" w:rsidR="009C4621" w:rsidRDefault="009C4621">
      <w:r>
        <w:separator/>
      </w:r>
    </w:p>
  </w:endnote>
  <w:endnote w:type="continuationSeparator" w:id="0">
    <w:p w14:paraId="07CDDD2A" w14:textId="77777777" w:rsidR="009C4621" w:rsidRDefault="009C4621">
      <w:r>
        <w:continuationSeparator/>
      </w:r>
    </w:p>
  </w:endnote>
  <w:endnote w:type="continuationNotice" w:id="1">
    <w:p w14:paraId="40A33F15" w14:textId="77777777" w:rsidR="009C4621" w:rsidRDefault="009C4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786CF" w14:textId="77777777" w:rsidR="009C4621" w:rsidRDefault="009C4621">
      <w:r>
        <w:separator/>
      </w:r>
    </w:p>
  </w:footnote>
  <w:footnote w:type="continuationSeparator" w:id="0">
    <w:p w14:paraId="0EE75FD5" w14:textId="77777777" w:rsidR="009C4621" w:rsidRDefault="009C4621">
      <w:r>
        <w:continuationSeparator/>
      </w:r>
    </w:p>
  </w:footnote>
  <w:footnote w:type="continuationNotice" w:id="1">
    <w:p w14:paraId="014D0D18" w14:textId="77777777" w:rsidR="009C4621" w:rsidRDefault="009C46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BC46D8"/>
    <w:multiLevelType w:val="hybridMultilevel"/>
    <w:tmpl w:val="00BEF2DA"/>
    <w:lvl w:ilvl="0" w:tplc="04070001">
      <w:start w:val="1"/>
      <w:numFmt w:val="bullet"/>
      <w:lvlText w:val=""/>
      <w:lvlJc w:val="left"/>
      <w:pPr>
        <w:ind w:left="938" w:hanging="360"/>
      </w:pPr>
      <w:rPr>
        <w:rFonts w:ascii="Symbol" w:hAnsi="Symbol" w:hint="default"/>
      </w:rPr>
    </w:lvl>
    <w:lvl w:ilvl="1" w:tplc="04070003">
      <w:start w:val="1"/>
      <w:numFmt w:val="bullet"/>
      <w:lvlText w:val="o"/>
      <w:lvlJc w:val="left"/>
      <w:pPr>
        <w:ind w:left="1658" w:hanging="360"/>
      </w:pPr>
      <w:rPr>
        <w:rFonts w:ascii="Courier New" w:hAnsi="Courier New" w:cs="Courier New" w:hint="default"/>
      </w:rPr>
    </w:lvl>
    <w:lvl w:ilvl="2" w:tplc="04070005" w:tentative="1">
      <w:start w:val="1"/>
      <w:numFmt w:val="bullet"/>
      <w:lvlText w:val=""/>
      <w:lvlJc w:val="left"/>
      <w:pPr>
        <w:ind w:left="2378" w:hanging="360"/>
      </w:pPr>
      <w:rPr>
        <w:rFonts w:ascii="Wingdings" w:hAnsi="Wingdings" w:hint="default"/>
      </w:rPr>
    </w:lvl>
    <w:lvl w:ilvl="3" w:tplc="04070001" w:tentative="1">
      <w:start w:val="1"/>
      <w:numFmt w:val="bullet"/>
      <w:lvlText w:val=""/>
      <w:lvlJc w:val="left"/>
      <w:pPr>
        <w:ind w:left="3098" w:hanging="360"/>
      </w:pPr>
      <w:rPr>
        <w:rFonts w:ascii="Symbol" w:hAnsi="Symbol" w:hint="default"/>
      </w:rPr>
    </w:lvl>
    <w:lvl w:ilvl="4" w:tplc="04070003" w:tentative="1">
      <w:start w:val="1"/>
      <w:numFmt w:val="bullet"/>
      <w:lvlText w:val="o"/>
      <w:lvlJc w:val="left"/>
      <w:pPr>
        <w:ind w:left="3818" w:hanging="360"/>
      </w:pPr>
      <w:rPr>
        <w:rFonts w:ascii="Courier New" w:hAnsi="Courier New" w:cs="Courier New" w:hint="default"/>
      </w:rPr>
    </w:lvl>
    <w:lvl w:ilvl="5" w:tplc="04070005" w:tentative="1">
      <w:start w:val="1"/>
      <w:numFmt w:val="bullet"/>
      <w:lvlText w:val=""/>
      <w:lvlJc w:val="left"/>
      <w:pPr>
        <w:ind w:left="4538" w:hanging="360"/>
      </w:pPr>
      <w:rPr>
        <w:rFonts w:ascii="Wingdings" w:hAnsi="Wingdings" w:hint="default"/>
      </w:rPr>
    </w:lvl>
    <w:lvl w:ilvl="6" w:tplc="04070001" w:tentative="1">
      <w:start w:val="1"/>
      <w:numFmt w:val="bullet"/>
      <w:lvlText w:val=""/>
      <w:lvlJc w:val="left"/>
      <w:pPr>
        <w:ind w:left="5258" w:hanging="360"/>
      </w:pPr>
      <w:rPr>
        <w:rFonts w:ascii="Symbol" w:hAnsi="Symbol" w:hint="default"/>
      </w:rPr>
    </w:lvl>
    <w:lvl w:ilvl="7" w:tplc="04070003" w:tentative="1">
      <w:start w:val="1"/>
      <w:numFmt w:val="bullet"/>
      <w:lvlText w:val="o"/>
      <w:lvlJc w:val="left"/>
      <w:pPr>
        <w:ind w:left="5978" w:hanging="360"/>
      </w:pPr>
      <w:rPr>
        <w:rFonts w:ascii="Courier New" w:hAnsi="Courier New" w:cs="Courier New" w:hint="default"/>
      </w:rPr>
    </w:lvl>
    <w:lvl w:ilvl="8" w:tplc="04070005" w:tentative="1">
      <w:start w:val="1"/>
      <w:numFmt w:val="bullet"/>
      <w:lvlText w:val=""/>
      <w:lvlJc w:val="left"/>
      <w:pPr>
        <w:ind w:left="6698"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7"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74"/>
    <w:multiLevelType w:val="hybridMultilevel"/>
    <w:tmpl w:val="2D580A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C8F6269"/>
    <w:multiLevelType w:val="hybridMultilevel"/>
    <w:tmpl w:val="33F6D0BE"/>
    <w:lvl w:ilvl="0" w:tplc="04090001">
      <w:start w:val="1"/>
      <w:numFmt w:val="bullet"/>
      <w:lvlText w:val=""/>
      <w:lvlJc w:val="left"/>
      <w:pPr>
        <w:ind w:left="1227" w:hanging="360"/>
      </w:pPr>
      <w:rPr>
        <w:rFonts w:ascii="Symbol" w:hAnsi="Symbol" w:hint="default"/>
      </w:rPr>
    </w:lvl>
    <w:lvl w:ilvl="1" w:tplc="90B60DE2">
      <w:start w:val="5"/>
      <w:numFmt w:val="bullet"/>
      <w:lvlText w:val="-"/>
      <w:lvlJc w:val="left"/>
      <w:pPr>
        <w:ind w:left="1947" w:hanging="360"/>
      </w:pPr>
      <w:rPr>
        <w:rFonts w:ascii="Times New Roman" w:eastAsia="SimSun" w:hAnsi="Times New Roman" w:cs="Times New Roman" w:hint="default"/>
      </w:rPr>
    </w:lvl>
    <w:lvl w:ilvl="2" w:tplc="04090005">
      <w:start w:val="1"/>
      <w:numFmt w:val="bullet"/>
      <w:lvlText w:val=""/>
      <w:lvlJc w:val="left"/>
      <w:pPr>
        <w:ind w:left="2667" w:hanging="360"/>
      </w:pPr>
      <w:rPr>
        <w:rFonts w:ascii="Wingdings" w:hAnsi="Wingdings" w:hint="default"/>
      </w:rPr>
    </w:lvl>
    <w:lvl w:ilvl="3" w:tplc="04090001" w:tentative="1">
      <w:start w:val="1"/>
      <w:numFmt w:val="bullet"/>
      <w:lvlText w:val=""/>
      <w:lvlJc w:val="left"/>
      <w:pPr>
        <w:ind w:left="3387" w:hanging="360"/>
      </w:pPr>
      <w:rPr>
        <w:rFonts w:ascii="Symbol" w:hAnsi="Symbol" w:hint="default"/>
      </w:rPr>
    </w:lvl>
    <w:lvl w:ilvl="4" w:tplc="04090003" w:tentative="1">
      <w:start w:val="1"/>
      <w:numFmt w:val="bullet"/>
      <w:lvlText w:val="o"/>
      <w:lvlJc w:val="left"/>
      <w:pPr>
        <w:ind w:left="4107" w:hanging="360"/>
      </w:pPr>
      <w:rPr>
        <w:rFonts w:ascii="Courier New" w:hAnsi="Courier New" w:cs="Courier New" w:hint="default"/>
      </w:rPr>
    </w:lvl>
    <w:lvl w:ilvl="5" w:tplc="04090005" w:tentative="1">
      <w:start w:val="1"/>
      <w:numFmt w:val="bullet"/>
      <w:lvlText w:val=""/>
      <w:lvlJc w:val="left"/>
      <w:pPr>
        <w:ind w:left="4827" w:hanging="360"/>
      </w:pPr>
      <w:rPr>
        <w:rFonts w:ascii="Wingdings" w:hAnsi="Wingdings" w:hint="default"/>
      </w:rPr>
    </w:lvl>
    <w:lvl w:ilvl="6" w:tplc="04090001" w:tentative="1">
      <w:start w:val="1"/>
      <w:numFmt w:val="bullet"/>
      <w:lvlText w:val=""/>
      <w:lvlJc w:val="left"/>
      <w:pPr>
        <w:ind w:left="5547" w:hanging="360"/>
      </w:pPr>
      <w:rPr>
        <w:rFonts w:ascii="Symbol" w:hAnsi="Symbol" w:hint="default"/>
      </w:rPr>
    </w:lvl>
    <w:lvl w:ilvl="7" w:tplc="04090003" w:tentative="1">
      <w:start w:val="1"/>
      <w:numFmt w:val="bullet"/>
      <w:lvlText w:val="o"/>
      <w:lvlJc w:val="left"/>
      <w:pPr>
        <w:ind w:left="6267" w:hanging="360"/>
      </w:pPr>
      <w:rPr>
        <w:rFonts w:ascii="Courier New" w:hAnsi="Courier New" w:cs="Courier New" w:hint="default"/>
      </w:rPr>
    </w:lvl>
    <w:lvl w:ilvl="8" w:tplc="04090005" w:tentative="1">
      <w:start w:val="1"/>
      <w:numFmt w:val="bullet"/>
      <w:lvlText w:val=""/>
      <w:lvlJc w:val="left"/>
      <w:pPr>
        <w:ind w:left="6987" w:hanging="360"/>
      </w:pPr>
      <w:rPr>
        <w:rFonts w:ascii="Wingdings" w:hAnsi="Wingdings" w:hint="default"/>
      </w:rPr>
    </w:lvl>
  </w:abstractNum>
  <w:abstractNum w:abstractNumId="14"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38501A"/>
    <w:multiLevelType w:val="hybridMultilevel"/>
    <w:tmpl w:val="5AFAA6BA"/>
    <w:lvl w:ilvl="0" w:tplc="7688D622">
      <w:start w:val="3"/>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4"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C14DF4"/>
    <w:multiLevelType w:val="hybridMultilevel"/>
    <w:tmpl w:val="98A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noProof w:val="0"/>
        <w:vanish w:val="0"/>
        <w:color w:val="00000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083514C"/>
    <w:multiLevelType w:val="hybridMultilevel"/>
    <w:tmpl w:val="3198EE2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3"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57585E"/>
    <w:multiLevelType w:val="hybridMultilevel"/>
    <w:tmpl w:val="B334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820E81"/>
    <w:multiLevelType w:val="hybridMultilevel"/>
    <w:tmpl w:val="3676B424"/>
    <w:lvl w:ilvl="0" w:tplc="CB9CB15A">
      <w:start w:val="3"/>
      <w:numFmt w:val="decimal"/>
      <w:lvlText w:val="%1."/>
      <w:lvlJc w:val="left"/>
      <w:pPr>
        <w:ind w:left="720" w:hanging="360"/>
      </w:pPr>
      <w:rPr>
        <w:rFonts w:eastAsia="Calibri" w:cs="Calibri"/>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4"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9"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0"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1"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2264C7"/>
    <w:multiLevelType w:val="hybridMultilevel"/>
    <w:tmpl w:val="E674A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A1C03D5"/>
    <w:multiLevelType w:val="hybridMultilevel"/>
    <w:tmpl w:val="C2C48E02"/>
    <w:lvl w:ilvl="0" w:tplc="729AE2B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7"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9"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4" w15:restartNumberingAfterBreak="0">
    <w:nsid w:val="7D033EEF"/>
    <w:multiLevelType w:val="hybridMultilevel"/>
    <w:tmpl w:val="1868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68411701">
    <w:abstractNumId w:val="25"/>
  </w:num>
  <w:num w:numId="2" w16cid:durableId="5404409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3790797">
    <w:abstractNumId w:val="2"/>
  </w:num>
  <w:num w:numId="4" w16cid:durableId="386488928">
    <w:abstractNumId w:val="28"/>
  </w:num>
  <w:num w:numId="5" w16cid:durableId="7192107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5010330">
    <w:abstractNumId w:val="54"/>
  </w:num>
  <w:num w:numId="7" w16cid:durableId="574896566">
    <w:abstractNumId w:val="38"/>
  </w:num>
  <w:num w:numId="8" w16cid:durableId="1526284182">
    <w:abstractNumId w:val="30"/>
  </w:num>
  <w:num w:numId="9" w16cid:durableId="264119361">
    <w:abstractNumId w:val="19"/>
  </w:num>
  <w:num w:numId="10" w16cid:durableId="780957044">
    <w:abstractNumId w:val="15"/>
  </w:num>
  <w:num w:numId="11" w16cid:durableId="1584609063">
    <w:abstractNumId w:val="48"/>
  </w:num>
  <w:num w:numId="12" w16cid:durableId="1182354041">
    <w:abstractNumId w:val="53"/>
  </w:num>
  <w:num w:numId="13" w16cid:durableId="263878067">
    <w:abstractNumId w:val="5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90578">
    <w:abstractNumId w:val="49"/>
  </w:num>
  <w:num w:numId="15" w16cid:durableId="736368068">
    <w:abstractNumId w:val="50"/>
  </w:num>
  <w:num w:numId="16" w16cid:durableId="451050372">
    <w:abstractNumId w:val="34"/>
  </w:num>
  <w:num w:numId="17" w16cid:durableId="635262838">
    <w:abstractNumId w:val="32"/>
  </w:num>
  <w:num w:numId="18" w16cid:durableId="100224125">
    <w:abstractNumId w:val="21"/>
  </w:num>
  <w:num w:numId="19" w16cid:durableId="729769138">
    <w:abstractNumId w:val="61"/>
  </w:num>
  <w:num w:numId="20" w16cid:durableId="466902322">
    <w:abstractNumId w:val="7"/>
  </w:num>
  <w:num w:numId="21" w16cid:durableId="1627201144">
    <w:abstractNumId w:val="42"/>
  </w:num>
  <w:num w:numId="22" w16cid:durableId="894853997">
    <w:abstractNumId w:val="47"/>
  </w:num>
  <w:num w:numId="23" w16cid:durableId="88163170">
    <w:abstractNumId w:val="51"/>
  </w:num>
  <w:num w:numId="24" w16cid:durableId="810244433">
    <w:abstractNumId w:val="31"/>
  </w:num>
  <w:num w:numId="25" w16cid:durableId="2110545660">
    <w:abstractNumId w:val="2"/>
  </w:num>
  <w:num w:numId="26" w16cid:durableId="873229263">
    <w:abstractNumId w:val="2"/>
  </w:num>
  <w:num w:numId="27" w16cid:durableId="2018072230">
    <w:abstractNumId w:val="18"/>
  </w:num>
  <w:num w:numId="28" w16cid:durableId="600068210">
    <w:abstractNumId w:val="17"/>
  </w:num>
  <w:num w:numId="29" w16cid:durableId="1006832810">
    <w:abstractNumId w:val="41"/>
  </w:num>
  <w:num w:numId="30" w16cid:durableId="1897348665">
    <w:abstractNumId w:val="66"/>
  </w:num>
  <w:num w:numId="31" w16cid:durableId="2090078562">
    <w:abstractNumId w:val="2"/>
  </w:num>
  <w:num w:numId="32" w16cid:durableId="830608590">
    <w:abstractNumId w:val="2"/>
  </w:num>
  <w:num w:numId="33" w16cid:durableId="1557811957">
    <w:abstractNumId w:val="16"/>
  </w:num>
  <w:num w:numId="34" w16cid:durableId="1283220277">
    <w:abstractNumId w:val="65"/>
  </w:num>
  <w:num w:numId="35" w16cid:durableId="793209537">
    <w:abstractNumId w:val="9"/>
  </w:num>
  <w:num w:numId="36" w16cid:durableId="1573351249">
    <w:abstractNumId w:val="27"/>
  </w:num>
  <w:num w:numId="37" w16cid:durableId="110561540">
    <w:abstractNumId w:val="63"/>
  </w:num>
  <w:num w:numId="38" w16cid:durableId="98108264">
    <w:abstractNumId w:val="12"/>
  </w:num>
  <w:num w:numId="39" w16cid:durableId="658314167">
    <w:abstractNumId w:val="66"/>
  </w:num>
  <w:num w:numId="40" w16cid:durableId="1795708807">
    <w:abstractNumId w:val="66"/>
  </w:num>
  <w:num w:numId="41" w16cid:durableId="23794484">
    <w:abstractNumId w:val="20"/>
  </w:num>
  <w:num w:numId="42" w16cid:durableId="1878198238">
    <w:abstractNumId w:val="67"/>
  </w:num>
  <w:num w:numId="43" w16cid:durableId="1782063520">
    <w:abstractNumId w:val="40"/>
  </w:num>
  <w:num w:numId="44" w16cid:durableId="709378672">
    <w:abstractNumId w:val="45"/>
  </w:num>
  <w:num w:numId="45" w16cid:durableId="706758384">
    <w:abstractNumId w:val="23"/>
  </w:num>
  <w:num w:numId="46" w16cid:durableId="1941526426">
    <w:abstractNumId w:val="58"/>
  </w:num>
  <w:num w:numId="47" w16cid:durableId="1833059631">
    <w:abstractNumId w:val="37"/>
  </w:num>
  <w:num w:numId="48" w16cid:durableId="734085534">
    <w:abstractNumId w:val="24"/>
  </w:num>
  <w:num w:numId="49" w16cid:durableId="483015409">
    <w:abstractNumId w:val="62"/>
  </w:num>
  <w:num w:numId="50" w16cid:durableId="931670900">
    <w:abstractNumId w:val="33"/>
  </w:num>
  <w:num w:numId="51" w16cid:durableId="522978199">
    <w:abstractNumId w:val="59"/>
  </w:num>
  <w:num w:numId="52" w16cid:durableId="1002855258">
    <w:abstractNumId w:val="5"/>
  </w:num>
  <w:num w:numId="53" w16cid:durableId="1530489359">
    <w:abstractNumId w:val="39"/>
  </w:num>
  <w:num w:numId="54" w16cid:durableId="1685664170">
    <w:abstractNumId w:val="46"/>
  </w:num>
  <w:num w:numId="55" w16cid:durableId="873345244">
    <w:abstractNumId w:val="35"/>
  </w:num>
  <w:num w:numId="56" w16cid:durableId="346250581">
    <w:abstractNumId w:val="2"/>
  </w:num>
  <w:num w:numId="57" w16cid:durableId="1554466398">
    <w:abstractNumId w:val="2"/>
  </w:num>
  <w:num w:numId="58" w16cid:durableId="1969509432">
    <w:abstractNumId w:val="2"/>
  </w:num>
  <w:num w:numId="59" w16cid:durableId="1493830721">
    <w:abstractNumId w:val="57"/>
  </w:num>
  <w:num w:numId="60" w16cid:durableId="1845126485">
    <w:abstractNumId w:val="14"/>
  </w:num>
  <w:num w:numId="61" w16cid:durableId="1855800034">
    <w:abstractNumId w:val="1"/>
  </w:num>
  <w:num w:numId="62" w16cid:durableId="859320606">
    <w:abstractNumId w:val="6"/>
  </w:num>
  <w:num w:numId="63" w16cid:durableId="595797147">
    <w:abstractNumId w:val="10"/>
  </w:num>
  <w:num w:numId="64" w16cid:durableId="1332952699">
    <w:abstractNumId w:val="44"/>
  </w:num>
  <w:num w:numId="65" w16cid:durableId="2082632678">
    <w:abstractNumId w:val="8"/>
  </w:num>
  <w:num w:numId="66" w16cid:durableId="1964923013">
    <w:abstractNumId w:val="11"/>
  </w:num>
  <w:num w:numId="67" w16cid:durableId="159389148">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60388066">
    <w:abstractNumId w:val="5"/>
  </w:num>
  <w:num w:numId="69" w16cid:durableId="76102527">
    <w:abstractNumId w:val="26"/>
  </w:num>
  <w:num w:numId="70" w16cid:durableId="304043404">
    <w:abstractNumId w:val="36"/>
  </w:num>
  <w:num w:numId="71" w16cid:durableId="371809281">
    <w:abstractNumId w:val="64"/>
  </w:num>
  <w:num w:numId="72" w16cid:durableId="1476948512">
    <w:abstractNumId w:val="55"/>
  </w:num>
  <w:num w:numId="73" w16cid:durableId="1084182376">
    <w:abstractNumId w:val="56"/>
  </w:num>
  <w:num w:numId="74" w16cid:durableId="1068918110">
    <w:abstractNumId w:val="60"/>
  </w:num>
  <w:num w:numId="75" w16cid:durableId="1315908407">
    <w:abstractNumId w:val="22"/>
  </w:num>
  <w:num w:numId="76" w16cid:durableId="820003022">
    <w:abstractNumId w:val="52"/>
  </w:num>
  <w:num w:numId="77" w16cid:durableId="508716747">
    <w:abstractNumId w:val="13"/>
  </w:num>
  <w:num w:numId="78" w16cid:durableId="194779428">
    <w:abstractNumId w:val="4"/>
  </w:num>
  <w:num w:numId="79" w16cid:durableId="1052315903">
    <w:abstractNumId w:val="29"/>
  </w:num>
  <w:num w:numId="80" w16cid:durableId="1669600188">
    <w:abstractNumId w:val="2"/>
  </w:num>
  <w:num w:numId="81" w16cid:durableId="511145439">
    <w:abstractNumId w:val="3"/>
  </w:num>
  <w:num w:numId="82" w16cid:durableId="1557164610">
    <w:abstractNumId w:val="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2F07"/>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42F"/>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00"/>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14"/>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53"/>
    <w:rsid w:val="00054ACE"/>
    <w:rsid w:val="00054DAB"/>
    <w:rsid w:val="00054FBD"/>
    <w:rsid w:val="00054FDD"/>
    <w:rsid w:val="0005504C"/>
    <w:rsid w:val="000551E9"/>
    <w:rsid w:val="0005537A"/>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734"/>
    <w:rsid w:val="00061E34"/>
    <w:rsid w:val="00061F60"/>
    <w:rsid w:val="00061F7A"/>
    <w:rsid w:val="000621A9"/>
    <w:rsid w:val="00062272"/>
    <w:rsid w:val="00062449"/>
    <w:rsid w:val="0006263A"/>
    <w:rsid w:val="000628F6"/>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1B7"/>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41"/>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5FC"/>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197"/>
    <w:rsid w:val="000F13C4"/>
    <w:rsid w:val="000F13D7"/>
    <w:rsid w:val="000F141C"/>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2BB"/>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79"/>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3E8"/>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2D5"/>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269"/>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603"/>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883"/>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46D"/>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F61"/>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5B6"/>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8D2"/>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78F"/>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6AE"/>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389E"/>
    <w:rsid w:val="003340BB"/>
    <w:rsid w:val="0033443F"/>
    <w:rsid w:val="00334AAB"/>
    <w:rsid w:val="00335250"/>
    <w:rsid w:val="003353BF"/>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7C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1A11"/>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B2A"/>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48"/>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BD1"/>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772"/>
    <w:rsid w:val="003E1CF4"/>
    <w:rsid w:val="003E1FAC"/>
    <w:rsid w:val="003E20C9"/>
    <w:rsid w:val="003E240A"/>
    <w:rsid w:val="003E2BF4"/>
    <w:rsid w:val="003E2D5A"/>
    <w:rsid w:val="003E2E30"/>
    <w:rsid w:val="003E325A"/>
    <w:rsid w:val="003E33C5"/>
    <w:rsid w:val="003E34E1"/>
    <w:rsid w:val="003E3524"/>
    <w:rsid w:val="003E3A0C"/>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69E"/>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8BA"/>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A20"/>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A08"/>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784"/>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404"/>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1DF8"/>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2C"/>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2A6"/>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2CA"/>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5C48"/>
    <w:rsid w:val="005B6277"/>
    <w:rsid w:val="005B6A24"/>
    <w:rsid w:val="005B6C5F"/>
    <w:rsid w:val="005B6FAE"/>
    <w:rsid w:val="005B7018"/>
    <w:rsid w:val="005B703E"/>
    <w:rsid w:val="005B70E8"/>
    <w:rsid w:val="005B72BE"/>
    <w:rsid w:val="005B73A2"/>
    <w:rsid w:val="005B7824"/>
    <w:rsid w:val="005B7FC1"/>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06"/>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03"/>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8A"/>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4FC"/>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27E56"/>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986"/>
    <w:rsid w:val="00632A0E"/>
    <w:rsid w:val="00632A4C"/>
    <w:rsid w:val="00632BE7"/>
    <w:rsid w:val="00632C4C"/>
    <w:rsid w:val="00633951"/>
    <w:rsid w:val="0063395F"/>
    <w:rsid w:val="00633965"/>
    <w:rsid w:val="00633972"/>
    <w:rsid w:val="00633B5E"/>
    <w:rsid w:val="00633C0A"/>
    <w:rsid w:val="00633D62"/>
    <w:rsid w:val="00633F40"/>
    <w:rsid w:val="0063405E"/>
    <w:rsid w:val="006340D1"/>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E82"/>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01F"/>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D30"/>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85F"/>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C7F79"/>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66F"/>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8D5"/>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35D"/>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09B"/>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7B7"/>
    <w:rsid w:val="0077486B"/>
    <w:rsid w:val="00774B66"/>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31"/>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0A9"/>
    <w:rsid w:val="007947FB"/>
    <w:rsid w:val="00794980"/>
    <w:rsid w:val="007949DE"/>
    <w:rsid w:val="007951D0"/>
    <w:rsid w:val="007954AC"/>
    <w:rsid w:val="0079601B"/>
    <w:rsid w:val="007962E1"/>
    <w:rsid w:val="0079663F"/>
    <w:rsid w:val="00796819"/>
    <w:rsid w:val="0079696A"/>
    <w:rsid w:val="00796B48"/>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6D6"/>
    <w:rsid w:val="007B1F9A"/>
    <w:rsid w:val="007B21A9"/>
    <w:rsid w:val="007B242F"/>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09A"/>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77D"/>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12F"/>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753"/>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1F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241"/>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A1E"/>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0FD5"/>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1FBB"/>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191"/>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5D"/>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686"/>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621"/>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1C4B"/>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3F58"/>
    <w:rsid w:val="009D4074"/>
    <w:rsid w:val="009D422C"/>
    <w:rsid w:val="009D4303"/>
    <w:rsid w:val="009D45AF"/>
    <w:rsid w:val="009D478C"/>
    <w:rsid w:val="009D49A4"/>
    <w:rsid w:val="009D4A45"/>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0F84"/>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5C5"/>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86F"/>
    <w:rsid w:val="00A25A28"/>
    <w:rsid w:val="00A25A4E"/>
    <w:rsid w:val="00A25EE4"/>
    <w:rsid w:val="00A2610A"/>
    <w:rsid w:val="00A261E4"/>
    <w:rsid w:val="00A26883"/>
    <w:rsid w:val="00A26D4B"/>
    <w:rsid w:val="00A26D60"/>
    <w:rsid w:val="00A26EE0"/>
    <w:rsid w:val="00A271A7"/>
    <w:rsid w:val="00A27EE1"/>
    <w:rsid w:val="00A3072C"/>
    <w:rsid w:val="00A30815"/>
    <w:rsid w:val="00A30837"/>
    <w:rsid w:val="00A3092C"/>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3A"/>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4BD"/>
    <w:rsid w:val="00A4653C"/>
    <w:rsid w:val="00A466DA"/>
    <w:rsid w:val="00A468F1"/>
    <w:rsid w:val="00A469F9"/>
    <w:rsid w:val="00A46C01"/>
    <w:rsid w:val="00A46EEA"/>
    <w:rsid w:val="00A46FAD"/>
    <w:rsid w:val="00A470ED"/>
    <w:rsid w:val="00A47182"/>
    <w:rsid w:val="00A471CA"/>
    <w:rsid w:val="00A47430"/>
    <w:rsid w:val="00A47541"/>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327"/>
    <w:rsid w:val="00A7054F"/>
    <w:rsid w:val="00A70725"/>
    <w:rsid w:val="00A707FE"/>
    <w:rsid w:val="00A70A35"/>
    <w:rsid w:val="00A70C0A"/>
    <w:rsid w:val="00A70C9B"/>
    <w:rsid w:val="00A70DCC"/>
    <w:rsid w:val="00A7102A"/>
    <w:rsid w:val="00A7141F"/>
    <w:rsid w:val="00A7166D"/>
    <w:rsid w:val="00A71822"/>
    <w:rsid w:val="00A71B85"/>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28C"/>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5AE9"/>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3EC"/>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00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D6A"/>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3F7"/>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72F"/>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40E"/>
    <w:rsid w:val="00B857A4"/>
    <w:rsid w:val="00B857F1"/>
    <w:rsid w:val="00B85AF2"/>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0F30"/>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CA"/>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F3"/>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AC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4ED"/>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37"/>
    <w:rsid w:val="00C274BE"/>
    <w:rsid w:val="00C275A3"/>
    <w:rsid w:val="00C27EE7"/>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0FC"/>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871"/>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47F4D"/>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20"/>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081"/>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754"/>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95"/>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0FC1"/>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692"/>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936"/>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4B43"/>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B02"/>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824"/>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0D1"/>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053"/>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E37"/>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5F0D"/>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C3"/>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C0D"/>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9D4"/>
    <w:rsid w:val="00E17B9C"/>
    <w:rsid w:val="00E17C3F"/>
    <w:rsid w:val="00E17CFB"/>
    <w:rsid w:val="00E17D2D"/>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387"/>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1F4C"/>
    <w:rsid w:val="00E52532"/>
    <w:rsid w:val="00E52547"/>
    <w:rsid w:val="00E52643"/>
    <w:rsid w:val="00E52A6C"/>
    <w:rsid w:val="00E52CCE"/>
    <w:rsid w:val="00E52E57"/>
    <w:rsid w:val="00E52F59"/>
    <w:rsid w:val="00E52F76"/>
    <w:rsid w:val="00E530A3"/>
    <w:rsid w:val="00E5315C"/>
    <w:rsid w:val="00E538E0"/>
    <w:rsid w:val="00E53E22"/>
    <w:rsid w:val="00E53F5D"/>
    <w:rsid w:val="00E53F67"/>
    <w:rsid w:val="00E54042"/>
    <w:rsid w:val="00E542D8"/>
    <w:rsid w:val="00E54340"/>
    <w:rsid w:val="00E54655"/>
    <w:rsid w:val="00E546F0"/>
    <w:rsid w:val="00E5476E"/>
    <w:rsid w:val="00E54D33"/>
    <w:rsid w:val="00E5503E"/>
    <w:rsid w:val="00E55582"/>
    <w:rsid w:val="00E55C9F"/>
    <w:rsid w:val="00E57050"/>
    <w:rsid w:val="00E5711F"/>
    <w:rsid w:val="00E5765B"/>
    <w:rsid w:val="00E57D80"/>
    <w:rsid w:val="00E6000E"/>
    <w:rsid w:val="00E60241"/>
    <w:rsid w:val="00E6029F"/>
    <w:rsid w:val="00E602C9"/>
    <w:rsid w:val="00E60369"/>
    <w:rsid w:val="00E608B7"/>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2B9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915"/>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54B"/>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47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5C36"/>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79"/>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3A7"/>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BC3"/>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AF8"/>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315"/>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4DE"/>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7C4"/>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C4F"/>
    <w:rsid w:val="00F83E5F"/>
    <w:rsid w:val="00F84849"/>
    <w:rsid w:val="00F849D7"/>
    <w:rsid w:val="00F84A2F"/>
    <w:rsid w:val="00F84B56"/>
    <w:rsid w:val="00F84BAB"/>
    <w:rsid w:val="00F850EB"/>
    <w:rsid w:val="00F85545"/>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9DE"/>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5E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9B9"/>
    <w:rsid w:val="00FB3CD6"/>
    <w:rsid w:val="00FB3D0B"/>
    <w:rsid w:val="00FB3DCB"/>
    <w:rsid w:val="00FB4002"/>
    <w:rsid w:val="00FB4065"/>
    <w:rsid w:val="00FB43F5"/>
    <w:rsid w:val="00FB4760"/>
    <w:rsid w:val="00FB47B5"/>
    <w:rsid w:val="00FB4843"/>
    <w:rsid w:val="00FB4931"/>
    <w:rsid w:val="00FB4AB0"/>
    <w:rsid w:val="00FB4F15"/>
    <w:rsid w:val="00FB52FD"/>
    <w:rsid w:val="00FB553B"/>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ADC"/>
    <w:rsid w:val="00FE0C87"/>
    <w:rsid w:val="00FE0F3D"/>
    <w:rsid w:val="00FE17E5"/>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9A5EC"/>
  <w15:docId w15:val="{8568A5AF-CC4F-4274-ADF4-95F5BA955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3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7450">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779908874">
      <w:bodyDiv w:val="1"/>
      <w:marLeft w:val="0"/>
      <w:marRight w:val="0"/>
      <w:marTop w:val="0"/>
      <w:marBottom w:val="0"/>
      <w:divBdr>
        <w:top w:val="none" w:sz="0" w:space="0" w:color="auto"/>
        <w:left w:val="none" w:sz="0" w:space="0" w:color="auto"/>
        <w:bottom w:val="none" w:sz="0" w:space="0" w:color="auto"/>
        <w:right w:val="none" w:sz="0" w:space="0" w:color="auto"/>
      </w:divBdr>
      <w:divsChild>
        <w:div w:id="1660957322">
          <w:marLeft w:val="0"/>
          <w:marRight w:val="0"/>
          <w:marTop w:val="0"/>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699041">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C15AC77-19C8-49C7-A71F-9EBD88DCF776}">
  <ds:schemaRefs>
    <ds:schemaRef ds:uri="http://schemas.microsoft.com/office/infopath/2007/PartnerControls"/>
    <ds:schemaRef ds:uri="http://purl.org/dc/elements/1.1/"/>
    <ds:schemaRef ds:uri="http://schemas.microsoft.com/office/2006/metadata/properties"/>
    <ds:schemaRef ds:uri="35d934a9-c0cd-4c6a-b8d8-662a115f1c92"/>
    <ds:schemaRef ds:uri="81f21dd9-5de3-44a3-9c4e-ab308fbc6c41"/>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A73FB30C-C97F-43A3-A15C-74E55FEDEF62}">
  <ds:schemaRefs>
    <ds:schemaRef ds:uri="http://schemas.openxmlformats.org/officeDocument/2006/bibliography"/>
  </ds:schemaRefs>
</ds:datastoreItem>
</file>

<file path=customXml/itemProps3.xml><?xml version="1.0" encoding="utf-8"?>
<ds:datastoreItem xmlns:ds="http://schemas.openxmlformats.org/officeDocument/2006/customXml" ds:itemID="{66E85653-6D92-4218-AA7E-CBE10DD4D3F8}">
  <ds:schemaRefs>
    <ds:schemaRef ds:uri="http://schemas.openxmlformats.org/officeDocument/2006/bibliography"/>
  </ds:schemaRefs>
</ds:datastoreItem>
</file>

<file path=customXml/itemProps4.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857</Words>
  <Characters>4890</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5736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18</cp:revision>
  <cp:lastPrinted>2022-01-05T12:49:00Z</cp:lastPrinted>
  <dcterms:created xsi:type="dcterms:W3CDTF">2024-08-08T20:07:00Z</dcterms:created>
  <dcterms:modified xsi:type="dcterms:W3CDTF">2024-10-04T07:56:00Z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