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tabs>
          <w:tab w:val="clear" w:pos="709"/>
          <w:tab w:val="right" w:pos="9639" w:leader="none"/>
        </w:tabs>
        <w:rPr/>
      </w:pPr>
      <w:r>
        <w:rPr>
          <w:bCs/>
          <w:sz w:val="24"/>
          <w:szCs w:val="24"/>
        </w:rPr>
        <w:t>3GPP TSG-RAN WG2 Meeting #127bis</w:t>
        <w:tab/>
      </w:r>
      <w:r>
        <w:rPr>
          <w:bCs/>
          <w:i/>
          <w:sz w:val="24"/>
          <w:szCs w:val="24"/>
        </w:rPr>
        <w:t>R2-2409111</w:t>
      </w:r>
    </w:p>
    <w:p>
      <w:pPr>
        <w:pStyle w:val="Header"/>
        <w:tabs>
          <w:tab w:val="clear" w:pos="709"/>
          <w:tab w:val="right" w:pos="9639" w:leader="none"/>
        </w:tabs>
        <w:rPr/>
      </w:pPr>
      <w:r>
        <w:rPr>
          <w:rFonts w:eastAsia="SimSun"/>
          <w:bCs/>
          <w:sz w:val="24"/>
          <w:szCs w:val="24"/>
          <w:lang w:eastAsia="zh-CN"/>
        </w:rPr>
        <w:t>Hefei , China , 14 October – 18 October 2024</w:t>
      </w:r>
      <w:r>
        <w:rPr>
          <w:rFonts w:eastAsia="SimSun"/>
          <w:sz w:val="24"/>
          <w:szCs w:val="24"/>
          <w:lang w:eastAsia="zh-CN"/>
        </w:rPr>
        <w:tab/>
      </w:r>
    </w:p>
    <w:p>
      <w:pPr>
        <w:pStyle w:val="Header"/>
        <w:rPr>
          <w:bCs/>
          <w:sz w:val="24"/>
        </w:rPr>
      </w:pPr>
      <w:r>
        <w:rPr>
          <w:bCs/>
          <w:sz w:val="24"/>
        </w:rPr>
      </w:r>
    </w:p>
    <w:p>
      <w:pPr>
        <w:pStyle w:val="Header"/>
        <w:rPr>
          <w:bCs/>
          <w:sz w:val="24"/>
        </w:rPr>
      </w:pPr>
      <w:r>
        <w:rPr>
          <w:bCs/>
          <w:sz w:val="24"/>
        </w:rPr>
      </w:r>
    </w:p>
    <w:p>
      <w:pPr>
        <w:pStyle w:val="CRCoverPage"/>
        <w:tabs>
          <w:tab w:val="clear" w:pos="709"/>
          <w:tab w:val="left" w:pos="1985" w:leader="none"/>
        </w:tabs>
        <w:rPr>
          <w:rFonts w:cs="Arial"/>
          <w:b/>
          <w:b/>
          <w:bCs/>
          <w:sz w:val="24"/>
        </w:rPr>
      </w:pPr>
      <w:r>
        <w:rPr>
          <w:rFonts w:cs="Arial"/>
          <w:b/>
          <w:bCs/>
          <w:sz w:val="24"/>
        </w:rPr>
        <w:t>Agenda item:</w:t>
        <w:tab/>
        <w:t>8.6.4</w:t>
      </w:r>
    </w:p>
    <w:p>
      <w:pPr>
        <w:pStyle w:val="Normal"/>
        <w:tabs>
          <w:tab w:val="clear" w:pos="709"/>
          <w:tab w:val="left" w:pos="3970" w:leader="none"/>
        </w:tabs>
        <w:ind w:start="1985" w:hanging="1985"/>
        <w:rPr>
          <w:rFonts w:ascii="Arial" w:hAnsi="Arial" w:cs="Arial"/>
          <w:b/>
          <w:b/>
          <w:bCs/>
        </w:rPr>
      </w:pPr>
      <w:r>
        <w:rPr>
          <w:rFonts w:cs="Arial" w:ascii="Arial" w:hAnsi="Arial"/>
          <w:b/>
          <w:bCs/>
        </w:rPr>
        <w:t>Source:</w:t>
        <w:tab/>
        <w:t>CEWiT</w:t>
      </w:r>
    </w:p>
    <w:p>
      <w:pPr>
        <w:pStyle w:val="Normal"/>
        <w:ind w:start="1985" w:hanging="1985"/>
        <w:rPr>
          <w:rFonts w:ascii="Arial" w:hAnsi="Arial" w:cs="Arial"/>
          <w:b/>
          <w:b/>
          <w:bCs/>
        </w:rPr>
      </w:pPr>
      <w:r>
        <w:rPr>
          <w:rFonts w:cs="Arial" w:ascii="Arial" w:hAnsi="Arial"/>
          <w:b/>
          <w:bCs/>
        </w:rPr>
        <w:t>Title:</w:t>
        <w:tab/>
        <w:t>Discussion on Conditional mobility</w:t>
      </w:r>
    </w:p>
    <w:p>
      <w:pPr>
        <w:pStyle w:val="Normal"/>
        <w:ind w:start="1985" w:hanging="1985"/>
        <w:rPr/>
      </w:pPr>
      <w:r>
        <w:rPr>
          <w:rFonts w:cs="Arial" w:ascii="Arial" w:hAnsi="Arial"/>
          <w:b/>
          <w:bCs/>
        </w:rPr>
        <w:t>WID/SID:</w:t>
        <w:tab/>
      </w:r>
      <w:r>
        <w:rPr>
          <w:rFonts w:eastAsia="Malgun Gothic" w:cs="Arial" w:ascii="Arial" w:hAnsi="Arial"/>
          <w:b/>
          <w:bCs/>
          <w:lang w:val="en-US"/>
        </w:rPr>
        <w:t>NR_Mob_Ph4-Core</w:t>
      </w:r>
      <w:r>
        <w:rPr>
          <w:rFonts w:cs="Arial" w:ascii="Arial" w:hAnsi="Arial"/>
          <w:b/>
          <w:bCs/>
        </w:rPr>
        <w:t>;- Release 19</w:t>
      </w:r>
    </w:p>
    <w:p>
      <w:pPr>
        <w:pStyle w:val="Normal"/>
        <w:tabs>
          <w:tab w:val="clear" w:pos="709"/>
          <w:tab w:val="left" w:pos="1985" w:leader="none"/>
        </w:tabs>
        <w:rPr>
          <w:rFonts w:ascii="Arial" w:hAnsi="Arial" w:cs="Arial"/>
          <w:b/>
          <w:b/>
          <w:bCs/>
        </w:rPr>
      </w:pPr>
      <w:r>
        <w:rPr>
          <w:rFonts w:cs="Arial" w:ascii="Arial" w:hAnsi="Arial"/>
          <w:b/>
          <w:bCs/>
        </w:rPr>
        <w:t>Document for:</w:t>
        <w:tab/>
        <w:t>Discussion and Decision</w:t>
      </w:r>
    </w:p>
    <w:p>
      <w:pPr>
        <w:pStyle w:val="Heading1"/>
        <w:numPr>
          <w:ilvl w:val="0"/>
          <w:numId w:val="2"/>
        </w:numPr>
        <w:rPr/>
      </w:pPr>
      <w:r>
        <w:rPr/>
        <w:t>Introduction</w:t>
      </w:r>
    </w:p>
    <w:p>
      <w:pPr>
        <w:pStyle w:val="Normal"/>
        <w:rPr>
          <w:rFonts w:ascii="Times New Roman" w:hAnsi="Times New Roman" w:eastAsia="MS Mincho" w:cs="Times New Roman"/>
          <w:szCs w:val="20"/>
          <w:lang w:val="en-GB" w:eastAsia="ja-JP"/>
        </w:rPr>
      </w:pPr>
      <w:r>
        <w:rPr>
          <w:rFonts w:eastAsia="MS Mincho" w:cs="Times New Roman" w:ascii="Times New Roman" w:hAnsi="Times New Roman"/>
          <w:szCs w:val="20"/>
          <w:lang w:val="en-GB" w:eastAsia="ja-JP"/>
        </w:rPr>
        <w:t xml:space="preserve">Based on 3GPP TSG RAN meeting #105, the below are the agreements on </w:t>
      </w:r>
      <w:r>
        <w:rPr>
          <w:rFonts w:eastAsia="MS Mincho" w:cs="Times New Roman" w:ascii="Times New Roman" w:hAnsi="Times New Roman"/>
          <w:szCs w:val="20"/>
          <w:lang w:val="en-GB" w:eastAsia="ja-JP"/>
        </w:rPr>
        <w:t xml:space="preserve">revised </w:t>
      </w:r>
      <w:r>
        <w:rPr>
          <w:rFonts w:eastAsia="MS Mincho" w:cs="Times New Roman" w:ascii="Times New Roman" w:hAnsi="Times New Roman"/>
          <w:szCs w:val="20"/>
          <w:lang w:val="en-GB" w:eastAsia="ja-JP"/>
        </w:rPr>
        <w:t xml:space="preserve">WID for NR mobility enhancements Phase 4 </w:t>
      </w:r>
      <w:r>
        <w:rPr>
          <w:rFonts w:eastAsia="MS Mincho" w:cs="Times New Roman" w:ascii="Times New Roman" w:hAnsi="Times New Roman"/>
          <w:szCs w:val="20"/>
          <w:lang w:val="en-GB" w:eastAsia="ja-JP"/>
        </w:rPr>
        <w:t>for conditional mobility.</w:t>
      </w:r>
      <w:r>
        <w:rPr/>
        <w:t xml:space="preserve">  </w:t>
      </w:r>
    </w:p>
    <w:tbl>
      <w:tblPr>
        <w:tblW w:w="5000" w:type="pct"/>
        <w:jc w:val="start"/>
        <w:tblInd w:w="0" w:type="dxa"/>
        <w:tblLayout w:type="fixed"/>
        <w:tblCellMar>
          <w:top w:w="0" w:type="dxa"/>
          <w:start w:w="0" w:type="dxa"/>
          <w:bottom w:w="0" w:type="dxa"/>
          <w:end w:w="0" w:type="dxa"/>
        </w:tblCellMar>
      </w:tblPr>
      <w:tblGrid>
        <w:gridCol w:w="9638"/>
      </w:tblGrid>
      <w:tr>
        <w:trPr/>
        <w:tc>
          <w:tcPr>
            <w:tcW w:w="9638" w:type="dxa"/>
            <w:tcBorders/>
          </w:tcPr>
          <w:p>
            <w:pPr>
              <w:pStyle w:val="Normal"/>
              <w:widowControl w:val="false"/>
              <w:rPr/>
            </w:pPr>
            <w:r>
              <w:rPr/>
            </w:r>
          </w:p>
          <w:p>
            <w:pPr>
              <w:pStyle w:val="Quotations"/>
              <w:widowControl w:val="false"/>
              <w:rPr/>
            </w:pPr>
            <w:r>
              <w:rPr/>
              <w:t xml:space="preserve">    </w:t>
            </w:r>
            <w:r>
              <w:rPr>
                <w:bCs/>
                <w:lang w:val="en-GB" w:eastAsia="ja-JP"/>
              </w:rPr>
              <w:t>FFS on Specify support of conditional LTM</w:t>
            </w:r>
          </w:p>
          <w:p>
            <w:pPr>
              <w:pStyle w:val="Normal"/>
              <w:widowControl w:val="false"/>
              <w:numPr>
                <w:ilvl w:val="1"/>
                <w:numId w:val="3"/>
              </w:numPr>
              <w:rPr>
                <w:bCs/>
                <w:lang w:val="en-GB" w:eastAsia="ja-JP"/>
              </w:rPr>
            </w:pPr>
            <w:r>
              <w:rPr>
                <w:bCs/>
                <w:lang w:val="en-GB" w:eastAsia="ja-JP"/>
              </w:rPr>
              <w:t>Specify UE evaluated conditions for triggering LTM</w:t>
            </w:r>
          </w:p>
          <w:p>
            <w:pPr>
              <w:pStyle w:val="Normal"/>
              <w:widowControl w:val="false"/>
              <w:numPr>
                <w:ilvl w:val="1"/>
                <w:numId w:val="3"/>
              </w:numPr>
              <w:rPr>
                <w:bCs/>
                <w:lang w:val="en-GB" w:eastAsia="ja-JP"/>
              </w:rPr>
            </w:pPr>
            <w:r>
              <w:rPr>
                <w:bCs/>
                <w:lang w:val="en-GB" w:eastAsia="ja-JP"/>
              </w:rPr>
              <w:t>Aim to support conditional LTM including subsequent LTM</w:t>
            </w:r>
          </w:p>
          <w:p>
            <w:pPr>
              <w:pStyle w:val="Normal"/>
              <w:widowControl w:val="false"/>
              <w:numPr>
                <w:ilvl w:val="1"/>
                <w:numId w:val="3"/>
              </w:numPr>
              <w:rPr>
                <w:bCs/>
                <w:lang w:val="en-GB" w:eastAsia="ja-JP"/>
              </w:rPr>
            </w:pPr>
            <w:r>
              <w:rPr>
                <w:bCs/>
                <w:shd w:fill="FFFF00" w:val="clear"/>
                <w:lang w:val="en-GB" w:eastAsia="ja-JP"/>
              </w:rPr>
              <w:t>Prioritise intra-CU LTM</w:t>
            </w:r>
          </w:p>
        </w:tc>
      </w:tr>
    </w:tbl>
    <w:p>
      <w:pPr>
        <w:pStyle w:val="Quotations"/>
        <w:rPr/>
      </w:pPr>
      <w:r>
        <w:rPr/>
      </w:r>
    </w:p>
    <w:p>
      <w:pPr>
        <w:pStyle w:val="Normal"/>
        <w:rPr>
          <w:rFonts w:ascii="Times New Roman" w:hAnsi="Times New Roman" w:eastAsia="MS Mincho" w:cs="Times New Roman"/>
          <w:szCs w:val="20"/>
          <w:lang w:val="en-GB" w:eastAsia="ja-JP"/>
        </w:rPr>
      </w:pPr>
      <w:r>
        <w:rPr>
          <w:rFonts w:eastAsia="MS Mincho" w:cs="Times New Roman" w:ascii="Times New Roman" w:hAnsi="Times New Roman"/>
          <w:szCs w:val="20"/>
          <w:lang w:val="en-GB" w:eastAsia="ja-JP"/>
        </w:rPr>
      </w:r>
    </w:p>
    <w:p>
      <w:pPr>
        <w:pStyle w:val="Normal"/>
        <w:rPr>
          <w:rFonts w:ascii="Times New Roman" w:hAnsi="Times New Roman" w:eastAsia="MS Mincho" w:cs="Times New Roman"/>
          <w:szCs w:val="20"/>
          <w:lang w:val="en-GB" w:eastAsia="ja-JP"/>
        </w:rPr>
      </w:pPr>
      <w:r>
        <w:rPr>
          <w:rFonts w:eastAsia="MS Mincho" w:cs="Times New Roman" w:ascii="Times New Roman" w:hAnsi="Times New Roman"/>
          <w:szCs w:val="20"/>
          <w:lang w:val="en-GB" w:eastAsia="ja-JP"/>
        </w:rPr>
        <w:t>We will be discussing the importance and feasibility of Conditional LTM, and the challenges that comes with it.</w:t>
      </w:r>
    </w:p>
    <w:p>
      <w:pPr>
        <w:pStyle w:val="Normal"/>
        <w:rPr>
          <w:rFonts w:ascii="Times New Roman" w:hAnsi="Times New Roman" w:cs="Times New Roman"/>
          <w:bCs/>
          <w:sz w:val="20"/>
          <w:lang w:val="en-US"/>
        </w:rPr>
      </w:pPr>
      <w:r>
        <w:rPr>
          <w:rFonts w:cs="Times New Roman" w:ascii="Times New Roman" w:hAnsi="Times New Roman"/>
          <w:bCs/>
          <w:sz w:val="20"/>
          <w:lang w:val="en-US"/>
        </w:rPr>
      </w:r>
    </w:p>
    <w:p>
      <w:pPr>
        <w:pStyle w:val="ListParagraph"/>
        <w:numPr>
          <w:ilvl w:val="0"/>
          <w:numId w:val="1"/>
        </w:numPr>
        <w:jc w:val="both"/>
        <w:rPr/>
      </w:pPr>
      <w:r>
        <w:rPr>
          <w:rFonts w:cs="Times New Roman" w:ascii="Times New Roman" w:hAnsi="Times New Roman"/>
          <w:b/>
          <w:sz w:val="28"/>
        </w:rPr>
        <w:t>Discussion</w:t>
      </w:r>
    </w:p>
    <w:p>
      <w:pPr>
        <w:pStyle w:val="ListParagraph"/>
        <w:ind w:start="720" w:hanging="0"/>
        <w:jc w:val="both"/>
        <w:rPr>
          <w:b w:val="false"/>
          <w:b w:val="false"/>
          <w:bCs w:val="false"/>
        </w:rPr>
      </w:pPr>
      <w:r>
        <w:rPr>
          <w:b w:val="false"/>
          <w:bCs w:val="false"/>
        </w:rPr>
      </w:r>
    </w:p>
    <w:p>
      <w:pPr>
        <w:pStyle w:val="Normal"/>
        <w:pBdr>
          <w:bottom w:val="single" w:sz="4" w:space="1" w:color="000000"/>
        </w:pBdr>
        <w:spacing w:lineRule="auto" w:line="240"/>
        <w:ind w:hanging="0"/>
        <w:jc w:val="both"/>
        <w:rPr/>
      </w:pPr>
      <w:r>
        <w:rPr>
          <w:rFonts w:cs="Times New Roman" w:ascii="Times New Roman" w:hAnsi="Times New Roman"/>
          <w:b w:val="false"/>
          <w:bCs w:val="false"/>
          <w:color w:val="000000" w:themeColor="text1"/>
          <w:szCs w:val="20"/>
        </w:rPr>
        <w:t>In this section we will be discussing on Rel-18 LTM procedure for Intra-CU mobility, and also Rel-16 procedure for CHO. With this background we will compare and state the improvements that are required for Conditional LTM (CLTM).</w:t>
      </w:r>
    </w:p>
    <w:p>
      <w:pPr>
        <w:pStyle w:val="Normal"/>
        <w:pBdr>
          <w:bottom w:val="single" w:sz="4" w:space="1" w:color="000000"/>
        </w:pBdr>
        <w:spacing w:lineRule="auto" w:line="240"/>
        <w:ind w:hanging="0"/>
        <w:jc w:val="both"/>
        <w:rPr>
          <w:rFonts w:ascii="Times New Roman" w:hAnsi="Times New Roman" w:cs="Times New Roman"/>
          <w:b w:val="false"/>
          <w:b w:val="false"/>
          <w:bCs w:val="false"/>
          <w:color w:val="000000" w:themeColor="text1"/>
          <w:szCs w:val="20"/>
        </w:rPr>
      </w:pPr>
      <w:r>
        <w:rPr>
          <w:rFonts w:cs="Times New Roman" w:ascii="Times New Roman" w:hAnsi="Times New Roman"/>
          <w:b w:val="false"/>
          <w:bCs w:val="false"/>
          <w:color w:val="000000" w:themeColor="text1"/>
          <w:szCs w:val="20"/>
        </w:rPr>
      </w:r>
    </w:p>
    <w:p>
      <w:pPr>
        <w:pStyle w:val="Heading2"/>
        <w:rPr/>
      </w:pPr>
      <w:r>
        <w:rPr>
          <w:rFonts w:cs="Times New Roman" w:ascii="Times New Roman" w:hAnsi="Times New Roman"/>
          <w:b w:val="false"/>
          <w:bCs w:val="false"/>
          <w:color w:val="000000" w:themeColor="text1"/>
          <w:szCs w:val="20"/>
        </w:rPr>
        <w:t>Introduction</w:t>
      </w:r>
    </w:p>
    <w:p>
      <w:pPr>
        <w:pStyle w:val="Normal"/>
        <w:pBdr>
          <w:bottom w:val="single" w:sz="4" w:space="1" w:color="000000"/>
        </w:pBdr>
        <w:spacing w:lineRule="auto" w:line="240"/>
        <w:rPr/>
      </w:pPr>
      <w:r>
        <w:rPr>
          <w:rFonts w:cs="Times New Roman" w:ascii="Times New Roman" w:hAnsi="Times New Roman"/>
          <w:color w:val="000000" w:themeColor="text1"/>
          <w:szCs w:val="20"/>
        </w:rPr>
        <w:t>Given below is the flow of events from Rel-18 Intra-CU LTM for reference :</w:t>
      </w:r>
    </w:p>
    <w:p>
      <w:pPr>
        <w:pStyle w:val="Normal"/>
        <w:pBdr>
          <w:bottom w:val="single" w:sz="4" w:space="1" w:color="000000"/>
        </w:pBdr>
        <w:spacing w:lineRule="auto" w:line="240"/>
        <w:rPr/>
      </w:pPr>
      <w: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5943600" cy="5368925"/>
            <wp:effectExtent l="0" t="0" r="0" b="0"/>
            <wp:wrapSquare wrapText="largest"/>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tretch>
                      <a:fillRect/>
                    </a:stretch>
                  </pic:blipFill>
                  <pic:spPr bwMode="auto">
                    <a:xfrm>
                      <a:off x="0" y="0"/>
                      <a:ext cx="5943600" cy="5368925"/>
                    </a:xfrm>
                    <a:prstGeom prst="rect">
                      <a:avLst/>
                    </a:prstGeom>
                  </pic:spPr>
                </pic:pic>
              </a:graphicData>
            </a:graphic>
          </wp:anchor>
        </w:drawing>
      </w:r>
      <w:r>
        <w:rPr>
          <w:rFonts w:cs="Times New Roman" w:ascii="Times New Roman" w:hAnsi="Times New Roman"/>
          <w:color w:val="000000" w:themeColor="text1"/>
          <w:szCs w:val="20"/>
        </w:rPr>
        <w:t>Given below is the flow of events in CHO (Rel-16) for reference :</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5943600" cy="5741035"/>
            <wp:effectExtent l="0" t="0" r="0" b="0"/>
            <wp:wrapSquare wrapText="largest"/>
            <wp:docPr id="2" name="Imag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title=""/>
                    <pic:cNvPicPr>
                      <a:picLocks noChangeAspect="1" noChangeArrowheads="1"/>
                    </pic:cNvPicPr>
                  </pic:nvPicPr>
                  <pic:blipFill>
                    <a:blip r:embed="rId3"/>
                    <a:stretch>
                      <a:fillRect/>
                    </a:stretch>
                  </pic:blipFill>
                  <pic:spPr bwMode="auto">
                    <a:xfrm>
                      <a:off x="0" y="0"/>
                      <a:ext cx="5943600" cy="5741035"/>
                    </a:xfrm>
                    <a:prstGeom prst="rect">
                      <a:avLst/>
                    </a:prstGeom>
                  </pic:spPr>
                </pic:pic>
              </a:graphicData>
            </a:graphic>
          </wp:anchor>
        </w:drawing>
      </w:r>
    </w:p>
    <w:p>
      <w:pPr>
        <w:pStyle w:val="Normal"/>
        <w:pBdr>
          <w:bottom w:val="single" w:sz="4" w:space="1" w:color="000000"/>
        </w:pBdr>
        <w:spacing w:lineRule="auto" w:line="240"/>
        <w:rPr>
          <w:rFonts w:ascii="Arial" w:hAnsi="Arial" w:eastAsia="Arial" w:cs="Arial"/>
          <w:b w:val="false"/>
          <w:b w:val="false"/>
          <w:bCs w:val="false"/>
          <w:color w:val="434343"/>
          <w:kern w:val="0"/>
          <w:sz w:val="28"/>
          <w:szCs w:val="28"/>
          <w:lang w:val="en-US" w:eastAsia="en-US" w:bidi="ar-SA"/>
        </w:rPr>
      </w:pPr>
      <w:r>
        <w:rPr>
          <w:rFonts w:eastAsia="Arial" w:cs="Arial"/>
          <w:b w:val="false"/>
          <w:bCs w:val="false"/>
          <w:color w:val="434343"/>
          <w:kern w:val="0"/>
          <w:sz w:val="28"/>
          <w:szCs w:val="28"/>
          <w:lang w:val="en-US" w:eastAsia="en-US" w:bidi="ar-SA"/>
        </w:rPr>
        <w:t>Design of CLTM</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pPr>
      <w:r>
        <w:rPr>
          <w:rFonts w:cs="Times New Roman" w:ascii="Times New Roman" w:hAnsi="Times New Roman"/>
          <w:color w:val="000000" w:themeColor="text1"/>
          <w:szCs w:val="20"/>
        </w:rPr>
        <w:t>With Rel-18 LTM and CHO as the baseline, CLTM could be designed primarily for intra-CU mobility. The primary goals are to be defined in facilitating the UE to make the LTM decisions and acquiring specific information which were previously provided by the source gNB.</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Observation 1:  Similar to CHO, CLTM for Intra-CU mobility would have legacy intra-CU LTM as the baseline</w:t>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Proposal 1: Rel-18 LTM to be the baseline for Rel-19 CLTM</w:t>
      </w:r>
      <w:r>
        <w:br w:type="page"/>
      </w:r>
    </w:p>
    <w:p>
      <w:pPr>
        <w:pStyle w:val="Heading2"/>
        <w:rPr/>
      </w:pPr>
      <w:r>
        <w:rPr>
          <w:rFonts w:cs="Times New Roman" w:ascii="Times New Roman" w:hAnsi="Times New Roman"/>
          <w:color w:val="000000" w:themeColor="text1"/>
          <w:szCs w:val="20"/>
        </w:rPr>
        <w:t>Detailed Discussion on CLTM phases</w:t>
      </w:r>
    </w:p>
    <w:p>
      <w:pPr>
        <w:pStyle w:val="Normal"/>
        <w:rPr/>
      </w:pPr>
      <w:r>
        <w:rPr>
          <w:rFonts w:cs="Times New Roman" w:ascii="Times New Roman" w:hAnsi="Times New Roman"/>
          <w:color w:val="000000" w:themeColor="text1"/>
          <w:szCs w:val="20"/>
        </w:rPr>
        <w:t>We will discuss CLTM by citing all the challenges and scope for work that comes in each of the handover phases.</w:t>
      </w:r>
    </w:p>
    <w:p>
      <w:pPr>
        <w:pStyle w:val="Normal"/>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Heading3"/>
        <w:numPr>
          <w:ilvl w:val="2"/>
          <w:numId w:val="1"/>
        </w:numPr>
        <w:rPr>
          <w:rFonts w:ascii="Liberation Serif" w:hAnsi="Liberation Serif" w:eastAsia="Arial" w:cs="Arial"/>
          <w:b w:val="false"/>
          <w:b w:val="false"/>
          <w:bCs w:val="false"/>
          <w:color w:val="434343"/>
          <w:kern w:val="0"/>
          <w:sz w:val="28"/>
          <w:szCs w:val="28"/>
          <w:lang w:val="en-US" w:eastAsia="en-US" w:bidi="ar-SA"/>
        </w:rPr>
      </w:pPr>
      <w:r>
        <w:rPr>
          <w:rFonts w:eastAsia="Arial" w:cs="Arial" w:ascii="Liberation Serif" w:hAnsi="Liberation Serif"/>
          <w:b w:val="false"/>
          <w:bCs w:val="false"/>
          <w:color w:val="434343"/>
          <w:kern w:val="0"/>
          <w:sz w:val="28"/>
          <w:szCs w:val="28"/>
          <w:lang w:val="en-US" w:eastAsia="en-US" w:bidi="ar-SA"/>
        </w:rPr>
        <w:t>HO Preparation</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pPr>
      <w:r>
        <w:rPr>
          <w:rFonts w:cs="Times New Roman" w:ascii="Times New Roman" w:hAnsi="Times New Roman"/>
          <w:color w:val="000000" w:themeColor="text1"/>
          <w:szCs w:val="20"/>
        </w:rPr>
        <w:t>During this phase, along with the legacy candidate cell configurations, extra configurations are to come from source gNB conveying the conditions that are to be evaluated by the UE to arrive CLTM decisions. This could be different for different candidate cells. The security key is assumed to not change during intra-CU handover. If there is TA available at the source gNB towards a particular candidate cell, this should also be included.</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Observation 2:  UE needs the conditions to be evaluated in order to make the decisions</w:t>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 xml:space="preserve">Proposal 2: Source to configure the conditions to do a CLTM in RRC Reconfiguration. Details to be studied. </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Arial" w:hAnsi="Arial" w:eastAsia="Arial" w:cs="Arial"/>
          <w:b w:val="false"/>
          <w:b w:val="false"/>
          <w:bCs w:val="false"/>
          <w:color w:val="434343"/>
          <w:kern w:val="0"/>
          <w:sz w:val="28"/>
          <w:szCs w:val="28"/>
          <w:lang w:val="en-US" w:eastAsia="en-US" w:bidi="ar-SA"/>
        </w:rPr>
      </w:pPr>
      <w:r>
        <w:rPr>
          <w:rFonts w:eastAsia="Arial" w:cs="Arial"/>
          <w:b w:val="false"/>
          <w:bCs w:val="false"/>
          <w:color w:val="434343"/>
          <w:kern w:val="0"/>
          <w:sz w:val="28"/>
          <w:szCs w:val="28"/>
          <w:lang w:val="en-US" w:eastAsia="en-US" w:bidi="ar-SA"/>
        </w:rPr>
        <w:t>Early Synchronization and LTM decision</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pPr>
      <w:r>
        <w:rPr>
          <w:rFonts w:cs="Times New Roman" w:ascii="Times New Roman" w:hAnsi="Times New Roman"/>
          <w:color w:val="000000" w:themeColor="text1"/>
          <w:szCs w:val="20"/>
        </w:rPr>
        <w:t xml:space="preserve">If early synchronization is required, UE should be able to perform it without involving source gNB (including PDCCH order in some cases) as much as possible. For this, all the related information required for early RACH and specific triggers and timer configurations need to be provided in prior, by the source gNB. Since LTM cell switch is not expected from source, TA information must come in this phase itself. It could be from source, directly from candidates/target cell. This must be facilitated. </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Observation 3:  Source may not send PDCCH order to trigger the early synchronisation</w:t>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Proposal 3: Methods to perform early synchronization without source gNB’s involvement is to be studied</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Observation 4:  UE to receive TA information before the LTM decision is made</w:t>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Proposal 4: Support transfer of TA for each candidate cell either through source and/or through candidate/target</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Observation 5: Source may not be sending Candidate Cell TCI state activation/deactivation MAC CE</w:t>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Proposal 5: Mechanism to activate/deactivate TCI states is to be studied</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 xml:space="preserve">Observation 6: UE will not receive LTM Cell Switch Command </w:t>
      </w:r>
    </w:p>
    <w:p>
      <w:pPr>
        <w:pStyle w:val="Normal"/>
        <w:pBdr>
          <w:bottom w:val="single" w:sz="4" w:space="1" w:color="000000"/>
        </w:pBdr>
        <w:spacing w:lineRule="auto" w:line="240"/>
        <w:rPr>
          <w:b/>
          <w:b/>
          <w:bCs/>
        </w:rPr>
      </w:pPr>
      <w:r>
        <w:rPr>
          <w:rFonts w:cs="Times New Roman" w:ascii="Times New Roman" w:hAnsi="Times New Roman"/>
          <w:b/>
          <w:bCs/>
          <w:color w:val="000000" w:themeColor="text1"/>
          <w:szCs w:val="20"/>
        </w:rPr>
        <w:t>Proposal 6: Decision to be  made at the UE regarding the target cell, and acquiring all the information that were previously coming in LTM cell switch command.</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r>
        <w:br w:type="page"/>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Arial" w:hAnsi="Arial" w:cs="Arial"/>
          <w:color w:val="434343"/>
          <w:szCs w:val="28"/>
        </w:rPr>
      </w:pPr>
      <w:r>
        <w:rPr>
          <w:rFonts w:eastAsia="Arial" w:cs="Arial"/>
          <w:b w:val="false"/>
          <w:bCs w:val="false"/>
          <w:color w:val="434343"/>
          <w:kern w:val="0"/>
          <w:sz w:val="28"/>
          <w:szCs w:val="28"/>
          <w:lang w:val="en-US" w:eastAsia="en-US" w:bidi="ar-SA"/>
        </w:rPr>
        <w:t>Target Preparation and HO execution</w:t>
      </w:r>
    </w:p>
    <w:p>
      <w:pPr>
        <w:pStyle w:val="Normal"/>
        <w:pBdr>
          <w:bottom w:val="single" w:sz="4" w:space="1" w:color="000000"/>
        </w:pBdr>
        <w:spacing w:lineRule="auto" w:line="240"/>
        <w:rPr>
          <w:rFonts w:ascii="Arial" w:hAnsi="Arial" w:cs="Arial"/>
          <w:color w:val="434343"/>
          <w:szCs w:val="28"/>
        </w:rPr>
      </w:pPr>
      <w:r>
        <w:rPr>
          <w:rFonts w:cs="Times New Roman" w:ascii="Times New Roman" w:hAnsi="Times New Roman"/>
          <w:color w:val="000000" w:themeColor="text1"/>
          <w:szCs w:val="20"/>
        </w:rPr>
        <w:t>In this phase since source gNB is not involved in the decision, target must be informed of the arrival of the UE. In case of RACH-based, preamble transmission would serve as an indication. In RACH-less LTM, target could be notified of UE’s arrival by sending specific small sized indication (FFS existing or new) with required flags (if required), towards target. Target could, upon receiving the indication, process to send any further required information to the UE.</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t>Observation 7: Source is not involved in the HO execution process</w:t>
      </w:r>
    </w:p>
    <w:p>
      <w:pPr>
        <w:pStyle w:val="Normal"/>
        <w:pBdr>
          <w:bottom w:val="single" w:sz="4" w:space="1" w:color="000000"/>
        </w:pBdr>
        <w:spacing w:lineRule="auto" w:line="24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r>
    </w:p>
    <w:p>
      <w:pPr>
        <w:pStyle w:val="Normal"/>
        <w:pBdr>
          <w:bottom w:val="single" w:sz="4" w:space="1" w:color="000000"/>
        </w:pBdr>
        <w:spacing w:lineRule="auto" w:line="24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t>Proposal 7: Target gNB to be indicated about the arrival of the UE so that it can further send the necessary information to the UE</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Arial" w:hAnsi="Arial" w:eastAsia="Arial" w:cs="Arial"/>
          <w:b w:val="false"/>
          <w:b w:val="false"/>
          <w:bCs w:val="false"/>
          <w:color w:val="434343"/>
          <w:kern w:val="0"/>
          <w:sz w:val="28"/>
          <w:szCs w:val="28"/>
          <w:lang w:val="en-US" w:eastAsia="en-US" w:bidi="ar-SA"/>
        </w:rPr>
      </w:pPr>
      <w:r>
        <w:rPr>
          <w:rFonts w:eastAsia="Arial" w:cs="Arial"/>
          <w:b w:val="false"/>
          <w:bCs w:val="false"/>
          <w:color w:val="434343"/>
          <w:kern w:val="0"/>
          <w:sz w:val="28"/>
          <w:szCs w:val="28"/>
          <w:lang w:val="en-US" w:eastAsia="en-US" w:bidi="ar-SA"/>
        </w:rPr>
        <w:t>HO completion</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t>This phase can be reused as such from Rel-18 LTM because notification to the source, as well as the source notifying other candidates about the successful completion shall remain unchanged in CLTM.</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Arial" w:hAnsi="Arial" w:eastAsia="Arial" w:cs="Arial"/>
          <w:b w:val="false"/>
          <w:b w:val="false"/>
          <w:bCs w:val="false"/>
          <w:color w:val="434343"/>
          <w:kern w:val="0"/>
          <w:sz w:val="28"/>
          <w:szCs w:val="28"/>
          <w:lang w:val="en-US" w:eastAsia="en-US" w:bidi="ar-SA"/>
        </w:rPr>
      </w:pPr>
      <w:r>
        <w:rPr>
          <w:rFonts w:eastAsia="Arial" w:cs="Arial"/>
          <w:b w:val="false"/>
          <w:bCs w:val="false"/>
          <w:color w:val="434343"/>
          <w:kern w:val="0"/>
          <w:sz w:val="28"/>
          <w:szCs w:val="28"/>
          <w:lang w:val="en-US" w:eastAsia="en-US" w:bidi="ar-SA"/>
        </w:rPr>
        <w:t>Subsequent CLTM</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t>To support CLTM or Subsequent CLTM, each candidate might choose different conditions to be configured. Example, a CLTM session can be followed by a S-LTM; but a S-LTM might not have sufficient information to carry out a C-LTM. This is because an indication from network typically overrides any conditional decisions taken at the UE. This must be facilitated in the specification.</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t>Observation 8: Subsequent CLTM (SCLTM) is to be supported considering the nature of LTM</w:t>
      </w:r>
    </w:p>
    <w:p>
      <w:pPr>
        <w:pStyle w:val="Normal"/>
        <w:pBdr>
          <w:bottom w:val="single" w:sz="4" w:space="1" w:color="000000"/>
        </w:pBdr>
        <w:spacing w:lineRule="auto" w:line="24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t>Proposal  8: Validity of preambles, resources, TA etc are to be studied to ensure supporting SCLTM</w:t>
      </w:r>
    </w:p>
    <w:p>
      <w:pPr>
        <w:pStyle w:val="Normal"/>
        <w:pBdr>
          <w:bottom w:val="single" w:sz="4" w:space="1" w:color="000000"/>
        </w:pBdr>
        <w:spacing w:lineRule="auto" w:line="24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t>Proposal 9: Inter-operability of LTM, SLTM, CLTM and SCLTM to be studied</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Heading2"/>
        <w:rPr>
          <w:rFonts w:ascii="Times New Roman" w:hAnsi="Times New Roman" w:cs="Times New Roman"/>
          <w:color w:val="000000" w:themeColor="text1"/>
          <w:szCs w:val="20"/>
        </w:rPr>
      </w:pPr>
      <w:r>
        <w:rPr/>
        <w:t>Conclusion</w:t>
      </w:r>
    </w:p>
    <w:p>
      <w:pPr>
        <w:pStyle w:val="Normal"/>
        <w:pBdr>
          <w:bottom w:val="single" w:sz="4" w:space="1" w:color="000000"/>
        </w:pBdr>
        <w:spacing w:lineRule="auto" w:line="240"/>
        <w:rPr>
          <w:rFonts w:ascii="Times New Roman" w:hAnsi="Times New Roman" w:cs="Times New Roman"/>
          <w:color w:val="000000" w:themeColor="text1"/>
          <w:szCs w:val="20"/>
        </w:rPr>
      </w:pPr>
      <w:r>
        <w:rPr>
          <w:rFonts w:cs="Times New Roman" w:ascii="Times New Roman" w:hAnsi="Times New Roman"/>
          <w:color w:val="000000" w:themeColor="text1"/>
          <w:szCs w:val="20"/>
        </w:rPr>
        <w:t>Given below is the summary of our observations, and corresponding proposals:</w:t>
      </w:r>
    </w:p>
    <w:p>
      <w:pPr>
        <w:pStyle w:val="Normal"/>
        <w:numPr>
          <w:ilvl w:val="0"/>
          <w:numId w:val="0"/>
        </w:numPr>
        <w:pBdr>
          <w:bottom w:val="single" w:sz="4" w:space="1" w:color="000000"/>
        </w:pBdr>
        <w:spacing w:lineRule="auto" w:line="240"/>
        <w:ind w:start="1490" w:hanging="0"/>
        <w:rPr/>
      </w:pPr>
      <w:r>
        <w:rPr>
          <w:rFonts w:cs="Times New Roman" w:ascii="Times New Roman" w:hAnsi="Times New Roman"/>
          <w:b/>
          <w:bCs/>
          <w:color w:val="000000" w:themeColor="text1"/>
          <w:szCs w:val="20"/>
        </w:rPr>
        <w:t>Proposal 1: Rel-18 LTM to be the baseline for Rel-19 CLTM</w:t>
      </w:r>
    </w:p>
    <w:p>
      <w:pPr>
        <w:pStyle w:val="Normal"/>
        <w:numPr>
          <w:ilvl w:val="0"/>
          <w:numId w:val="0"/>
        </w:numPr>
        <w:pBdr>
          <w:bottom w:val="single" w:sz="4" w:space="1" w:color="000000"/>
        </w:pBdr>
        <w:spacing w:lineRule="auto" w:line="240"/>
        <w:ind w:start="1490" w:hanging="0"/>
        <w:rPr>
          <w:b/>
          <w:b/>
          <w:bCs/>
        </w:rPr>
      </w:pPr>
      <w:r>
        <w:rPr>
          <w:rFonts w:cs="Times New Roman" w:ascii="Times New Roman" w:hAnsi="Times New Roman"/>
          <w:b/>
          <w:bCs/>
          <w:color w:val="000000" w:themeColor="text1"/>
          <w:szCs w:val="20"/>
        </w:rPr>
        <w:t xml:space="preserve">Proposal 2: Source gNB to configure the conditions to do a CLTM in RRC Reconfiguration. Details to be studied. </w:t>
      </w:r>
    </w:p>
    <w:p>
      <w:pPr>
        <w:pStyle w:val="Normal"/>
        <w:numPr>
          <w:ilvl w:val="0"/>
          <w:numId w:val="0"/>
        </w:numPr>
        <w:pBdr>
          <w:bottom w:val="single" w:sz="4" w:space="1" w:color="000000"/>
        </w:pBdr>
        <w:spacing w:lineRule="auto" w:line="240"/>
        <w:ind w:start="1490" w:hanging="0"/>
        <w:rPr>
          <w:b/>
          <w:b/>
          <w:bCs/>
        </w:rPr>
      </w:pPr>
      <w:r>
        <w:rPr>
          <w:rFonts w:cs="Times New Roman" w:ascii="Times New Roman" w:hAnsi="Times New Roman"/>
          <w:b/>
          <w:bCs/>
          <w:color w:val="000000" w:themeColor="text1"/>
          <w:szCs w:val="20"/>
        </w:rPr>
        <w:t>Proposal 3: Methods to perform early synchronization without source gNB’s involvement is to be studied</w:t>
      </w:r>
    </w:p>
    <w:p>
      <w:pPr>
        <w:pStyle w:val="Normal"/>
        <w:numPr>
          <w:ilvl w:val="0"/>
          <w:numId w:val="0"/>
        </w:numPr>
        <w:pBdr>
          <w:bottom w:val="single" w:sz="4" w:space="1" w:color="000000"/>
        </w:pBdr>
        <w:spacing w:lineRule="auto" w:line="240"/>
        <w:ind w:start="1490" w:hanging="0"/>
        <w:rPr>
          <w:b/>
          <w:b/>
          <w:bCs/>
        </w:rPr>
      </w:pPr>
      <w:r>
        <w:rPr>
          <w:rFonts w:cs="Times New Roman" w:ascii="Times New Roman" w:hAnsi="Times New Roman"/>
          <w:b/>
          <w:bCs/>
          <w:color w:val="000000" w:themeColor="text1"/>
          <w:szCs w:val="20"/>
        </w:rPr>
        <w:t>Proposal 4: Support transfer of TA for each candidate cell either through source and/or through candidate/target</w:t>
      </w:r>
    </w:p>
    <w:p>
      <w:pPr>
        <w:pStyle w:val="Normal"/>
        <w:numPr>
          <w:ilvl w:val="0"/>
          <w:numId w:val="0"/>
        </w:numPr>
        <w:pBdr>
          <w:bottom w:val="single" w:sz="4" w:space="1" w:color="000000"/>
        </w:pBdr>
        <w:spacing w:lineRule="auto" w:line="240"/>
        <w:ind w:start="1490" w:hanging="0"/>
        <w:rPr>
          <w:b/>
          <w:b/>
          <w:bCs/>
        </w:rPr>
      </w:pPr>
      <w:r>
        <w:rPr>
          <w:rFonts w:cs="Times New Roman" w:ascii="Times New Roman" w:hAnsi="Times New Roman"/>
          <w:b/>
          <w:bCs/>
          <w:color w:val="000000" w:themeColor="text1"/>
          <w:szCs w:val="20"/>
        </w:rPr>
        <w:t>Proposal 5: Mechanism to activate/deactivate TCI states is to be studied</w:t>
      </w:r>
    </w:p>
    <w:p>
      <w:pPr>
        <w:pStyle w:val="Normal"/>
        <w:numPr>
          <w:ilvl w:val="0"/>
          <w:numId w:val="0"/>
        </w:numPr>
        <w:pBdr>
          <w:bottom w:val="single" w:sz="4" w:space="1" w:color="000000"/>
        </w:pBdr>
        <w:spacing w:lineRule="auto" w:line="240"/>
        <w:ind w:start="1490" w:hanging="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t xml:space="preserve">Proposal 6: Decision to be  made at the UE regarding the target cell, and acquiring all the information that were previously coming in LTM cell switch command. </w:t>
      </w:r>
    </w:p>
    <w:p>
      <w:pPr>
        <w:pStyle w:val="Normal"/>
        <w:numPr>
          <w:ilvl w:val="0"/>
          <w:numId w:val="0"/>
        </w:numPr>
        <w:pBdr>
          <w:bottom w:val="single" w:sz="4" w:space="1" w:color="000000"/>
        </w:pBdr>
        <w:spacing w:lineRule="auto" w:line="240"/>
        <w:ind w:start="1490" w:hanging="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t>Proposal 7: Target gNB to be indicated about the arrival of the UE so that it can further send the necessary information to the UE</w:t>
      </w:r>
    </w:p>
    <w:p>
      <w:pPr>
        <w:pStyle w:val="Normal"/>
        <w:numPr>
          <w:ilvl w:val="0"/>
          <w:numId w:val="0"/>
        </w:numPr>
        <w:pBdr>
          <w:bottom w:val="single" w:sz="4" w:space="1" w:color="000000"/>
        </w:pBdr>
        <w:spacing w:lineRule="auto" w:line="240"/>
        <w:ind w:start="1490" w:hanging="0"/>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rPr>
        <w:t>Proposal  8: Validity of preambles, resources, TA etc are to be studied to ensure supporting SCLTM</w:t>
      </w:r>
    </w:p>
    <w:p>
      <w:pPr>
        <w:pStyle w:val="Normal"/>
        <w:numPr>
          <w:ilvl w:val="0"/>
          <w:numId w:val="0"/>
        </w:numPr>
        <w:pBdr>
          <w:bottom w:val="single" w:sz="4" w:space="1" w:color="000000"/>
        </w:pBdr>
        <w:spacing w:lineRule="auto" w:line="240"/>
        <w:ind w:start="1490" w:hanging="0"/>
        <w:jc w:val="both"/>
        <w:rPr>
          <w:rFonts w:ascii="Times New Roman" w:hAnsi="Times New Roman" w:cs="Times New Roman"/>
          <w:b/>
          <w:b/>
          <w:bCs/>
          <w:color w:val="000000" w:themeColor="text1"/>
          <w:szCs w:val="20"/>
        </w:rPr>
      </w:pPr>
      <w:r>
        <w:rPr>
          <w:rFonts w:cs="Times New Roman" w:ascii="Times New Roman" w:hAnsi="Times New Roman"/>
          <w:b/>
          <w:bCs/>
          <w:color w:val="000000" w:themeColor="text1"/>
          <w:szCs w:val="20"/>
          <w:lang w:val="en-US" w:eastAsia="en-GB"/>
        </w:rPr>
        <w:t>Proposal 9: Inter-operability of LTM, SLTM, CLTM and SCLTM to be studied</w:t>
      </w:r>
    </w:p>
    <w:p>
      <w:pPr>
        <w:pStyle w:val="Heading1"/>
        <w:rPr/>
      </w:pPr>
      <w:r>
        <w:rPr/>
        <w:t>References</w:t>
      </w:r>
    </w:p>
    <w:p>
      <w:pPr>
        <w:pStyle w:val="Normal"/>
        <w:rPr/>
      </w:pPr>
      <w:r>
        <w:rPr/>
        <w:t>[1] Revised Work Item: NR mobility enhancements Phase 4. RP-241915</w:t>
      </w:r>
    </w:p>
    <w:p>
      <w:pPr>
        <w:pStyle w:val="Normal"/>
        <w:rPr/>
      </w:pPr>
      <w:r>
        <w:rPr/>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w:charset w:val="01" w:characterSet="utf-8"/>
    <w:family w:val="roman"/>
    <w:pitch w:val="variable"/>
  </w:font>
  <w:font w:name="Liberation Sans">
    <w:altName w:val="Arial"/>
    <w:charset w:val="01" w:characterSet="utf-8"/>
    <w:family w:val="roman"/>
    <w:pitch w:val="variable"/>
  </w:font>
  <w:font w:name="Times New Roman">
    <w:charset w:val="01" w:characterSet="utf-8"/>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decimal"/>
      <w:lvlText w:val="%1"/>
      <w:lvlJc w:val="start"/>
      <w:pPr>
        <w:tabs>
          <w:tab w:val="num" w:pos="0"/>
        </w:tabs>
        <w:ind w:start="1490" w:hanging="113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5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next w:val="Normal"/>
    <w:uiPriority w:val="9"/>
    <w:qFormat/>
    <w:pPr>
      <w:keepNext w:val="true"/>
      <w:keepLines/>
      <w:widowControl/>
      <w:pBdr>
        <w:top w:val="single" w:sz="12" w:space="3" w:color="000000"/>
      </w:pBdr>
      <w:suppressAutoHyphens w:val="true"/>
      <w:bidi w:val="0"/>
      <w:spacing w:before="240" w:after="180"/>
      <w:ind w:start="1134" w:hanging="1134"/>
      <w:jc w:val="star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uiPriority w:val="9"/>
    <w:unhideWhenUsed/>
    <w:qFormat/>
    <w:pPr>
      <w:pBdr>
        <w:top w:val="nil"/>
      </w:pBdr>
      <w:spacing w:before="180" w:after="180"/>
      <w:outlineLvl w:val="1"/>
    </w:pPr>
    <w:rPr>
      <w:sz w:val="32"/>
    </w:rPr>
  </w:style>
  <w:style w:type="paragraph" w:styleId="Heading3">
    <w:name w:val="Heading 3"/>
    <w:basedOn w:val="Heading"/>
    <w:next w:val="TextBody"/>
    <w:uiPriority w:val="9"/>
    <w:semiHidden/>
    <w:unhideWhenUsed/>
    <w:qFormat/>
    <w:pPr>
      <w:numPr>
        <w:ilvl w:val="2"/>
        <w:numId w:val="1"/>
      </w:numPr>
      <w:spacing w:before="140" w:after="120"/>
      <w:outlineLvl w:val="2"/>
    </w:pPr>
    <w:rPr>
      <w:b/>
      <w:bCs/>
    </w:rPr>
  </w:style>
  <w:style w:type="character" w:styleId="DefaultParagraphFont" w:default="1">
    <w:name w:val="Default Paragraph Font"/>
    <w:uiPriority w:val="1"/>
    <w:semiHidden/>
    <w:unhideWhenUsed/>
    <w:qFormat/>
    <w:rPr/>
  </w:style>
  <w:style w:type="character" w:styleId="Quotation" w:customStyle="1">
    <w:name w:val="Quotation"/>
    <w:qFormat/>
    <w:rPr>
      <w:i/>
      <w:iCs/>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HeaderandFooter" w:customStyle="1">
    <w:name w:val="Header and Footer"/>
    <w:basedOn w:val="Normal"/>
    <w:qFormat/>
    <w:pPr>
      <w:suppressLineNumbers/>
      <w:tabs>
        <w:tab w:val="clear" w:pos="709"/>
        <w:tab w:val="center" w:pos="4819" w:leader="none"/>
        <w:tab w:val="right" w:pos="9638" w:leader="none"/>
      </w:tabs>
    </w:pPr>
    <w:rPr/>
  </w:style>
  <w:style w:type="paragraph" w:styleId="Header">
    <w:name w:val="Header"/>
    <w:pPr>
      <w:widowControl w:val="false"/>
      <w:suppressAutoHyphens w:val="true"/>
      <w:overflowPunct w:val="false"/>
      <w:bidi w:val="0"/>
      <w:spacing w:before="0" w:after="0"/>
      <w:jc w:val="start"/>
      <w:textAlignment w:val="baseline"/>
    </w:pPr>
    <w:rPr>
      <w:rFonts w:ascii="Arial" w:hAnsi="Arial" w:eastAsia="Times New Roman" w:cs="Times New Roman"/>
      <w:b/>
      <w:color w:val="auto"/>
      <w:kern w:val="0"/>
      <w:sz w:val="18"/>
      <w:szCs w:val="20"/>
      <w:lang w:val="en-GB" w:eastAsia="ja-JP" w:bidi="ar-SA"/>
    </w:rPr>
  </w:style>
  <w:style w:type="paragraph" w:styleId="CRCoverPage" w:customStyle="1">
    <w:name w:val="CR Cover Page"/>
    <w:qFormat/>
    <w:pPr>
      <w:widowControl/>
      <w:suppressAutoHyphens w:val="true"/>
      <w:bidi w:val="0"/>
      <w:spacing w:before="0" w:after="120"/>
      <w:jc w:val="start"/>
    </w:pPr>
    <w:rPr>
      <w:rFonts w:ascii="Arial" w:hAnsi="Arial" w:eastAsia="MS Mincho" w:cs="Times New Roman"/>
      <w:color w:val="auto"/>
      <w:kern w:val="0"/>
      <w:sz w:val="20"/>
      <w:szCs w:val="20"/>
      <w:lang w:val="en-GB" w:eastAsia="en-US" w:bidi="ar-SA"/>
    </w:rPr>
  </w:style>
  <w:style w:type="paragraph" w:styleId="Doctext2" w:customStyle="1">
    <w:name w:val="Doc-text2"/>
    <w:basedOn w:val="Normal"/>
    <w:qFormat/>
    <w:pPr>
      <w:tabs>
        <w:tab w:val="clear" w:pos="709"/>
        <w:tab w:val="left" w:pos="3244" w:leader="none"/>
      </w:tabs>
      <w:ind w:start="1622" w:hanging="363"/>
    </w:pPr>
    <w:rPr/>
  </w:style>
  <w:style w:type="paragraph" w:styleId="Quotations" w:customStyle="1">
    <w:name w:val="Quotations"/>
    <w:basedOn w:val="Normal"/>
    <w:qFormat/>
    <w:pPr>
      <w:spacing w:before="0" w:after="283"/>
      <w:ind w:start="567" w:end="567" w:hanging="0"/>
    </w:pPr>
    <w:rPr/>
  </w:style>
  <w:style w:type="paragraph" w:styleId="TableContents" w:customStyle="1">
    <w:name w:val="Table Contents"/>
    <w:basedOn w:val="Normal"/>
    <w:qFormat/>
    <w:pPr>
      <w:widowControl w:val="false"/>
      <w:suppressLineNumbers/>
    </w:pPr>
    <w:rPr/>
  </w:style>
  <w:style w:type="paragraph" w:styleId="ListParagraph">
    <w:name w:val="List Paragraph"/>
    <w:basedOn w:val="Normal"/>
    <w:qFormat/>
    <w:pPr>
      <w:spacing w:before="0" w:after="0"/>
      <w:ind w:star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1672</TotalTime>
  <Application>LibreOffice/7.3.7.2$Linux_X86_64 LibreOffice_project/30$Build-2</Application>
  <AppVersion>15.0000</AppVersion>
  <Pages>6</Pages>
  <Words>1016</Words>
  <Characters>5267</Characters>
  <CharactersWithSpaces>6237</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2024-10-04T13:54:45Z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