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5ED0B" w14:textId="65FCC49A" w:rsidR="00E91B34" w:rsidRPr="00750F98" w:rsidRDefault="00E91B34" w:rsidP="00E91B34">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E92643" w:rsidRPr="00E92643">
        <w:rPr>
          <w:rFonts w:eastAsia="Times New Roman" w:cs="Arial"/>
          <w:bCs/>
          <w:noProof w:val="0"/>
          <w:sz w:val="24"/>
          <w:szCs w:val="28"/>
          <w:lang w:val="en-US" w:eastAsia="x-none"/>
        </w:rPr>
        <w:t>R2-2408873</w:t>
      </w:r>
      <w:r w:rsidR="00E92643" w:rsidRPr="00E92643">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2DD94C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8408F0" w:rsidRPr="008408F0">
        <w:rPr>
          <w:rFonts w:ascii="Arial" w:hAnsi="Arial" w:cs="Arial"/>
          <w:szCs w:val="24"/>
        </w:rPr>
        <w:t>10</w:t>
      </w:r>
      <w:r w:rsidR="00B77B09" w:rsidRPr="008408F0">
        <w:rPr>
          <w:rFonts w:ascii="Arial" w:hAnsi="Arial" w:cs="Arial"/>
          <w:szCs w:val="24"/>
        </w:rPr>
        <w:t>.2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4133B7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7512">
        <w:rPr>
          <w:b/>
          <w:sz w:val="24"/>
          <w:lang w:val="en-GB"/>
        </w:rPr>
        <w:t xml:space="preserve">Configuring UE based </w:t>
      </w:r>
      <w:r w:rsidR="004F7512">
        <w:rPr>
          <w:b/>
          <w:sz w:val="24"/>
        </w:rPr>
        <w:t xml:space="preserve">TA </w:t>
      </w:r>
      <w:r w:rsidR="00285BE6">
        <w:rPr>
          <w:b/>
          <w:sz w:val="24"/>
        </w:rPr>
        <w:t>acquisition</w:t>
      </w:r>
      <w:r w:rsidR="008024B4" w:rsidRPr="008024B4">
        <w:rPr>
          <w:b/>
          <w:sz w:val="24"/>
        </w:rPr>
        <w:t xml:space="preserve"> for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745B261C" w:rsidR="00B77B09" w:rsidRDefault="008408F0" w:rsidP="00B77B09">
      <w:pPr>
        <w:pStyle w:val="BodyText"/>
        <w:rPr>
          <w:lang w:val="en-US"/>
        </w:rPr>
      </w:pPr>
      <w:r>
        <w:rPr>
          <w:lang w:val="en-US"/>
        </w:rPr>
        <w:t>The Rel 19 WI description for “</w:t>
      </w:r>
      <w:r>
        <w:rPr>
          <w:rFonts w:cs="Arial" w:hint="eastAsia"/>
          <w:b/>
        </w:rPr>
        <w:t>Data collection for SON/MDT in NR standalone and MR-DC Phase 4</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4B8E2104" w14:textId="77777777" w:rsidR="008408F0" w:rsidRDefault="008408F0" w:rsidP="008408F0">
            <w:pPr>
              <w:spacing w:before="120" w:line="280" w:lineRule="atLeast"/>
              <w:ind w:left="81"/>
              <w:rPr>
                <w:rFonts w:ascii="Times New Roman" w:eastAsia="SimSun" w:hAnsi="Times New Roman"/>
              </w:rPr>
            </w:pPr>
            <w:bookmarkStart w:id="5" w:name="OLE_LINK31"/>
            <w:r>
              <w:rPr>
                <w:rFonts w:ascii="Times New Roman" w:eastAsia="SimSun" w:hAnsi="Times New Roman"/>
              </w:rPr>
              <w:t>- MRO enhancement for R18 mobility mechanisms, including</w:t>
            </w:r>
            <w:r>
              <w:rPr>
                <w:rFonts w:ascii="Times New Roman" w:hAnsi="Times New Roman" w:hint="eastAsia"/>
              </w:rPr>
              <w:t xml:space="preserve">, </w:t>
            </w:r>
            <w:r>
              <w:rPr>
                <w:rFonts w:ascii="Times New Roman" w:eastAsia="SimSun" w:hAnsi="Times New Roman"/>
              </w:rPr>
              <w:t>Lower layer triggered mobility (LTM), CHO with candidate SCGs, subsequent CPAC [RAN3, RAN2]:</w:t>
            </w:r>
          </w:p>
          <w:p w14:paraId="36EDA824" w14:textId="77777777" w:rsidR="008408F0" w:rsidRDefault="008408F0" w:rsidP="008408F0">
            <w:pPr>
              <w:pStyle w:val="ListParagraph"/>
              <w:numPr>
                <w:ilvl w:val="0"/>
                <w:numId w:val="27"/>
              </w:numPr>
              <w:overflowPunct/>
              <w:autoSpaceDE/>
              <w:autoSpaceDN/>
              <w:adjustRightInd/>
              <w:spacing w:before="120" w:after="0" w:line="280" w:lineRule="atLeast"/>
              <w:ind w:left="859"/>
              <w:textAlignment w:val="auto"/>
            </w:pPr>
            <w:r>
              <w:t>Specification of the inter-node information exchange, including possible enhancements to interfaces [RAN3]</w:t>
            </w:r>
          </w:p>
          <w:p w14:paraId="03379B38" w14:textId="4CA02664" w:rsidR="008408F0" w:rsidRPr="008408F0" w:rsidRDefault="008408F0" w:rsidP="008408F0">
            <w:pPr>
              <w:pStyle w:val="ListParagraph"/>
              <w:numPr>
                <w:ilvl w:val="0"/>
                <w:numId w:val="27"/>
              </w:numPr>
              <w:overflowPunct/>
              <w:autoSpaceDE/>
              <w:autoSpaceDN/>
              <w:adjustRightInd/>
              <w:spacing w:before="120" w:after="0" w:line="280" w:lineRule="atLeast"/>
              <w:ind w:left="859"/>
              <w:textAlignment w:val="auto"/>
            </w:pPr>
            <w:r w:rsidRPr="008408F0">
              <w:rPr>
                <w:rFonts w:hint="eastAsia"/>
                <w:highlight w:val="yellow"/>
              </w:rPr>
              <w:t>Identify and specify necessary UE reporting to enhance the mobility parameter tuning</w:t>
            </w:r>
            <w:r w:rsidRPr="008408F0">
              <w:rPr>
                <w:highlight w:val="yellow"/>
              </w:rPr>
              <w:t> [RAN2]</w:t>
            </w:r>
            <w:r w:rsidRPr="008408F0">
              <w:br/>
            </w:r>
          </w:p>
        </w:tc>
      </w:tr>
      <w:bookmarkEnd w:id="5"/>
    </w:tbl>
    <w:p w14:paraId="3BB49F52" w14:textId="77777777" w:rsidR="008408F0" w:rsidRDefault="008408F0" w:rsidP="00B77B09">
      <w:pPr>
        <w:pStyle w:val="BodyText"/>
        <w:rPr>
          <w:lang w:val="en-US"/>
        </w:rPr>
      </w:pPr>
    </w:p>
    <w:p w14:paraId="07EEF436" w14:textId="7EED0D6A" w:rsidR="008408F0" w:rsidRDefault="008408F0" w:rsidP="00B77B09">
      <w:pPr>
        <w:pStyle w:val="BodyText"/>
        <w:rPr>
          <w:lang w:val="en-US"/>
        </w:rPr>
      </w:pPr>
      <w:r>
        <w:rPr>
          <w:lang w:val="en-US"/>
        </w:rPr>
        <w:t xml:space="preserve">The above highlighted objective includes </w:t>
      </w:r>
      <w:r w:rsidRPr="008408F0">
        <w:rPr>
          <w:lang w:val="en-US"/>
        </w:rPr>
        <w:t>enhancements related to the information of RACH-less access from UE</w:t>
      </w:r>
      <w:r w:rsidR="002752EC">
        <w:rPr>
          <w:lang w:val="en-US"/>
        </w:rPr>
        <w:t>,</w:t>
      </w:r>
      <w:r w:rsidRPr="008408F0">
        <w:rPr>
          <w:lang w:val="en-US"/>
        </w:rPr>
        <w:t xml:space="preserve"> related to MRO for LTM</w:t>
      </w:r>
      <w:r>
        <w:rPr>
          <w:lang w:val="en-US"/>
        </w:rPr>
        <w:t>.</w:t>
      </w:r>
    </w:p>
    <w:p w14:paraId="460A8835" w14:textId="1DAC8FC6" w:rsidR="00B77B09" w:rsidRPr="003B1AE6" w:rsidRDefault="00B77B09" w:rsidP="00B77B09">
      <w:pPr>
        <w:pStyle w:val="BodyText"/>
        <w:rPr>
          <w:lang w:val="en-US"/>
        </w:rPr>
      </w:pPr>
      <w:r w:rsidRPr="003B1AE6">
        <w:rPr>
          <w:lang w:val="en-US"/>
        </w:rPr>
        <w:t xml:space="preserve">In this contribution, we </w:t>
      </w:r>
      <w:r w:rsidR="00304301">
        <w:rPr>
          <w:lang w:val="en-US"/>
        </w:rPr>
        <w:t>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285BE6">
        <w:rPr>
          <w:lang w:val="en-US"/>
        </w:rPr>
        <w:t xml:space="preserve">associated with </w:t>
      </w:r>
      <w:r w:rsidR="00AB3E92">
        <w:rPr>
          <w:lang w:val="en-US"/>
        </w:rPr>
        <w:t>configuring UE</w:t>
      </w:r>
      <w:r w:rsidR="002752EC">
        <w:rPr>
          <w:lang w:val="en-US"/>
        </w:rPr>
        <w:t>-capability</w:t>
      </w:r>
      <w:r w:rsidR="00AB3E92">
        <w:rPr>
          <w:lang w:val="en-US"/>
        </w:rPr>
        <w:t xml:space="preserve"> based </w:t>
      </w:r>
      <w:r w:rsidR="00285BE6">
        <w:rPr>
          <w:lang w:val="en-US"/>
        </w:rPr>
        <w:t>Timing Advance (TA) acquisition during LTM</w:t>
      </w:r>
      <w:r w:rsidR="008408F0">
        <w:rPr>
          <w:lang w:val="en-US"/>
        </w:rPr>
        <w:t>, which is a very important aspect in ensuring a successful RACH-less LTM</w:t>
      </w:r>
      <w:r>
        <w:rPr>
          <w:lang w:val="en-US"/>
        </w:rPr>
        <w:t xml:space="preserve">. We also propose a way forward for </w:t>
      </w:r>
      <w:r w:rsidR="00AB3E92">
        <w:rPr>
          <w:lang w:val="en-US"/>
        </w:rPr>
        <w:t>this</w:t>
      </w:r>
      <w:r w:rsidR="008408F0">
        <w:rPr>
          <w:lang w:val="en-US"/>
        </w:rPr>
        <w:t xml:space="preserve"> issue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48094BAE" w:rsidR="00D0624F" w:rsidRDefault="00BC06D3" w:rsidP="00D0624F">
      <w:pPr>
        <w:pStyle w:val="Heading2"/>
        <w:rPr>
          <w:rFonts w:cs="Arial"/>
        </w:rPr>
      </w:pPr>
      <w:r>
        <w:rPr>
          <w:rFonts w:cs="Arial"/>
        </w:rPr>
        <w:t>Enabling UE-capability based TA acquisition</w:t>
      </w:r>
    </w:p>
    <w:p w14:paraId="771ED9FC" w14:textId="77777777" w:rsidR="000E27DD" w:rsidRDefault="000E27DD" w:rsidP="000E27DD">
      <w:pPr>
        <w:pStyle w:val="Doc-text2"/>
        <w:ind w:left="1253" w:firstLine="0"/>
      </w:pPr>
    </w:p>
    <w:p w14:paraId="79E285EA" w14:textId="1F60F54C" w:rsidR="00094F00" w:rsidRDefault="00456DAF" w:rsidP="00AF7041">
      <w:pPr>
        <w:rPr>
          <w:rFonts w:ascii="Arial" w:hAnsi="Arial" w:cs="Arial"/>
          <w:sz w:val="20"/>
          <w:szCs w:val="20"/>
          <w:lang w:val="en-IN"/>
        </w:rPr>
      </w:pPr>
      <w:r>
        <w:rPr>
          <w:rFonts w:ascii="Arial" w:hAnsi="Arial" w:cs="Arial"/>
          <w:sz w:val="20"/>
          <w:szCs w:val="20"/>
          <w:lang w:val="en-GB"/>
        </w:rPr>
        <w:t xml:space="preserve">In </w:t>
      </w:r>
      <w:proofErr w:type="spellStart"/>
      <w:r>
        <w:rPr>
          <w:rFonts w:ascii="Arial" w:hAnsi="Arial" w:cs="Arial"/>
          <w:sz w:val="20"/>
          <w:szCs w:val="20"/>
          <w:lang w:val="en-GB"/>
        </w:rPr>
        <w:t>Rel</w:t>
      </w:r>
      <w:proofErr w:type="spellEnd"/>
      <w:r>
        <w:rPr>
          <w:rFonts w:ascii="Arial" w:hAnsi="Arial" w:cs="Arial"/>
          <w:sz w:val="20"/>
          <w:szCs w:val="20"/>
          <w:lang w:val="en-GB"/>
        </w:rPr>
        <w:t xml:space="preserve"> 18 LTM, RAN2 has agreed two mechanisms for a UE to acquire TA from an LTM candidate cell. The first is by using a PDCCH ordered RACH performed by the UE with the candidate cell, where the candidate cell TA is forwarded to the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-DU via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The second mechanism is by configuring the UE with UE-based TA acquisition where the </w:t>
      </w:r>
      <w:r w:rsidRPr="00456DAF">
        <w:rPr>
          <w:rFonts w:ascii="Arial" w:hAnsi="Arial" w:cs="Arial"/>
          <w:sz w:val="20"/>
          <w:szCs w:val="20"/>
          <w:lang w:val="en-IN"/>
        </w:rPr>
        <w:t xml:space="preserve">UE derives </w:t>
      </w:r>
      <w:r>
        <w:rPr>
          <w:rFonts w:ascii="Arial" w:hAnsi="Arial" w:cs="Arial"/>
          <w:sz w:val="20"/>
          <w:szCs w:val="20"/>
          <w:lang w:val="en-IN"/>
        </w:rPr>
        <w:t xml:space="preserve">the candidate cell </w:t>
      </w:r>
      <w:r w:rsidRPr="00456DAF">
        <w:rPr>
          <w:rFonts w:ascii="Arial" w:hAnsi="Arial" w:cs="Arial"/>
          <w:sz w:val="20"/>
          <w:szCs w:val="20"/>
          <w:lang w:val="en-IN"/>
        </w:rPr>
        <w:t>TA based on Rx timing difference between current serving cell and candidate cell as well as TA value for the current serving cell</w:t>
      </w:r>
      <w:r>
        <w:rPr>
          <w:rFonts w:ascii="Arial" w:hAnsi="Arial" w:cs="Arial"/>
          <w:sz w:val="20"/>
          <w:szCs w:val="20"/>
          <w:lang w:val="en-IN"/>
        </w:rPr>
        <w:t>.</w:t>
      </w:r>
    </w:p>
    <w:p w14:paraId="3E4EA3F0" w14:textId="77777777" w:rsidR="00456DAF" w:rsidRDefault="00456DAF" w:rsidP="00AF7041">
      <w:pPr>
        <w:rPr>
          <w:rFonts w:ascii="Arial" w:hAnsi="Arial" w:cs="Arial"/>
          <w:sz w:val="20"/>
          <w:szCs w:val="20"/>
          <w:lang w:val="en-IN"/>
        </w:rPr>
      </w:pPr>
    </w:p>
    <w:p w14:paraId="003A73B2" w14:textId="41E68728" w:rsidR="00456DAF" w:rsidRPr="00456DAF" w:rsidRDefault="00456DAF" w:rsidP="00456DAF">
      <w:pPr>
        <w:rPr>
          <w:rFonts w:ascii="Arial" w:hAnsi="Arial" w:cs="Arial"/>
          <w:sz w:val="20"/>
          <w:szCs w:val="20"/>
          <w:lang w:val="en-IN"/>
        </w:rPr>
      </w:pPr>
      <w:r w:rsidRPr="00456DAF">
        <w:rPr>
          <w:rFonts w:ascii="Arial" w:hAnsi="Arial" w:cs="Arial"/>
          <w:sz w:val="20"/>
          <w:szCs w:val="20"/>
          <w:lang w:val="en-IN"/>
        </w:rPr>
        <w:t>Th</w:t>
      </w:r>
      <w:r>
        <w:rPr>
          <w:rFonts w:ascii="Arial" w:hAnsi="Arial" w:cs="Arial"/>
          <w:sz w:val="20"/>
          <w:szCs w:val="20"/>
          <w:lang w:val="en-IN"/>
        </w:rPr>
        <w:t>e UE-</w:t>
      </w:r>
      <w:r w:rsidR="00B56B7A">
        <w:rPr>
          <w:rFonts w:ascii="Arial" w:hAnsi="Arial" w:cs="Arial"/>
          <w:sz w:val="20"/>
          <w:szCs w:val="20"/>
          <w:lang w:val="en-IN"/>
        </w:rPr>
        <w:t xml:space="preserve">capability </w:t>
      </w:r>
      <w:r>
        <w:rPr>
          <w:rFonts w:ascii="Arial" w:hAnsi="Arial" w:cs="Arial"/>
          <w:sz w:val="20"/>
          <w:szCs w:val="20"/>
          <w:lang w:val="en-IN"/>
        </w:rPr>
        <w:t>based TA acquisition is</w:t>
      </w:r>
      <w:r w:rsidRPr="00456DAF">
        <w:rPr>
          <w:rFonts w:ascii="Arial" w:hAnsi="Arial" w:cs="Arial"/>
          <w:sz w:val="20"/>
          <w:szCs w:val="20"/>
          <w:lang w:val="en-IN"/>
        </w:rPr>
        <w:t xml:space="preserve"> an alternative way of acquiring the candidate cell TA, but this has the following characteristics</w:t>
      </w:r>
    </w:p>
    <w:p w14:paraId="5D7533A7" w14:textId="4D58084D"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is based on UE capability</w:t>
      </w:r>
      <w:r>
        <w:rPr>
          <w:rFonts w:ascii="Arial" w:hAnsi="Arial" w:cs="Arial"/>
          <w:sz w:val="20"/>
          <w:szCs w:val="20"/>
        </w:rPr>
        <w:t xml:space="preserve"> and</w:t>
      </w:r>
      <w:r w:rsidRPr="00456DAF">
        <w:rPr>
          <w:rFonts w:ascii="Arial" w:hAnsi="Arial" w:cs="Arial"/>
          <w:sz w:val="20"/>
          <w:szCs w:val="20"/>
        </w:rPr>
        <w:t xml:space="preserve"> </w:t>
      </w:r>
      <w:r w:rsidR="00B56B7A">
        <w:rPr>
          <w:rFonts w:ascii="Arial" w:hAnsi="Arial" w:cs="Arial"/>
          <w:sz w:val="20"/>
          <w:szCs w:val="20"/>
        </w:rPr>
        <w:t xml:space="preserve">the UE </w:t>
      </w:r>
      <w:r w:rsidRPr="00456DAF">
        <w:rPr>
          <w:rFonts w:ascii="Arial" w:hAnsi="Arial" w:cs="Arial"/>
          <w:sz w:val="20"/>
          <w:szCs w:val="20"/>
        </w:rPr>
        <w:t xml:space="preserve">is configured by the </w:t>
      </w:r>
      <w:proofErr w:type="spellStart"/>
      <w:r w:rsidRPr="00456DAF">
        <w:rPr>
          <w:rFonts w:ascii="Arial" w:hAnsi="Arial" w:cs="Arial"/>
          <w:sz w:val="20"/>
          <w:szCs w:val="20"/>
        </w:rPr>
        <w:t>gNB</w:t>
      </w:r>
      <w:proofErr w:type="spellEnd"/>
      <w:r w:rsidRPr="00456DAF">
        <w:rPr>
          <w:rFonts w:ascii="Arial" w:hAnsi="Arial" w:cs="Arial"/>
          <w:sz w:val="20"/>
          <w:szCs w:val="20"/>
        </w:rPr>
        <w:t xml:space="preserve">-CU using RRC signaling. </w:t>
      </w:r>
    </w:p>
    <w:p w14:paraId="744B8326"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The TA computation may not be accurate always and hence this method is not always reliable.</w:t>
      </w:r>
    </w:p>
    <w:p w14:paraId="0FF3318F"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doesn’t require UE to perform RACH towards candidate cell to acquire TA.</w:t>
      </w:r>
    </w:p>
    <w:p w14:paraId="2725E1AB" w14:textId="77777777" w:rsidR="00456DAF" w:rsidRPr="00456DAF" w:rsidRDefault="00456DAF" w:rsidP="00456DAF">
      <w:pPr>
        <w:rPr>
          <w:rFonts w:ascii="Arial" w:hAnsi="Arial" w:cs="Arial"/>
          <w:sz w:val="20"/>
          <w:szCs w:val="20"/>
          <w:lang w:val="en-IN"/>
        </w:rPr>
      </w:pPr>
    </w:p>
    <w:p w14:paraId="734F292C" w14:textId="0C4B82BE" w:rsidR="00456DAF" w:rsidRDefault="00456DAF" w:rsidP="00456DAF">
      <w:pPr>
        <w:rPr>
          <w:rFonts w:ascii="Arial" w:hAnsi="Arial" w:cs="Arial"/>
          <w:sz w:val="20"/>
          <w:szCs w:val="20"/>
          <w:lang w:val="en-IN"/>
        </w:rPr>
      </w:pPr>
      <w:r w:rsidRPr="00456DAF">
        <w:rPr>
          <w:rFonts w:ascii="Arial" w:hAnsi="Arial" w:cs="Arial"/>
          <w:sz w:val="20"/>
          <w:szCs w:val="20"/>
          <w:lang w:val="en-IN"/>
        </w:rPr>
        <w:t xml:space="preserve">Since the TA computation based on UE capability is not always accurate and unreliable,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needs to make an informed decision based on the accuracy of the TA computation.</w:t>
      </w:r>
      <w:r>
        <w:rPr>
          <w:rFonts w:ascii="Arial" w:hAnsi="Arial" w:cs="Arial"/>
          <w:sz w:val="20"/>
          <w:szCs w:val="20"/>
          <w:lang w:val="en-IN"/>
        </w:rPr>
        <w:t xml:space="preserve"> </w:t>
      </w:r>
      <w:r w:rsidRPr="00456DAF">
        <w:rPr>
          <w:rFonts w:ascii="Arial" w:hAnsi="Arial" w:cs="Arial"/>
          <w:sz w:val="20"/>
          <w:szCs w:val="20"/>
          <w:lang w:val="en-IN"/>
        </w:rPr>
        <w:t xml:space="preserve">UE-based TA measurement may not be reliable, but RACH based TA acquisition is always reliable. Hence,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should be </w:t>
      </w:r>
      <w:r>
        <w:rPr>
          <w:rFonts w:ascii="Arial" w:hAnsi="Arial" w:cs="Arial"/>
          <w:sz w:val="20"/>
          <w:szCs w:val="20"/>
          <w:lang w:val="en-IN"/>
        </w:rPr>
        <w:t>well equipped</w:t>
      </w:r>
      <w:r w:rsidRPr="00456DAF">
        <w:rPr>
          <w:rFonts w:ascii="Arial" w:hAnsi="Arial" w:cs="Arial"/>
          <w:sz w:val="20"/>
          <w:szCs w:val="20"/>
          <w:lang w:val="en-IN"/>
        </w:rPr>
        <w:t xml:space="preserve"> to determine when to enable UE-based TA measurement and when to disable it.</w:t>
      </w:r>
    </w:p>
    <w:p w14:paraId="7AB4C499" w14:textId="77777777" w:rsidR="00456DAF" w:rsidRDefault="00456DAF" w:rsidP="00456DAF">
      <w:pPr>
        <w:rPr>
          <w:rFonts w:ascii="Arial" w:hAnsi="Arial" w:cs="Arial"/>
          <w:sz w:val="20"/>
          <w:szCs w:val="20"/>
          <w:lang w:val="en-IN"/>
        </w:rPr>
      </w:pPr>
    </w:p>
    <w:p w14:paraId="55416B2E" w14:textId="1ADB9FF5" w:rsidR="00456DAF" w:rsidRDefault="00456DAF" w:rsidP="00456DAF">
      <w:pPr>
        <w:rPr>
          <w:rFonts w:ascii="Arial" w:hAnsi="Arial" w:cs="Arial"/>
          <w:sz w:val="20"/>
          <w:szCs w:val="20"/>
          <w:lang w:val="en-IN"/>
        </w:rPr>
      </w:pPr>
      <w:r>
        <w:rPr>
          <w:rFonts w:ascii="Arial" w:hAnsi="Arial" w:cs="Arial"/>
          <w:sz w:val="20"/>
          <w:szCs w:val="20"/>
          <w:lang w:val="en-IN"/>
        </w:rPr>
        <w:t xml:space="preserve">The UE-based TA measurement computation accuracy could be specific to any two pair of cells. For some cells, the Rx timing difference between the </w:t>
      </w:r>
      <w:r w:rsidRPr="00456DAF">
        <w:rPr>
          <w:rFonts w:ascii="Arial" w:hAnsi="Arial" w:cs="Arial"/>
          <w:sz w:val="20"/>
          <w:szCs w:val="20"/>
          <w:lang w:val="en-IN"/>
        </w:rPr>
        <w:t>current serving cell and candidate cell</w:t>
      </w:r>
      <w:r>
        <w:rPr>
          <w:rFonts w:ascii="Arial" w:hAnsi="Arial" w:cs="Arial"/>
          <w:sz w:val="20"/>
          <w:szCs w:val="20"/>
          <w:lang w:val="en-IN"/>
        </w:rPr>
        <w:t xml:space="preserve"> may be accurately computed and for some other cells, it may be influenced by other external factors in the cell.</w:t>
      </w:r>
    </w:p>
    <w:p w14:paraId="324D638F" w14:textId="77777777" w:rsidR="00456DAF" w:rsidRDefault="00456DAF" w:rsidP="00456DAF">
      <w:pPr>
        <w:rPr>
          <w:rFonts w:ascii="Arial" w:hAnsi="Arial" w:cs="Arial"/>
          <w:sz w:val="20"/>
          <w:szCs w:val="20"/>
          <w:lang w:val="en-IN"/>
        </w:rPr>
      </w:pPr>
    </w:p>
    <w:p w14:paraId="06FD8B5B" w14:textId="627D346C" w:rsidR="00456DAF" w:rsidRDefault="00456DAF" w:rsidP="00456DAF">
      <w:pPr>
        <w:rPr>
          <w:rFonts w:ascii="Arial" w:hAnsi="Arial" w:cs="Arial"/>
          <w:sz w:val="20"/>
          <w:szCs w:val="20"/>
          <w:lang w:val="en-IN"/>
        </w:rPr>
      </w:pPr>
      <w:r>
        <w:rPr>
          <w:rFonts w:ascii="Arial" w:hAnsi="Arial" w:cs="Arial"/>
          <w:sz w:val="20"/>
          <w:szCs w:val="20"/>
          <w:lang w:val="en-IN"/>
        </w:rPr>
        <w:t xml:space="preserve">To determine </w:t>
      </w:r>
      <w:r w:rsidR="00B56B7A">
        <w:rPr>
          <w:rFonts w:ascii="Arial" w:hAnsi="Arial" w:cs="Arial"/>
          <w:sz w:val="20"/>
          <w:szCs w:val="20"/>
          <w:lang w:val="en-IN"/>
        </w:rPr>
        <w:t>the TA computation accuracy</w:t>
      </w:r>
      <w:r>
        <w:rPr>
          <w:rFonts w:ascii="Arial" w:hAnsi="Arial" w:cs="Arial"/>
          <w:sz w:val="20"/>
          <w:szCs w:val="20"/>
          <w:lang w:val="en-IN"/>
        </w:rPr>
        <w:t xml:space="preserve">, both mechanisms could be employed to </w:t>
      </w:r>
      <w:r w:rsidR="00B56B7A">
        <w:rPr>
          <w:rFonts w:ascii="Arial" w:hAnsi="Arial" w:cs="Arial"/>
          <w:sz w:val="20"/>
          <w:szCs w:val="20"/>
          <w:lang w:val="en-IN"/>
        </w:rPr>
        <w:t>acquire TA,</w:t>
      </w:r>
      <w:r>
        <w:rPr>
          <w:rFonts w:ascii="Arial" w:hAnsi="Arial" w:cs="Arial"/>
          <w:sz w:val="20"/>
          <w:szCs w:val="20"/>
          <w:lang w:val="en-IN"/>
        </w:rPr>
        <w:t xml:space="preserve"> on UEs which are capable of UE-based TA acquisition. For example, an LTM UE which is capable of UE-based TA acquisition is configured to compute the TA of a candidate cell and also simultaneously asked to perform PDCCH ordered RACH to acquire candidate cell TA. </w:t>
      </w:r>
    </w:p>
    <w:p w14:paraId="5043F8F7" w14:textId="77777777" w:rsidR="00456DAF" w:rsidRDefault="00456DAF" w:rsidP="00AF7041">
      <w:pPr>
        <w:rPr>
          <w:rFonts w:ascii="Arial" w:hAnsi="Arial" w:cs="Arial"/>
          <w:sz w:val="20"/>
          <w:szCs w:val="20"/>
          <w:lang w:val="en-IN"/>
        </w:rPr>
      </w:pPr>
    </w:p>
    <w:p w14:paraId="0FAAEF7F" w14:textId="115F0E09" w:rsidR="00456DAF" w:rsidRDefault="00456DAF" w:rsidP="00AF7041">
      <w:pPr>
        <w:rPr>
          <w:rFonts w:ascii="Arial" w:hAnsi="Arial" w:cs="Arial"/>
          <w:sz w:val="20"/>
          <w:szCs w:val="20"/>
          <w:lang w:val="en-IN"/>
        </w:rPr>
      </w:pPr>
      <w:r>
        <w:rPr>
          <w:rFonts w:ascii="Arial" w:hAnsi="Arial" w:cs="Arial"/>
          <w:sz w:val="20"/>
          <w:szCs w:val="20"/>
          <w:lang w:val="en-IN"/>
        </w:rPr>
        <w:t xml:space="preserve">The UEs who have been configured with UE-based TA acquisition could store the TA values corresponding to the candidate cell IDs and report them to the </w:t>
      </w:r>
      <w:proofErr w:type="spellStart"/>
      <w:r>
        <w:rPr>
          <w:rFonts w:ascii="Arial" w:hAnsi="Arial" w:cs="Arial"/>
          <w:sz w:val="20"/>
          <w:szCs w:val="20"/>
          <w:lang w:val="en-IN"/>
        </w:rPr>
        <w:t>gNB</w:t>
      </w:r>
      <w:proofErr w:type="spellEnd"/>
      <w:r>
        <w:rPr>
          <w:rFonts w:ascii="Arial" w:hAnsi="Arial" w:cs="Arial"/>
          <w:sz w:val="20"/>
          <w:szCs w:val="20"/>
          <w:lang w:val="en-IN"/>
        </w:rPr>
        <w:t xml:space="preserv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verify the UE computed TA values against the TA values acquired using RACH to determine if the UE-based TA acquisition is accurate between any two pair of cells. This UE-based TA acquisition accuracy indicator could be stored in each cell for all its </w:t>
      </w:r>
      <w:proofErr w:type="spellStart"/>
      <w:r>
        <w:rPr>
          <w:rFonts w:ascii="Arial" w:hAnsi="Arial" w:cs="Arial"/>
          <w:sz w:val="20"/>
          <w:szCs w:val="20"/>
          <w:lang w:val="en-IN"/>
        </w:rPr>
        <w:t>neighboring</w:t>
      </w:r>
      <w:proofErr w:type="spellEnd"/>
      <w:r>
        <w:rPr>
          <w:rFonts w:ascii="Arial" w:hAnsi="Arial" w:cs="Arial"/>
          <w:sz w:val="20"/>
          <w:szCs w:val="20"/>
          <w:lang w:val="en-IN"/>
        </w:rPr>
        <w:t xml:space="preserve"> cells</w:t>
      </w:r>
    </w:p>
    <w:p w14:paraId="211A9DA7" w14:textId="77777777" w:rsidR="00456DAF" w:rsidRDefault="00456DAF" w:rsidP="00AF7041">
      <w:pPr>
        <w:rPr>
          <w:rFonts w:ascii="Arial" w:hAnsi="Arial" w:cs="Arial"/>
          <w:sz w:val="20"/>
          <w:szCs w:val="20"/>
          <w:lang w:val="en-IN"/>
        </w:rPr>
      </w:pPr>
    </w:p>
    <w:p w14:paraId="57E3979B" w14:textId="66D3B452" w:rsidR="00456DAF" w:rsidRPr="00456DAF" w:rsidRDefault="00456DAF" w:rsidP="00AF7041">
      <w:pPr>
        <w:rPr>
          <w:rFonts w:ascii="Arial" w:hAnsi="Arial" w:cs="Arial"/>
          <w:sz w:val="20"/>
          <w:szCs w:val="20"/>
          <w:lang w:val="en-GB"/>
        </w:rPr>
      </w:pPr>
      <w:r>
        <w:rPr>
          <w:rFonts w:ascii="Arial" w:hAnsi="Arial" w:cs="Arial"/>
          <w:sz w:val="20"/>
          <w:szCs w:val="20"/>
          <w:lang w:val="en-IN"/>
        </w:rPr>
        <w:t xml:space="preserve">Depending on the accuracy indicator determined over a period of time,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start configuring UEs with UE-based TA acquisition or fallback to PDCCH ordered RACH based TA acquisition.</w:t>
      </w:r>
    </w:p>
    <w:p w14:paraId="0000E7E0" w14:textId="77777777" w:rsidR="00094F00" w:rsidRDefault="00094F00" w:rsidP="00AF7041">
      <w:pPr>
        <w:rPr>
          <w:rFonts w:ascii="Arial" w:hAnsi="Arial" w:cs="Arial"/>
          <w:sz w:val="20"/>
          <w:szCs w:val="20"/>
          <w:lang w:val="en-GB"/>
        </w:rPr>
      </w:pPr>
    </w:p>
    <w:p w14:paraId="24077B3D" w14:textId="12C3E733" w:rsidR="00456DAF" w:rsidRPr="00A72658" w:rsidRDefault="00456DAF" w:rsidP="00A72658">
      <w:pPr>
        <w:pStyle w:val="Observation"/>
        <w:rPr>
          <w:lang w:val="en-US"/>
        </w:rPr>
      </w:pPr>
      <w:bookmarkStart w:id="6" w:name="_Ref166153266"/>
      <w:r>
        <w:rPr>
          <w:rFonts w:cs="Arial"/>
          <w:lang w:val="en-IN"/>
        </w:rPr>
        <w:t xml:space="preserve">The UE-based TA measurement computation accuracy could be specific to any two pair of cells </w:t>
      </w:r>
      <w:proofErr w:type="spellStart"/>
      <w:r>
        <w:rPr>
          <w:rFonts w:cs="Arial"/>
          <w:lang w:val="en-IN"/>
        </w:rPr>
        <w:t>i.e</w:t>
      </w:r>
      <w:proofErr w:type="spellEnd"/>
      <w:r>
        <w:rPr>
          <w:rFonts w:cs="Arial"/>
          <w:lang w:val="en-IN"/>
        </w:rPr>
        <w:t xml:space="preserve"> the accuracy of UE-based TA acquisition could be different with different candidate cells</w:t>
      </w:r>
      <w:r w:rsidR="00C57D26">
        <w:rPr>
          <w:lang w:val="en-US"/>
        </w:rPr>
        <w:t>.</w:t>
      </w:r>
      <w:bookmarkEnd w:id="6"/>
      <w:r>
        <w:rPr>
          <w:lang w:val="en-US"/>
        </w:rPr>
        <w:t xml:space="preserve"> </w:t>
      </w:r>
    </w:p>
    <w:p w14:paraId="5D1C5BC8" w14:textId="3B04C485" w:rsidR="00A72658" w:rsidRPr="00A72658" w:rsidRDefault="00456DAF" w:rsidP="00A72658">
      <w:pPr>
        <w:pStyle w:val="Proposal"/>
        <w:rPr>
          <w:lang w:val="en-US"/>
        </w:rPr>
      </w:pPr>
      <w:bookmarkStart w:id="7" w:name="_Ref174035697"/>
      <w:bookmarkStart w:id="8" w:name="_Ref166153343"/>
      <w:r>
        <w:rPr>
          <w:lang w:val="en-US"/>
        </w:rPr>
        <w:t xml:space="preserve">UEs capable of </w:t>
      </w:r>
      <w:r>
        <w:rPr>
          <w:rFonts w:cs="Arial"/>
          <w:lang w:val="en-IN"/>
        </w:rPr>
        <w:t xml:space="preserve">UE-based TA acquisition can be configured to report the </w:t>
      </w:r>
      <w:r>
        <w:rPr>
          <w:lang w:val="en-US"/>
        </w:rPr>
        <w:t xml:space="preserve">TA values computed using the </w:t>
      </w:r>
      <w:r>
        <w:rPr>
          <w:rFonts w:cs="Arial"/>
          <w:lang w:val="en-IN"/>
        </w:rPr>
        <w:t xml:space="preserve">UE-based TA acquisition mechanism </w:t>
      </w:r>
      <w:r>
        <w:rPr>
          <w:lang w:val="en-US"/>
        </w:rPr>
        <w:t xml:space="preserve">and the corresponding </w:t>
      </w:r>
      <w:r w:rsidR="00A72658">
        <w:rPr>
          <w:lang w:val="en-US"/>
        </w:rPr>
        <w:t xml:space="preserve">serving and </w:t>
      </w:r>
      <w:r>
        <w:rPr>
          <w:lang w:val="en-US"/>
        </w:rPr>
        <w:t xml:space="preserve">candidate cell ID </w:t>
      </w:r>
      <w:r>
        <w:rPr>
          <w:rFonts w:cs="Arial"/>
          <w:lang w:val="en-IN"/>
        </w:rPr>
        <w:t xml:space="preserve">to the </w:t>
      </w:r>
      <w:proofErr w:type="spellStart"/>
      <w:r>
        <w:rPr>
          <w:rFonts w:cs="Arial"/>
          <w:lang w:val="en-IN"/>
        </w:rPr>
        <w:t>gNB</w:t>
      </w:r>
      <w:proofErr w:type="spellEnd"/>
      <w:r>
        <w:rPr>
          <w:rFonts w:cs="Arial"/>
          <w:lang w:val="en-IN"/>
        </w:rPr>
        <w:t>.</w:t>
      </w:r>
      <w:bookmarkEnd w:id="7"/>
    </w:p>
    <w:p w14:paraId="7F20FF4F" w14:textId="03CA26EA" w:rsidR="00A72658" w:rsidRPr="00A72658" w:rsidRDefault="00A72658" w:rsidP="00A72658">
      <w:pPr>
        <w:pStyle w:val="Observation"/>
        <w:rPr>
          <w:lang w:val="en-US"/>
        </w:rPr>
      </w:pPr>
      <w:bookmarkStart w:id="9" w:name="_Ref174035616"/>
      <w:r>
        <w:rPr>
          <w:rFonts w:cs="Arial"/>
          <w:lang w:val="en-IN"/>
        </w:rPr>
        <w:t xml:space="preserve">UE-based TA acquisition accuracy indicator could be computed at the </w:t>
      </w:r>
      <w:proofErr w:type="spellStart"/>
      <w:r>
        <w:rPr>
          <w:rFonts w:cs="Arial"/>
          <w:lang w:val="en-IN"/>
        </w:rPr>
        <w:t>gNB</w:t>
      </w:r>
      <w:proofErr w:type="spellEnd"/>
      <w:r>
        <w:rPr>
          <w:rFonts w:cs="Arial"/>
          <w:lang w:val="en-IN"/>
        </w:rPr>
        <w:t xml:space="preserve"> by comparing the TA values derived based on UE-based TA acquisition and RACH based TA acquisition over a period of time.</w:t>
      </w:r>
      <w:bookmarkEnd w:id="9"/>
    </w:p>
    <w:p w14:paraId="148EA145" w14:textId="2323D66A" w:rsidR="00C57D26" w:rsidRPr="00724E6F" w:rsidRDefault="00456DAF" w:rsidP="00C57D26">
      <w:pPr>
        <w:pStyle w:val="Proposal"/>
        <w:rPr>
          <w:lang w:val="en-US"/>
        </w:rPr>
      </w:pPr>
      <w:bookmarkStart w:id="10" w:name="_Ref174035729"/>
      <w:r>
        <w:rPr>
          <w:rFonts w:cs="Arial"/>
          <w:lang w:val="en-IN"/>
        </w:rPr>
        <w:t xml:space="preserve">UE-based TA acquisition accuracy indicator is used to determine which TA acquisition mechanism is used for </w:t>
      </w:r>
      <w:r w:rsidR="00A72658">
        <w:rPr>
          <w:rFonts w:cs="Arial"/>
          <w:lang w:val="en-IN"/>
        </w:rPr>
        <w:t xml:space="preserve">TA acquisition </w:t>
      </w:r>
      <w:r>
        <w:rPr>
          <w:rFonts w:cs="Arial"/>
          <w:lang w:val="en-IN"/>
        </w:rPr>
        <w:t>for a given LTM candidate cell</w:t>
      </w:r>
      <w:r w:rsidR="00C57D26">
        <w:rPr>
          <w:lang w:val="en-US"/>
        </w:rPr>
        <w:t>.</w:t>
      </w:r>
      <w:bookmarkEnd w:id="8"/>
      <w:bookmarkEnd w:id="10"/>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7110B213" w:rsidR="00AE49E4" w:rsidRPr="009F5B0E" w:rsidRDefault="00AE49E4"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\r \h </w:instrText>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Observation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\h </w:instrText>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ascii="Arial" w:hAnsi="Arial" w:cs="Arial"/>
          <w:b/>
          <w:bCs/>
          <w:sz w:val="20"/>
          <w:szCs w:val="20"/>
          <w:lang w:val="en-IN"/>
        </w:rPr>
        <w:t>The UE-based TA measurement computation accuracy could be specific to any two pair of cells</w:t>
      </w:r>
      <w:r w:rsidR="005929EA" w:rsidRPr="005929EA">
        <w:rPr>
          <w:rFonts w:cs="Arial"/>
          <w:b/>
          <w:bCs/>
          <w:lang w:val="en-IN"/>
        </w:rPr>
        <w:t xml:space="preserve"> </w:t>
      </w:r>
      <w:proofErr w:type="spellStart"/>
      <w:r w:rsidR="005929EA" w:rsidRPr="005929EA">
        <w:rPr>
          <w:rFonts w:cs="Arial"/>
          <w:b/>
          <w:bCs/>
          <w:lang w:val="en-IN"/>
        </w:rPr>
        <w:t>i.e</w:t>
      </w:r>
      <w:proofErr w:type="spellEnd"/>
      <w:r w:rsidR="005929EA" w:rsidRPr="005929EA">
        <w:rPr>
          <w:rFonts w:cs="Arial"/>
          <w:b/>
          <w:bCs/>
          <w:lang w:val="en-IN"/>
        </w:rPr>
        <w:t xml:space="preserve"> the accuracy of </w:t>
      </w:r>
      <w:r w:rsidR="005929EA" w:rsidRPr="005929EA">
        <w:rPr>
          <w:rFonts w:ascii="Arial" w:hAnsi="Arial" w:cs="Arial"/>
          <w:b/>
          <w:bCs/>
          <w:sz w:val="20"/>
          <w:szCs w:val="20"/>
          <w:lang w:val="en-IN"/>
        </w:rPr>
        <w:t>UE-based TA acquisition</w:t>
      </w:r>
      <w:r w:rsidR="005929EA" w:rsidRPr="005929EA">
        <w:rPr>
          <w:rFonts w:cs="Arial"/>
          <w:b/>
          <w:bCs/>
          <w:lang w:val="en-IN"/>
        </w:rPr>
        <w:t xml:space="preserve"> could be different with different candidate cells</w:t>
      </w:r>
      <w:r w:rsidR="005929EA" w:rsidRPr="005929EA">
        <w:rPr>
          <w:b/>
          <w:bCs/>
        </w:rPr>
        <w:t>.</w:t>
      </w:r>
      <w:r w:rsidRPr="009F5B0E">
        <w:rPr>
          <w:rFonts w:ascii="Arial" w:hAnsi="Arial" w:cs="Arial"/>
          <w:b/>
          <w:bCs/>
          <w:sz w:val="20"/>
          <w:szCs w:val="20"/>
          <w:lang w:val="en-GB"/>
        </w:rPr>
        <w:fldChar w:fldCharType="end"/>
      </w:r>
    </w:p>
    <w:p w14:paraId="7D0E5C13" w14:textId="4359866A"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\w \h </w:instrText>
      </w:r>
      <w:r>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Observation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\h </w:instrText>
      </w:r>
      <w:r>
        <w:rPr>
          <w:rFonts w:ascii="Arial" w:hAnsi="Arial" w:cs="Arial"/>
          <w:b/>
          <w:bCs/>
          <w:sz w:val="20"/>
          <w:szCs w:val="20"/>
          <w:lang w:val="en-GB"/>
        </w:rPr>
        <w:instrText xml:space="preserve">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cs="Arial"/>
          <w:b/>
          <w:bCs/>
          <w:lang w:val="en-IN"/>
        </w:rPr>
        <w:t xml:space="preserve">UE-based TA acquisition accuracy indicator could be computed at the </w:t>
      </w:r>
      <w:proofErr w:type="spellStart"/>
      <w:r w:rsidR="005929EA" w:rsidRPr="005929EA">
        <w:rPr>
          <w:rFonts w:cs="Arial"/>
          <w:b/>
          <w:bCs/>
          <w:lang w:val="en-IN"/>
        </w:rPr>
        <w:t>gNB</w:t>
      </w:r>
      <w:proofErr w:type="spellEnd"/>
      <w:r w:rsidR="005929EA" w:rsidRPr="005929EA">
        <w:rPr>
          <w:rFonts w:cs="Arial"/>
          <w:b/>
          <w:bCs/>
          <w:lang w:val="en-IN"/>
        </w:rPr>
        <w:t xml:space="preserve"> by comparing the TA values derived based on UE-based TA acquisition and RACH based TA acquisition over </w:t>
      </w:r>
      <w:proofErr w:type="gramStart"/>
      <w:r w:rsidR="005929EA" w:rsidRPr="005929EA">
        <w:rPr>
          <w:rFonts w:cs="Arial"/>
          <w:b/>
          <w:bCs/>
          <w:lang w:val="en-IN"/>
        </w:rPr>
        <w:t>a period of time</w:t>
      </w:r>
      <w:proofErr w:type="gramEnd"/>
      <w:r w:rsidR="005929EA" w:rsidRPr="005929EA">
        <w:rPr>
          <w:rFonts w:cs="Arial"/>
          <w:b/>
          <w:bCs/>
          <w:lang w:val="en-IN"/>
        </w:rPr>
        <w:t>.</w:t>
      </w:r>
      <w:r w:rsidRPr="009F5B0E">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60E07EEB" w:rsidR="00AE49E4"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\w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Proposal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b/>
          <w:bCs/>
        </w:rPr>
        <w:t xml:space="preserve">UEs capable of </w:t>
      </w:r>
      <w:r w:rsidR="005929EA" w:rsidRPr="005929EA">
        <w:rPr>
          <w:rFonts w:cs="Arial"/>
          <w:b/>
          <w:bCs/>
          <w:lang w:val="en-IN"/>
        </w:rPr>
        <w:t xml:space="preserve">UE-based TA acquisition can be configured to report the </w:t>
      </w:r>
      <w:r w:rsidR="005929EA" w:rsidRPr="005929EA">
        <w:rPr>
          <w:b/>
          <w:bCs/>
        </w:rPr>
        <w:t xml:space="preserve">TA values computed using the </w:t>
      </w:r>
      <w:r w:rsidR="005929EA" w:rsidRPr="005929EA">
        <w:rPr>
          <w:rFonts w:cs="Arial"/>
          <w:b/>
          <w:bCs/>
          <w:lang w:val="en-IN"/>
        </w:rPr>
        <w:t xml:space="preserve">UE-based TA acquisition mechanism </w:t>
      </w:r>
      <w:r w:rsidR="005929EA" w:rsidRPr="005929EA">
        <w:rPr>
          <w:b/>
          <w:bCs/>
        </w:rPr>
        <w:t xml:space="preserve">and the corresponding serving and candidate cell ID </w:t>
      </w:r>
      <w:r w:rsidR="005929EA" w:rsidRPr="005929EA">
        <w:rPr>
          <w:rFonts w:cs="Arial"/>
          <w:b/>
          <w:bCs/>
          <w:lang w:val="en-IN"/>
        </w:rPr>
        <w:t xml:space="preserve">to the </w:t>
      </w:r>
      <w:proofErr w:type="spellStart"/>
      <w:r w:rsidR="005929EA" w:rsidRPr="005929EA">
        <w:rPr>
          <w:rFonts w:cs="Arial"/>
          <w:b/>
          <w:bCs/>
          <w:lang w:val="en-IN"/>
        </w:rPr>
        <w:t>gNB</w:t>
      </w:r>
      <w:proofErr w:type="spellEnd"/>
      <w:r w:rsidR="005929EA" w:rsidRPr="005929EA">
        <w:rPr>
          <w:rFonts w:cs="Arial"/>
          <w:b/>
          <w:bCs/>
          <w:lang w:val="en-IN"/>
        </w:rPr>
        <w:t>.</w:t>
      </w:r>
      <w:r w:rsidRPr="009F5B0E">
        <w:rPr>
          <w:rFonts w:ascii="Arial" w:hAnsi="Arial" w:cs="Arial"/>
          <w:b/>
          <w:bCs/>
          <w:sz w:val="20"/>
          <w:szCs w:val="20"/>
          <w:lang w:val="en-GB"/>
        </w:rPr>
        <w:fldChar w:fldCharType="end"/>
      </w:r>
    </w:p>
    <w:p w14:paraId="2B31ACBE" w14:textId="690D54BE"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\w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Pr>
          <w:rFonts w:ascii="Arial" w:hAnsi="Arial" w:cs="Arial"/>
          <w:b/>
          <w:bCs/>
          <w:sz w:val="20"/>
          <w:szCs w:val="20"/>
          <w:lang w:val="en-GB"/>
        </w:rPr>
        <w:t>Proposal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\h  \* MERGEFORMAT </w:instrText>
      </w:r>
      <w:r w:rsidRPr="009F5B0E">
        <w:rPr>
          <w:rFonts w:ascii="Arial" w:hAnsi="Arial" w:cs="Arial"/>
          <w:b/>
          <w:bCs/>
          <w:sz w:val="20"/>
          <w:szCs w:val="20"/>
          <w:lang w:val="en-GB"/>
        </w:rPr>
      </w:r>
      <w:r w:rsidRPr="009F5B0E">
        <w:rPr>
          <w:rFonts w:ascii="Arial" w:hAnsi="Arial" w:cs="Arial"/>
          <w:b/>
          <w:bCs/>
          <w:sz w:val="20"/>
          <w:szCs w:val="20"/>
          <w:lang w:val="en-GB"/>
        </w:rPr>
        <w:fldChar w:fldCharType="separate"/>
      </w:r>
      <w:r w:rsidR="005929EA" w:rsidRPr="005929EA">
        <w:rPr>
          <w:rFonts w:cs="Arial"/>
          <w:b/>
          <w:bCs/>
          <w:lang w:val="en-IN"/>
        </w:rPr>
        <w:t>UE-based TA acquisition accuracy indicator is used to determine which TA acquisition mechanism is used for TA acquisition for a given LTM candidate cell</w:t>
      </w:r>
      <w:r w:rsidR="005929EA" w:rsidRPr="005929EA">
        <w:rPr>
          <w:b/>
          <w:bCs/>
        </w:rPr>
        <w:t>.</w:t>
      </w:r>
      <w:r w:rsidRPr="009F5B0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1B27FED4" w:rsidR="008408F0" w:rsidRDefault="008408F0" w:rsidP="00B77B09">
      <w:pPr>
        <w:pStyle w:val="Reference"/>
        <w:rPr>
          <w:lang w:val="en-US"/>
        </w:rPr>
      </w:pPr>
      <w:hyperlink r:id="rId11" w:history="1">
        <w:r w:rsidRPr="008408F0">
          <w:rPr>
            <w:rStyle w:val="Hyperlink"/>
            <w:rFonts w:cs="Arial" w:hint="eastAsia"/>
            <w:b/>
          </w:rPr>
          <w:t>RP</w:t>
        </w:r>
        <w:r w:rsidRPr="008408F0">
          <w:rPr>
            <w:rStyle w:val="Hyperlink"/>
            <w:rFonts w:cs="Arial"/>
            <w:b/>
          </w:rPr>
          <w:t>-</w:t>
        </w:r>
        <w:r w:rsidRPr="008408F0">
          <w:rPr>
            <w:rStyle w:val="Hyperlink"/>
            <w:rFonts w:cs="Arial" w:hint="eastAsia"/>
            <w:b/>
          </w:rPr>
          <w:t>23</w:t>
        </w:r>
        <w:r w:rsidRPr="008408F0">
          <w:rPr>
            <w:rStyle w:val="Hyperlink"/>
            <w:rFonts w:cs="Arial"/>
            <w:b/>
          </w:rPr>
          <w:t>4038</w:t>
        </w:r>
      </w:hyperlink>
      <w:r>
        <w:rPr>
          <w:rFonts w:cs="Arial"/>
          <w:b/>
        </w:rPr>
        <w:t xml:space="preserve"> : </w:t>
      </w:r>
      <w:r>
        <w:rPr>
          <w:b/>
          <w:color w:val="000000"/>
        </w:rPr>
        <w:t>New WID</w:t>
      </w:r>
      <w:r>
        <w:rPr>
          <w:rFonts w:hint="eastAsia"/>
          <w:b/>
          <w:color w:val="000000"/>
        </w:rPr>
        <w:t xml:space="preserve"> </w:t>
      </w:r>
      <w:r>
        <w:rPr>
          <w:rFonts w:hint="eastAsia"/>
          <w:b/>
        </w:rPr>
        <w:t>on</w:t>
      </w:r>
      <w:r>
        <w:rPr>
          <w:b/>
        </w:rPr>
        <w:t xml:space="preserve"> </w:t>
      </w:r>
      <w:r>
        <w:rPr>
          <w:rFonts w:cs="Arial" w:hint="eastAsia"/>
          <w:b/>
        </w:rPr>
        <w:t>Data collection for SON (Self-Organising Networks)/MDT (Minimization of Drive Tests) in NR standalone and MR-DC (Multi-Radio Dual Connectivity) Phase 4</w:t>
      </w:r>
    </w:p>
    <w:p w14:paraId="7B312A39" w14:textId="716DBDA3" w:rsidR="004D18BF" w:rsidRPr="003B1AE6" w:rsidRDefault="004D18BF" w:rsidP="00B77B09">
      <w:pPr>
        <w:pStyle w:val="Reference"/>
        <w:rPr>
          <w:lang w:val="en-US"/>
        </w:rPr>
      </w:pPr>
      <w:r>
        <w:rPr>
          <w:lang w:val="en-US"/>
        </w:rPr>
        <w:t xml:space="preserve">RAN2 Chairman Notes </w:t>
      </w:r>
      <w:hyperlink r:id="rId12" w:history="1">
        <w:r w:rsidRPr="004D18BF">
          <w:rPr>
            <w:rStyle w:val="Hyperlink"/>
            <w:lang w:val="en-US"/>
          </w:rPr>
          <w:t>R2_125bis_ChairNotes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425C5" w14:textId="77777777" w:rsidR="007D56AA" w:rsidRDefault="007D56AA">
      <w:pPr>
        <w:pStyle w:val="TAL"/>
      </w:pPr>
      <w:r>
        <w:separator/>
      </w:r>
    </w:p>
  </w:endnote>
  <w:endnote w:type="continuationSeparator" w:id="0">
    <w:p w14:paraId="569A4D7E" w14:textId="77777777" w:rsidR="007D56AA" w:rsidRDefault="007D56A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F8EFD" w14:textId="77777777" w:rsidR="007D56AA" w:rsidRDefault="007D56AA">
      <w:pPr>
        <w:pStyle w:val="TAL"/>
      </w:pPr>
      <w:r>
        <w:separator/>
      </w:r>
    </w:p>
  </w:footnote>
  <w:footnote w:type="continuationSeparator" w:id="0">
    <w:p w14:paraId="457C9364" w14:textId="77777777" w:rsidR="007D56AA" w:rsidRDefault="007D56A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3"/>
  </w:num>
  <w:num w:numId="3" w16cid:durableId="1459103136">
    <w:abstractNumId w:val="19"/>
  </w:num>
  <w:num w:numId="4" w16cid:durableId="1141001138">
    <w:abstractNumId w:val="10"/>
  </w:num>
  <w:num w:numId="5" w16cid:durableId="734744943">
    <w:abstractNumId w:val="2"/>
  </w:num>
  <w:num w:numId="6" w16cid:durableId="1392147612">
    <w:abstractNumId w:val="19"/>
  </w:num>
  <w:num w:numId="7" w16cid:durableId="1980916596">
    <w:abstractNumId w:val="4"/>
  </w:num>
  <w:num w:numId="8" w16cid:durableId="544022156">
    <w:abstractNumId w:val="3"/>
  </w:num>
  <w:num w:numId="9" w16cid:durableId="223220381">
    <w:abstractNumId w:val="19"/>
  </w:num>
  <w:num w:numId="10" w16cid:durableId="2089769091">
    <w:abstractNumId w:val="20"/>
  </w:num>
  <w:num w:numId="11" w16cid:durableId="1967614257">
    <w:abstractNumId w:val="24"/>
  </w:num>
  <w:num w:numId="12" w16cid:durableId="161240221">
    <w:abstractNumId w:val="7"/>
  </w:num>
  <w:num w:numId="13" w16cid:durableId="940725846">
    <w:abstractNumId w:val="14"/>
  </w:num>
  <w:num w:numId="14" w16cid:durableId="1956788693">
    <w:abstractNumId w:val="17"/>
  </w:num>
  <w:num w:numId="15" w16cid:durableId="774136100">
    <w:abstractNumId w:val="16"/>
  </w:num>
  <w:num w:numId="16" w16cid:durableId="1123812728">
    <w:abstractNumId w:val="15"/>
  </w:num>
  <w:num w:numId="17" w16cid:durableId="1915168103">
    <w:abstractNumId w:val="22"/>
  </w:num>
  <w:num w:numId="18" w16cid:durableId="125317429">
    <w:abstractNumId w:val="13"/>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21"/>
  </w:num>
  <w:num w:numId="25" w16cid:durableId="1971940421">
    <w:abstractNumId w:val="1"/>
  </w:num>
  <w:num w:numId="26" w16cid:durableId="1402554592">
    <w:abstractNumId w:val="12"/>
  </w:num>
  <w:num w:numId="27" w16cid:durableId="148793539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EA3"/>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2EC"/>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97"/>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9EA"/>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4998"/>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AF1"/>
    <w:rsid w:val="00634DF3"/>
    <w:rsid w:val="0063541D"/>
    <w:rsid w:val="0063559B"/>
    <w:rsid w:val="006357FC"/>
    <w:rsid w:val="00635B95"/>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6AA"/>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C4"/>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2B"/>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63B"/>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8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0E"/>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7A"/>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10"/>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4"/>
    <w:rsid w:val="00E91B3E"/>
    <w:rsid w:val="00E92038"/>
    <w:rsid w:val="00E92643"/>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BC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5bis_ChairNotes_25-04-15_13-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3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2024-10-03T17:07:00Z</dcterms:created>
  <dcterms:modified xsi:type="dcterms:W3CDTF">2024-10-03T17:07:00Z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