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FEFE6" w14:textId="282233B4" w:rsidR="00E6516F" w:rsidRDefault="00E6516F" w:rsidP="00D9409B">
      <w:pPr>
        <w:tabs>
          <w:tab w:val="left" w:pos="2160"/>
        </w:tabs>
        <w:rPr>
          <w:rFonts w:ascii="Arial" w:hAnsi="Arial" w:cs="Arial"/>
          <w:b/>
          <w:sz w:val="24"/>
        </w:rPr>
      </w:pPr>
      <w:bookmarkStart w:id="0" w:name="historyclause"/>
      <w:r w:rsidRPr="00E6516F">
        <w:rPr>
          <w:rFonts w:ascii="Arial" w:hAnsi="Arial" w:cs="Arial"/>
          <w:b/>
          <w:sz w:val="24"/>
        </w:rPr>
        <w:t>3GPP TSG-RAN WG2 Meeting #12</w:t>
      </w:r>
      <w:r w:rsidR="00155C92">
        <w:rPr>
          <w:rFonts w:ascii="Arial" w:hAnsi="Arial" w:cs="Arial"/>
          <w:b/>
          <w:sz w:val="24"/>
        </w:rPr>
        <w:t>7</w:t>
      </w:r>
      <w:r w:rsidR="000043C3">
        <w:rPr>
          <w:rFonts w:ascii="Arial" w:hAnsi="Arial" w:cs="Arial"/>
          <w:b/>
          <w:sz w:val="24"/>
        </w:rPr>
        <w:t>bis</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A24351">
        <w:rPr>
          <w:rFonts w:ascii="Arial" w:hAnsi="Arial" w:cs="Arial"/>
          <w:b/>
          <w:sz w:val="24"/>
        </w:rPr>
        <w:t xml:space="preserve">     </w:t>
      </w:r>
      <w:r w:rsidR="00D9409B" w:rsidRPr="00D9409B">
        <w:rPr>
          <w:rFonts w:ascii="Arial" w:hAnsi="Arial" w:cs="Arial"/>
          <w:b/>
          <w:bCs/>
          <w:sz w:val="24"/>
        </w:rPr>
        <w:t>R2-2408557</w:t>
      </w:r>
    </w:p>
    <w:p w14:paraId="3293D479" w14:textId="4A5CCE90" w:rsidR="00C56D74" w:rsidRPr="000043C3" w:rsidRDefault="000043C3" w:rsidP="000043C3">
      <w:pPr>
        <w:tabs>
          <w:tab w:val="left" w:pos="2160"/>
        </w:tabs>
        <w:rPr>
          <w:rFonts w:ascii="Arial" w:hAnsi="Arial" w:cs="Arial"/>
          <w:b/>
          <w:sz w:val="24"/>
          <w:lang w:val="de-DE"/>
        </w:rPr>
      </w:pPr>
      <w:r w:rsidRPr="000043C3">
        <w:rPr>
          <w:rFonts w:ascii="Arial" w:hAnsi="Arial" w:cs="Arial"/>
          <w:b/>
          <w:sz w:val="24"/>
          <w:lang w:val="de-DE"/>
        </w:rPr>
        <w:t xml:space="preserve">Hefei, China, </w:t>
      </w:r>
      <w:proofErr w:type="spellStart"/>
      <w:r w:rsidRPr="000043C3">
        <w:rPr>
          <w:rFonts w:ascii="Arial" w:hAnsi="Arial" w:cs="Arial"/>
          <w:b/>
          <w:sz w:val="24"/>
          <w:lang w:val="de-DE"/>
        </w:rPr>
        <w:t>Oct</w:t>
      </w:r>
      <w:proofErr w:type="spellEnd"/>
      <w:r w:rsidRPr="000043C3">
        <w:rPr>
          <w:rFonts w:ascii="Arial" w:hAnsi="Arial" w:cs="Arial"/>
          <w:b/>
          <w:sz w:val="24"/>
          <w:lang w:val="de-DE"/>
        </w:rPr>
        <w:t xml:space="preserve"> 14</w:t>
      </w:r>
      <w:r w:rsidRPr="000043C3">
        <w:rPr>
          <w:rFonts w:ascii="Arial" w:hAnsi="Arial" w:cs="Arial"/>
          <w:b/>
          <w:sz w:val="24"/>
          <w:vertAlign w:val="superscript"/>
          <w:lang w:val="de-DE"/>
        </w:rPr>
        <w:t>th</w:t>
      </w:r>
      <w:r w:rsidRPr="000043C3">
        <w:rPr>
          <w:rFonts w:ascii="Arial" w:hAnsi="Arial" w:cs="Arial"/>
          <w:b/>
          <w:sz w:val="24"/>
          <w:lang w:val="de-DE"/>
        </w:rPr>
        <w:t xml:space="preserve"> – 18</w:t>
      </w:r>
      <w:r w:rsidRPr="000043C3">
        <w:rPr>
          <w:rFonts w:ascii="Arial" w:hAnsi="Arial" w:cs="Arial"/>
          <w:b/>
          <w:sz w:val="24"/>
          <w:vertAlign w:val="superscript"/>
          <w:lang w:val="de-DE"/>
        </w:rPr>
        <w:t>th</w:t>
      </w:r>
      <w:r w:rsidRPr="000043C3">
        <w:rPr>
          <w:rFonts w:ascii="Arial" w:hAnsi="Arial" w:cs="Arial"/>
          <w:b/>
          <w:sz w:val="24"/>
          <w:lang w:val="de-DE"/>
        </w:rPr>
        <w:t>, 2024</w:t>
      </w:r>
      <w:r w:rsidR="00155C92">
        <w:rPr>
          <w:rFonts w:ascii="Arial" w:hAnsi="Arial" w:cs="Arial"/>
          <w:b/>
          <w:sz w:val="24"/>
        </w:rPr>
        <w:tab/>
      </w:r>
      <w:r w:rsidR="00155C92">
        <w:rPr>
          <w:rFonts w:ascii="Arial" w:hAnsi="Arial" w:cs="Arial"/>
          <w:b/>
          <w:sz w:val="24"/>
        </w:rPr>
        <w:tab/>
      </w:r>
      <w:r w:rsidR="00155C92">
        <w:rPr>
          <w:rFonts w:ascii="Arial" w:hAnsi="Arial" w:cs="Arial"/>
          <w:b/>
          <w:sz w:val="24"/>
        </w:rPr>
        <w:tab/>
      </w:r>
      <w:r w:rsidR="00155C92">
        <w:rPr>
          <w:rFonts w:ascii="Arial" w:hAnsi="Arial" w:cs="Arial"/>
          <w:b/>
          <w:sz w:val="24"/>
        </w:rPr>
        <w:tab/>
      </w:r>
      <w:r w:rsidR="00155C92">
        <w:rPr>
          <w:rFonts w:ascii="Arial" w:hAnsi="Arial" w:cs="Arial"/>
          <w:b/>
          <w:sz w:val="24"/>
        </w:rPr>
        <w:tab/>
      </w:r>
      <w:r w:rsidR="00155C92">
        <w:rPr>
          <w:rFonts w:ascii="Arial" w:hAnsi="Arial" w:cs="Arial"/>
          <w:b/>
          <w:sz w:val="24"/>
        </w:rPr>
        <w:tab/>
      </w:r>
      <w:r w:rsidR="00155C92">
        <w:rPr>
          <w:rFonts w:ascii="Arial" w:hAnsi="Arial" w:cs="Arial"/>
          <w:b/>
          <w:sz w:val="24"/>
        </w:rPr>
        <w:tab/>
      </w:r>
      <w:r w:rsidR="00155C92">
        <w:rPr>
          <w:rFonts w:ascii="Arial" w:hAnsi="Arial" w:cs="Arial"/>
          <w:b/>
          <w:sz w:val="24"/>
        </w:rPr>
        <w:tab/>
      </w:r>
      <w:r w:rsidR="00155C92">
        <w:rPr>
          <w:rFonts w:ascii="Arial" w:hAnsi="Arial" w:cs="Arial"/>
          <w:b/>
          <w:sz w:val="24"/>
        </w:rPr>
        <w:tab/>
        <w:t xml:space="preserve">  </w:t>
      </w:r>
    </w:p>
    <w:p w14:paraId="6C4AF3F4" w14:textId="4AE56CE2" w:rsidR="00C56D74" w:rsidRPr="0008103A" w:rsidRDefault="00C56D74" w:rsidP="00C56D74">
      <w:pPr>
        <w:pStyle w:val="CH"/>
        <w:rPr>
          <w:b w:val="0"/>
        </w:rPr>
      </w:pPr>
      <w:r w:rsidRPr="0008103A">
        <w:t>Agenda item:</w:t>
      </w:r>
      <w:r>
        <w:tab/>
      </w:r>
      <w:r w:rsidR="00926D4B">
        <w:t>8.</w:t>
      </w:r>
      <w:r w:rsidR="00DD1A10">
        <w:t>3.</w:t>
      </w:r>
      <w:r w:rsidR="00D95F83">
        <w:t>3</w:t>
      </w:r>
    </w:p>
    <w:p w14:paraId="127DDB38" w14:textId="77777777" w:rsidR="00C56D74" w:rsidRPr="00A558BE" w:rsidRDefault="00C56D74" w:rsidP="00C56D74">
      <w:pPr>
        <w:pStyle w:val="CH"/>
        <w:rPr>
          <w:b w:val="0"/>
          <w:lang w:val="en-US" w:eastAsia="zh-CN"/>
        </w:rPr>
      </w:pPr>
      <w:r>
        <w:t>Source:</w:t>
      </w:r>
      <w:r>
        <w:tab/>
        <w:t>Apple</w:t>
      </w:r>
    </w:p>
    <w:p w14:paraId="014FA553" w14:textId="147B2F1A" w:rsidR="00C56D74" w:rsidRPr="00D212FB" w:rsidRDefault="00C56D74" w:rsidP="00C56D74">
      <w:pPr>
        <w:pStyle w:val="CH"/>
        <w:ind w:left="2260" w:hanging="2260"/>
        <w:rPr>
          <w:lang w:val="en-US" w:eastAsia="zh-CN"/>
        </w:rPr>
      </w:pPr>
      <w:r w:rsidRPr="0008103A">
        <w:t>Title:</w:t>
      </w:r>
      <w:r w:rsidRPr="0008103A">
        <w:tab/>
      </w:r>
      <w:r w:rsidR="000043C3">
        <w:t>On Measurement Event Prediction Evaluation</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3EA41FC5" w14:textId="29022EC9" w:rsidR="00F91BB5" w:rsidRPr="000043C3" w:rsidRDefault="00C0454F" w:rsidP="000043C3">
      <w:pPr>
        <w:rPr>
          <w:lang w:val="en-US" w:eastAsia="zh-CN"/>
        </w:rPr>
      </w:pPr>
      <w:r>
        <w:rPr>
          <w:lang w:val="en-US" w:eastAsia="zh-CN"/>
        </w:rPr>
        <w:t xml:space="preserve">In this contribution we provide </w:t>
      </w:r>
      <w:r w:rsidR="007B67E0">
        <w:rPr>
          <w:lang w:val="en-US" w:eastAsia="zh-CN"/>
        </w:rPr>
        <w:t xml:space="preserve">our views on </w:t>
      </w:r>
      <w:r w:rsidR="000043C3">
        <w:rPr>
          <w:lang w:val="en-US" w:eastAsia="zh-CN"/>
        </w:rPr>
        <w:t>measurement event prediction simulation assumptions, use cases, KPIs and everything else that needs to be ironed out to provide evaluation results in the following meetings.</w:t>
      </w:r>
    </w:p>
    <w:p w14:paraId="760B78CF" w14:textId="76FA9A28" w:rsidR="0039762A" w:rsidRDefault="008E7986" w:rsidP="00DB0119">
      <w:pPr>
        <w:pStyle w:val="Heading1"/>
      </w:pPr>
      <w:r>
        <w:t>2</w:t>
      </w:r>
      <w:r w:rsidR="00004B93">
        <w:t xml:space="preserve">  </w:t>
      </w:r>
      <w:r w:rsidR="00476CE3">
        <w:t xml:space="preserve"> </w:t>
      </w:r>
      <w:r w:rsidR="00567E21">
        <w:tab/>
      </w:r>
      <w:r w:rsidR="009575A3">
        <w:t>Discussion</w:t>
      </w:r>
    </w:p>
    <w:p w14:paraId="4B00AA79" w14:textId="04FBE661" w:rsidR="00F91BB5" w:rsidRDefault="00F91BB5" w:rsidP="00F91BB5">
      <w:pPr>
        <w:pStyle w:val="Heading3"/>
      </w:pPr>
      <w:r>
        <w:t xml:space="preserve">2.1 </w:t>
      </w:r>
      <w:r>
        <w:tab/>
      </w:r>
      <w:r w:rsidR="000043C3">
        <w:t>Background</w:t>
      </w:r>
    </w:p>
    <w:p w14:paraId="7982578F" w14:textId="70F11BA7" w:rsidR="000043C3" w:rsidRDefault="000043C3" w:rsidP="000043C3">
      <w:r>
        <w:t>For reference, here are the agreements reached so far on the topic of measurement event prediction:</w:t>
      </w:r>
    </w:p>
    <w:tbl>
      <w:tblPr>
        <w:tblStyle w:val="TableGrid"/>
        <w:tblW w:w="0" w:type="auto"/>
        <w:tblLook w:val="04A0" w:firstRow="1" w:lastRow="0" w:firstColumn="1" w:lastColumn="0" w:noHBand="0" w:noVBand="1"/>
      </w:tblPr>
      <w:tblGrid>
        <w:gridCol w:w="9631"/>
      </w:tblGrid>
      <w:tr w:rsidR="000043C3" w14:paraId="4D20931E" w14:textId="77777777" w:rsidTr="000043C3">
        <w:tc>
          <w:tcPr>
            <w:tcW w:w="9631" w:type="dxa"/>
          </w:tcPr>
          <w:p w14:paraId="22585D98" w14:textId="77777777" w:rsidR="000043C3" w:rsidRPr="003608A7" w:rsidRDefault="000043C3" w:rsidP="000043C3">
            <w:pPr>
              <w:rPr>
                <w:rFonts w:asciiTheme="minorBidi" w:hAnsiTheme="minorBidi"/>
                <w:lang w:val="en-US"/>
              </w:rPr>
            </w:pPr>
            <w:r w:rsidRPr="003608A7">
              <w:rPr>
                <w:rFonts w:asciiTheme="minorBidi" w:hAnsiTheme="minorBidi"/>
                <w:lang w:val="en-US"/>
              </w:rPr>
              <w:t>1.</w:t>
            </w:r>
            <w:r w:rsidRPr="003608A7">
              <w:rPr>
                <w:rFonts w:asciiTheme="minorBidi" w:hAnsiTheme="minorBidi"/>
                <w:lang w:val="en-US"/>
              </w:rPr>
              <w:tab/>
              <w:t xml:space="preserve">At least measurement event evaluation based on RRM measurement prediction result will be studied.   Direct measurement event prediction is also allowed.   </w:t>
            </w:r>
          </w:p>
          <w:p w14:paraId="330B445F" w14:textId="77777777" w:rsidR="000043C3" w:rsidRPr="003608A7" w:rsidRDefault="000043C3" w:rsidP="000043C3">
            <w:pPr>
              <w:rPr>
                <w:rFonts w:asciiTheme="minorBidi" w:hAnsiTheme="minorBidi"/>
                <w:lang w:val="en-US"/>
              </w:rPr>
            </w:pPr>
            <w:r w:rsidRPr="003608A7">
              <w:rPr>
                <w:rFonts w:asciiTheme="minorBidi" w:hAnsiTheme="minorBidi"/>
                <w:lang w:val="en-US"/>
              </w:rPr>
              <w:t>2.</w:t>
            </w:r>
            <w:r w:rsidRPr="003608A7">
              <w:rPr>
                <w:rFonts w:asciiTheme="minorBidi" w:hAnsiTheme="minorBidi"/>
                <w:lang w:val="en-US"/>
              </w:rPr>
              <w:tab/>
              <w:t xml:space="preserve">Clarifications on what is being as input should be provided with results  </w:t>
            </w:r>
          </w:p>
          <w:p w14:paraId="524AB42C" w14:textId="77777777" w:rsidR="000043C3" w:rsidRPr="003608A7" w:rsidRDefault="000043C3" w:rsidP="000043C3">
            <w:pPr>
              <w:rPr>
                <w:rFonts w:asciiTheme="minorBidi" w:hAnsiTheme="minorBidi"/>
                <w:lang w:val="en-US"/>
              </w:rPr>
            </w:pPr>
            <w:r w:rsidRPr="003608A7">
              <w:rPr>
                <w:rFonts w:asciiTheme="minorBidi" w:hAnsiTheme="minorBidi"/>
                <w:lang w:val="en-US"/>
              </w:rPr>
              <w:t>3.</w:t>
            </w:r>
            <w:r w:rsidRPr="003608A7">
              <w:rPr>
                <w:rFonts w:asciiTheme="minorBidi" w:hAnsiTheme="minorBidi"/>
                <w:lang w:val="en-US"/>
              </w:rPr>
              <w:tab/>
              <w:t xml:space="preserve">Start with A3 as a baseline.  </w:t>
            </w:r>
          </w:p>
          <w:p w14:paraId="25EB40C5" w14:textId="1CA66158" w:rsidR="000043C3" w:rsidRPr="000043C3" w:rsidRDefault="000043C3" w:rsidP="000043C3">
            <w:pPr>
              <w:rPr>
                <w:rFonts w:asciiTheme="minorBidi" w:hAnsiTheme="minorBidi"/>
                <w:lang w:val="en-US"/>
              </w:rPr>
            </w:pPr>
            <w:r w:rsidRPr="003608A7">
              <w:rPr>
                <w:rFonts w:asciiTheme="minorBidi" w:hAnsiTheme="minorBidi"/>
                <w:lang w:val="en-US"/>
              </w:rPr>
              <w:t>4.</w:t>
            </w:r>
            <w:r w:rsidRPr="003608A7">
              <w:rPr>
                <w:rFonts w:asciiTheme="minorBidi" w:hAnsiTheme="minorBidi"/>
                <w:lang w:val="en-US"/>
              </w:rPr>
              <w:tab/>
              <w:t>Measurement event prediction study can start after some further progress on RRM measurement prediction has been made</w:t>
            </w:r>
          </w:p>
        </w:tc>
      </w:tr>
    </w:tbl>
    <w:p w14:paraId="35542A15" w14:textId="77777777" w:rsidR="000043C3" w:rsidRPr="000043C3" w:rsidRDefault="000043C3" w:rsidP="000043C3"/>
    <w:p w14:paraId="442F3067" w14:textId="77B3E8B7" w:rsidR="000043C3" w:rsidRDefault="000043C3" w:rsidP="000043C3">
      <w:pPr>
        <w:pStyle w:val="Heading3"/>
      </w:pPr>
      <w:r>
        <w:t>2.</w:t>
      </w:r>
      <w:r w:rsidR="007B67E0">
        <w:t>2</w:t>
      </w:r>
      <w:r>
        <w:t xml:space="preserve"> </w:t>
      </w:r>
      <w:r>
        <w:tab/>
      </w:r>
      <w:r w:rsidR="00326E8B">
        <w:t>Use cases and general assumptions</w:t>
      </w:r>
    </w:p>
    <w:p w14:paraId="6D3CD70A" w14:textId="12C954EB" w:rsidR="00326E8B" w:rsidRDefault="00326E8B" w:rsidP="00326E8B">
      <w:r>
        <w:t xml:space="preserve">In theory, A3 event can be configured for three measurement quantities: RSRP, RSRQ or SINR. Since RSRP is what’s used for mobility </w:t>
      </w:r>
      <w:r w:rsidR="00654C8F">
        <w:t>and</w:t>
      </w:r>
      <w:r>
        <w:t xml:space="preserve"> because we’ve already agreed to focus on RSRP for RRM measurement prediction, it makes sense to limit measurement event prediction to RSRP.</w:t>
      </w:r>
    </w:p>
    <w:p w14:paraId="31DBB02D" w14:textId="1E273C8E" w:rsidR="00326E8B" w:rsidRPr="00E609FC" w:rsidRDefault="00326E8B" w:rsidP="00326E8B">
      <w:pPr>
        <w:rPr>
          <w:b/>
          <w:bCs/>
        </w:rPr>
      </w:pPr>
      <w:r w:rsidRPr="00E609FC">
        <w:rPr>
          <w:b/>
          <w:bCs/>
        </w:rPr>
        <w:t xml:space="preserve">Proposal 1: for measurement event prediction, RSRP is the only measurement quantity. </w:t>
      </w:r>
    </w:p>
    <w:p w14:paraId="6BCBCB13" w14:textId="637AACBB" w:rsidR="00326E8B" w:rsidRDefault="00326E8B" w:rsidP="00326E8B">
      <w:r>
        <w:t>With this, it is perhaps obvious that all the simulation assumptions agreed for measurement predictions should be re-used for measurement event prediction. It makes littles sense to deviate from those.</w:t>
      </w:r>
    </w:p>
    <w:p w14:paraId="0AC3A899" w14:textId="2A541DE1" w:rsidR="00326E8B" w:rsidRPr="00E609FC" w:rsidRDefault="00326E8B" w:rsidP="00326E8B">
      <w:pPr>
        <w:rPr>
          <w:b/>
          <w:bCs/>
        </w:rPr>
      </w:pPr>
      <w:r w:rsidRPr="00E609FC">
        <w:rPr>
          <w:b/>
          <w:bCs/>
        </w:rPr>
        <w:t>Proposal 2: all the simulation assumptions agreed for measurement predictions should be re-used for measurement event prediction.</w:t>
      </w:r>
    </w:p>
    <w:p w14:paraId="5D12F0EB" w14:textId="673B2C60" w:rsidR="00326E8B" w:rsidRPr="00326E8B" w:rsidRDefault="00654C8F" w:rsidP="00326E8B">
      <w:r>
        <w:t>Before diving into the use cases discussion, there is an observation to make – already in RAN2#127 companies began to realize that the scope of the evaluations in this study is rather large and we need to limit the evaluation effort to something reasonable (see, for example, the agreement to limit the speeds to only 30km/h for the inter frequency case). We hope this trend continues and with this in mind we propose to focus on the following use cases for the measurement event prediction case.</w:t>
      </w:r>
    </w:p>
    <w:p w14:paraId="75982598" w14:textId="0F82180A" w:rsidR="00326E8B" w:rsidRDefault="008272DD" w:rsidP="00326E8B">
      <w:r>
        <w:t xml:space="preserve">Regarding the events to evaluate, we’ve already agreed to start with A3. This event covers the most frequently used case for mobility. All the other events from the A-series are essentially the subsets of the A3 case and all the other events are not directly related to the current study to begin with. Initially, there were proposals to consider A2, for example, but that would have only made sense if the evaluation is limited to A2. Once A3 has been agreed, there is little motivation to consider other measurement events. </w:t>
      </w:r>
    </w:p>
    <w:p w14:paraId="2C26DD28" w14:textId="5FF5FCF7" w:rsidR="008272DD" w:rsidRPr="00E609FC" w:rsidRDefault="008272DD" w:rsidP="00326E8B">
      <w:pPr>
        <w:rPr>
          <w:b/>
          <w:bCs/>
        </w:rPr>
      </w:pPr>
      <w:r w:rsidRPr="00E609FC">
        <w:rPr>
          <w:b/>
          <w:bCs/>
        </w:rPr>
        <w:t xml:space="preserve">Proposal 3: only A3 is evaluated. </w:t>
      </w:r>
    </w:p>
    <w:p w14:paraId="5B79097C" w14:textId="070CC4EF" w:rsidR="008272DD" w:rsidRDefault="008272DD" w:rsidP="00326E8B">
      <w:r>
        <w:lastRenderedPageBreak/>
        <w:t xml:space="preserve">Naturally, we need to consider both intra-frequency and inter-frequency cases, not only because both are used in practical deployment but mainly because the AI/ML models would be different for those. </w:t>
      </w:r>
    </w:p>
    <w:p w14:paraId="6218677C" w14:textId="6CE6E379" w:rsidR="008272DD" w:rsidRPr="00E609FC" w:rsidRDefault="008272DD" w:rsidP="00326E8B">
      <w:pPr>
        <w:rPr>
          <w:b/>
          <w:bCs/>
        </w:rPr>
      </w:pPr>
      <w:r w:rsidRPr="00E609FC">
        <w:rPr>
          <w:b/>
          <w:bCs/>
        </w:rPr>
        <w:t xml:space="preserve">Proposal 4: consider both intra-frequency and inter-frequency. </w:t>
      </w:r>
    </w:p>
    <w:p w14:paraId="66FD3AB2" w14:textId="142A147C" w:rsidR="008272DD" w:rsidRDefault="008272DD" w:rsidP="00326E8B">
      <w:r>
        <w:t>Then with regards to FR1 and FR2, once again our preference is to focus on FR1 as this is what’s commonly used in practice and if this study is to have any practical impact beyond an academic exercise, FR1 must be considered. We do acknowledge that there is a lot of [academic] interest from many companies in RAN2 to also study FR2 and therefore we accept to cover FR2 as well, with lower priority (if prioritization is needed).</w:t>
      </w:r>
    </w:p>
    <w:p w14:paraId="6F31DD5D" w14:textId="292765E3" w:rsidR="008272DD" w:rsidRPr="00E609FC" w:rsidRDefault="008272DD" w:rsidP="00326E8B">
      <w:pPr>
        <w:rPr>
          <w:b/>
          <w:bCs/>
        </w:rPr>
      </w:pPr>
      <w:r w:rsidRPr="00E609FC">
        <w:rPr>
          <w:b/>
          <w:bCs/>
        </w:rPr>
        <w:t xml:space="preserve">Proposal 5: focus on FR1, can consider FR2 with lower priority. </w:t>
      </w:r>
    </w:p>
    <w:p w14:paraId="2E2E308E" w14:textId="4C9A286A" w:rsidR="008272DD" w:rsidRDefault="008272DD" w:rsidP="00326E8B">
      <w:r>
        <w:t>In summary, we came up with 4 cases listed in the table below:</w:t>
      </w:r>
    </w:p>
    <w:tbl>
      <w:tblPr>
        <w:tblStyle w:val="TableGrid"/>
        <w:tblW w:w="0" w:type="auto"/>
        <w:tblLook w:val="04A0" w:firstRow="1" w:lastRow="0" w:firstColumn="1" w:lastColumn="0" w:noHBand="0" w:noVBand="1"/>
      </w:tblPr>
      <w:tblGrid>
        <w:gridCol w:w="2461"/>
        <w:gridCol w:w="2520"/>
        <w:gridCol w:w="2378"/>
        <w:gridCol w:w="2272"/>
      </w:tblGrid>
      <w:tr w:rsidR="008272DD" w14:paraId="22C3B14F" w14:textId="58526BFD" w:rsidTr="008272DD">
        <w:tc>
          <w:tcPr>
            <w:tcW w:w="2461" w:type="dxa"/>
          </w:tcPr>
          <w:p w14:paraId="099A7AC3" w14:textId="55B04A1A" w:rsidR="008272DD" w:rsidRDefault="008272DD" w:rsidP="00326E8B">
            <w:r>
              <w:t>Case number</w:t>
            </w:r>
          </w:p>
        </w:tc>
        <w:tc>
          <w:tcPr>
            <w:tcW w:w="2520" w:type="dxa"/>
          </w:tcPr>
          <w:p w14:paraId="06644EE1" w14:textId="1896CB07" w:rsidR="008272DD" w:rsidRDefault="008272DD" w:rsidP="00326E8B">
            <w:r>
              <w:t xml:space="preserve">Inter vs intra frequency </w:t>
            </w:r>
          </w:p>
        </w:tc>
        <w:tc>
          <w:tcPr>
            <w:tcW w:w="2378" w:type="dxa"/>
          </w:tcPr>
          <w:p w14:paraId="5132BE84" w14:textId="36A9924B" w:rsidR="008272DD" w:rsidRDefault="008272DD" w:rsidP="00326E8B">
            <w:r>
              <w:t>FR1 vs FR2</w:t>
            </w:r>
          </w:p>
        </w:tc>
        <w:tc>
          <w:tcPr>
            <w:tcW w:w="2272" w:type="dxa"/>
          </w:tcPr>
          <w:p w14:paraId="6D059BA1" w14:textId="3DBD6AB4" w:rsidR="008272DD" w:rsidRDefault="008272DD" w:rsidP="00326E8B">
            <w:r>
              <w:t>Priority</w:t>
            </w:r>
          </w:p>
        </w:tc>
      </w:tr>
      <w:tr w:rsidR="008272DD" w14:paraId="6B3DD05D" w14:textId="0B305DB6" w:rsidTr="008272DD">
        <w:tc>
          <w:tcPr>
            <w:tcW w:w="2461" w:type="dxa"/>
          </w:tcPr>
          <w:p w14:paraId="4875F7FE" w14:textId="5880A646" w:rsidR="008272DD" w:rsidRDefault="008272DD" w:rsidP="00326E8B">
            <w:r>
              <w:t>1</w:t>
            </w:r>
          </w:p>
        </w:tc>
        <w:tc>
          <w:tcPr>
            <w:tcW w:w="2520" w:type="dxa"/>
          </w:tcPr>
          <w:p w14:paraId="70B7B25F" w14:textId="1F46FE16" w:rsidR="008272DD" w:rsidRDefault="008272DD" w:rsidP="00326E8B">
            <w:r>
              <w:t xml:space="preserve">Intra-frequency </w:t>
            </w:r>
          </w:p>
        </w:tc>
        <w:tc>
          <w:tcPr>
            <w:tcW w:w="2378" w:type="dxa"/>
          </w:tcPr>
          <w:p w14:paraId="5242E451" w14:textId="1AD5805E" w:rsidR="008272DD" w:rsidRDefault="008272DD" w:rsidP="00326E8B">
            <w:r>
              <w:t>FR1</w:t>
            </w:r>
          </w:p>
        </w:tc>
        <w:tc>
          <w:tcPr>
            <w:tcW w:w="2272" w:type="dxa"/>
          </w:tcPr>
          <w:p w14:paraId="5987CA16" w14:textId="3DB109AC" w:rsidR="008272DD" w:rsidRDefault="008272DD" w:rsidP="00326E8B">
            <w:r>
              <w:t>?</w:t>
            </w:r>
          </w:p>
        </w:tc>
      </w:tr>
      <w:tr w:rsidR="008272DD" w14:paraId="67F46AC9" w14:textId="496085F5" w:rsidTr="008272DD">
        <w:tc>
          <w:tcPr>
            <w:tcW w:w="2461" w:type="dxa"/>
          </w:tcPr>
          <w:p w14:paraId="3D6F70ED" w14:textId="5A779DC6" w:rsidR="008272DD" w:rsidRDefault="008272DD" w:rsidP="00326E8B">
            <w:r>
              <w:t>2</w:t>
            </w:r>
          </w:p>
        </w:tc>
        <w:tc>
          <w:tcPr>
            <w:tcW w:w="2520" w:type="dxa"/>
          </w:tcPr>
          <w:p w14:paraId="774C1893" w14:textId="7B92DA7E" w:rsidR="008272DD" w:rsidRDefault="008272DD" w:rsidP="00326E8B">
            <w:r>
              <w:t xml:space="preserve">Inter-frequency </w:t>
            </w:r>
          </w:p>
        </w:tc>
        <w:tc>
          <w:tcPr>
            <w:tcW w:w="2378" w:type="dxa"/>
          </w:tcPr>
          <w:p w14:paraId="3D57AF7F" w14:textId="2A4D11D8" w:rsidR="008272DD" w:rsidRDefault="008272DD" w:rsidP="00326E8B">
            <w:r>
              <w:t>FR1</w:t>
            </w:r>
          </w:p>
        </w:tc>
        <w:tc>
          <w:tcPr>
            <w:tcW w:w="2272" w:type="dxa"/>
          </w:tcPr>
          <w:p w14:paraId="16FFEB49" w14:textId="4BCCDE21" w:rsidR="008272DD" w:rsidRDefault="008272DD" w:rsidP="00326E8B">
            <w:r>
              <w:t>?</w:t>
            </w:r>
          </w:p>
        </w:tc>
      </w:tr>
      <w:tr w:rsidR="008272DD" w14:paraId="36E52E86" w14:textId="77777777" w:rsidTr="008272DD">
        <w:tc>
          <w:tcPr>
            <w:tcW w:w="2461" w:type="dxa"/>
          </w:tcPr>
          <w:p w14:paraId="187F04D4" w14:textId="39ECA6AC" w:rsidR="008272DD" w:rsidRDefault="008272DD" w:rsidP="008272DD">
            <w:r>
              <w:t>3</w:t>
            </w:r>
          </w:p>
        </w:tc>
        <w:tc>
          <w:tcPr>
            <w:tcW w:w="2520" w:type="dxa"/>
          </w:tcPr>
          <w:p w14:paraId="5BE8EE23" w14:textId="785A8B91" w:rsidR="008272DD" w:rsidRDefault="008272DD" w:rsidP="008272DD">
            <w:r>
              <w:t xml:space="preserve">Intra-frequency </w:t>
            </w:r>
          </w:p>
        </w:tc>
        <w:tc>
          <w:tcPr>
            <w:tcW w:w="2378" w:type="dxa"/>
          </w:tcPr>
          <w:p w14:paraId="1204AC9A" w14:textId="6896531D" w:rsidR="008272DD" w:rsidRDefault="008272DD" w:rsidP="008272DD">
            <w:r>
              <w:t>FR2</w:t>
            </w:r>
          </w:p>
        </w:tc>
        <w:tc>
          <w:tcPr>
            <w:tcW w:w="2272" w:type="dxa"/>
          </w:tcPr>
          <w:p w14:paraId="585E5B66" w14:textId="0D727F3E" w:rsidR="008272DD" w:rsidRDefault="008272DD" w:rsidP="008272DD">
            <w:r>
              <w:t>?</w:t>
            </w:r>
          </w:p>
        </w:tc>
      </w:tr>
      <w:tr w:rsidR="008272DD" w14:paraId="1A01FB02" w14:textId="77777777" w:rsidTr="008272DD">
        <w:tc>
          <w:tcPr>
            <w:tcW w:w="2461" w:type="dxa"/>
          </w:tcPr>
          <w:p w14:paraId="54DE6F17" w14:textId="46C2E3FC" w:rsidR="008272DD" w:rsidRDefault="008272DD" w:rsidP="008272DD">
            <w:r>
              <w:t>4</w:t>
            </w:r>
          </w:p>
        </w:tc>
        <w:tc>
          <w:tcPr>
            <w:tcW w:w="2520" w:type="dxa"/>
          </w:tcPr>
          <w:p w14:paraId="74589A8C" w14:textId="7C370530" w:rsidR="008272DD" w:rsidRDefault="008272DD" w:rsidP="008272DD">
            <w:r>
              <w:t xml:space="preserve">Inter-frequency </w:t>
            </w:r>
          </w:p>
        </w:tc>
        <w:tc>
          <w:tcPr>
            <w:tcW w:w="2378" w:type="dxa"/>
          </w:tcPr>
          <w:p w14:paraId="062DDADC" w14:textId="2E56F1A2" w:rsidR="008272DD" w:rsidRDefault="008272DD" w:rsidP="008272DD">
            <w:r>
              <w:t>FR2</w:t>
            </w:r>
          </w:p>
        </w:tc>
        <w:tc>
          <w:tcPr>
            <w:tcW w:w="2272" w:type="dxa"/>
          </w:tcPr>
          <w:p w14:paraId="2831CFEA" w14:textId="7C882C89" w:rsidR="008272DD" w:rsidRDefault="008272DD" w:rsidP="008272DD">
            <w:r>
              <w:t>?</w:t>
            </w:r>
          </w:p>
        </w:tc>
      </w:tr>
    </w:tbl>
    <w:p w14:paraId="036BAE5F" w14:textId="77777777" w:rsidR="008272DD" w:rsidRDefault="008272DD" w:rsidP="00326E8B"/>
    <w:p w14:paraId="6F870ADF" w14:textId="793183CD" w:rsidR="008272DD" w:rsidRDefault="008272DD" w:rsidP="00326E8B">
      <w:r>
        <w:t xml:space="preserve">If we limit the evaluation to these 4, prioritization may not be needed. If, however, prioritization is required, FR1 must be higher priority. </w:t>
      </w:r>
    </w:p>
    <w:p w14:paraId="2B6DFFED" w14:textId="2841FEA7" w:rsidR="00801997" w:rsidRDefault="00801997" w:rsidP="00326E8B">
      <w:r>
        <w:t xml:space="preserve">Finally, with regards to “direct” vs. “indirect”, considering a very similar discussion we had at RAN2#127 on a related topic for RLF prediction, we suggest allowing companies to </w:t>
      </w:r>
      <w:r w:rsidR="00E609FC">
        <w:t>choose</w:t>
      </w:r>
      <w:r>
        <w:t xml:space="preserve"> whatever approach they prefer and of course report which approach has been used. No need to repeat this discussion which leads nowhere. </w:t>
      </w:r>
    </w:p>
    <w:p w14:paraId="3831192D" w14:textId="3B10DDDE" w:rsidR="00801997" w:rsidRPr="00E609FC" w:rsidRDefault="00801997" w:rsidP="00326E8B">
      <w:pPr>
        <w:rPr>
          <w:b/>
          <w:bCs/>
        </w:rPr>
      </w:pPr>
      <w:r w:rsidRPr="00E609FC">
        <w:rPr>
          <w:b/>
          <w:bCs/>
        </w:rPr>
        <w:t xml:space="preserve">Proposal 6: companies can </w:t>
      </w:r>
      <w:r w:rsidR="00F93150" w:rsidRPr="00E609FC">
        <w:rPr>
          <w:b/>
          <w:bCs/>
        </w:rPr>
        <w:t>choose</w:t>
      </w:r>
      <w:r w:rsidRPr="00E609FC">
        <w:rPr>
          <w:b/>
          <w:bCs/>
        </w:rPr>
        <w:t xml:space="preserve"> whether to do “direct” or “indirect” prediction and report which approach has been used. No need to discuss this issue </w:t>
      </w:r>
      <w:r w:rsidR="00E609FC" w:rsidRPr="00E609FC">
        <w:rPr>
          <w:b/>
          <w:bCs/>
        </w:rPr>
        <w:t>any longer</w:t>
      </w:r>
      <w:r w:rsidRPr="00E609FC">
        <w:rPr>
          <w:b/>
          <w:bCs/>
        </w:rPr>
        <w:t>.</w:t>
      </w:r>
    </w:p>
    <w:p w14:paraId="3507CC1D" w14:textId="6041E57E" w:rsidR="00905EC8" w:rsidRDefault="00905EC8" w:rsidP="00113B6F">
      <w:pPr>
        <w:pStyle w:val="Heading3"/>
      </w:pPr>
      <w:r>
        <w:t>2.</w:t>
      </w:r>
      <w:r w:rsidR="007B67E0">
        <w:t>3</w:t>
      </w:r>
      <w:r>
        <w:t xml:space="preserve"> </w:t>
      </w:r>
      <w:r>
        <w:tab/>
        <w:t>RRC configuration parameters</w:t>
      </w:r>
    </w:p>
    <w:p w14:paraId="2B65583E" w14:textId="1A35B654" w:rsidR="00820605" w:rsidRDefault="00820605" w:rsidP="00113B6F">
      <w:r>
        <w:t>RRC parameters agreed for measurement prediction naturally apply to the case of event prediction as well. Therefore, in this section we only describe the RRC parameters of relevance specific to measurement event configuration.</w:t>
      </w:r>
    </w:p>
    <w:p w14:paraId="566CE93E" w14:textId="77777777" w:rsidR="00F507C1" w:rsidRDefault="001D56C9" w:rsidP="00113B6F">
      <w:r>
        <w:t>Obviously, we need to align on all the parameters that go into the A3-</w:t>
      </w:r>
      <w:proofErr w:type="gramStart"/>
      <w:r>
        <w:t>1</w:t>
      </w:r>
      <w:proofErr w:type="gramEnd"/>
      <w:r>
        <w:t xml:space="preserve"> and A3-2 inequality calculations defined in TS 38.331 clause 5.5.4.4, which are listed below. </w:t>
      </w:r>
    </w:p>
    <w:p w14:paraId="7FAC79E0" w14:textId="77777777" w:rsidR="00F507C1" w:rsidRPr="002D3917" w:rsidRDefault="00F507C1" w:rsidP="00F507C1">
      <w:pPr>
        <w:pStyle w:val="B1"/>
        <w:numPr>
          <w:ilvl w:val="0"/>
          <w:numId w:val="78"/>
        </w:numPr>
      </w:pPr>
      <w:proofErr w:type="spellStart"/>
      <w:r w:rsidRPr="002D3917">
        <w:rPr>
          <w:b/>
          <w:i/>
        </w:rPr>
        <w:t>Ofn</w:t>
      </w:r>
      <w:proofErr w:type="spellEnd"/>
      <w:r w:rsidRPr="002D3917">
        <w:rPr>
          <w:b/>
          <w:i/>
        </w:rPr>
        <w:t xml:space="preserve"> </w:t>
      </w:r>
      <w:r w:rsidRPr="002D3917">
        <w:t xml:space="preserve">is the measurement object specific offset of the reference signal of the neighbour cell (i.e. </w:t>
      </w:r>
      <w:proofErr w:type="spellStart"/>
      <w:r w:rsidRPr="002D3917">
        <w:rPr>
          <w:i/>
        </w:rPr>
        <w:t>offsetMO</w:t>
      </w:r>
      <w:proofErr w:type="spellEnd"/>
      <w:r w:rsidRPr="002D3917">
        <w:t xml:space="preserve"> as defined within </w:t>
      </w:r>
      <w:proofErr w:type="spellStart"/>
      <w:r w:rsidRPr="002D3917">
        <w:rPr>
          <w:i/>
        </w:rPr>
        <w:t>measObjectNR</w:t>
      </w:r>
      <w:proofErr w:type="spellEnd"/>
      <w:r w:rsidRPr="002D3917">
        <w:t xml:space="preserve"> corresponding to the neighbour cell).</w:t>
      </w:r>
    </w:p>
    <w:p w14:paraId="16CC85FB" w14:textId="77777777" w:rsidR="00F507C1" w:rsidRPr="002D3917" w:rsidRDefault="00F507C1" w:rsidP="00F507C1">
      <w:pPr>
        <w:pStyle w:val="B1"/>
        <w:numPr>
          <w:ilvl w:val="0"/>
          <w:numId w:val="78"/>
        </w:numPr>
      </w:pPr>
      <w:proofErr w:type="spellStart"/>
      <w:r w:rsidRPr="002D3917">
        <w:rPr>
          <w:b/>
          <w:i/>
        </w:rPr>
        <w:t>Ocn</w:t>
      </w:r>
      <w:proofErr w:type="spellEnd"/>
      <w:r w:rsidRPr="002D3917">
        <w:rPr>
          <w:b/>
          <w:i/>
        </w:rPr>
        <w:t xml:space="preserve"> </w:t>
      </w:r>
      <w:r w:rsidRPr="002D3917">
        <w:t xml:space="preserve">is the cell specific offset of the neighbour cell (i.e. </w:t>
      </w:r>
      <w:proofErr w:type="spellStart"/>
      <w:r w:rsidRPr="002D3917">
        <w:rPr>
          <w:i/>
        </w:rPr>
        <w:t>cellIndividualOffset</w:t>
      </w:r>
      <w:proofErr w:type="spellEnd"/>
      <w:r w:rsidRPr="002D3917">
        <w:t xml:space="preserve"> as defined within </w:t>
      </w:r>
      <w:proofErr w:type="spellStart"/>
      <w:r w:rsidRPr="002D3917">
        <w:rPr>
          <w:i/>
        </w:rPr>
        <w:t>measObjectNR</w:t>
      </w:r>
      <w:proofErr w:type="spellEnd"/>
      <w:r w:rsidRPr="002D3917">
        <w:t xml:space="preserve"> corresponding to the frequency of the neighbour cell, or </w:t>
      </w:r>
      <w:proofErr w:type="spellStart"/>
      <w:r w:rsidRPr="002D3917">
        <w:rPr>
          <w:i/>
        </w:rPr>
        <w:t>cellIndividualOffset</w:t>
      </w:r>
      <w:proofErr w:type="spellEnd"/>
      <w:r w:rsidRPr="002D3917">
        <w:t xml:space="preserve"> as defined within </w:t>
      </w:r>
      <w:proofErr w:type="spellStart"/>
      <w:r w:rsidRPr="002D3917">
        <w:rPr>
          <w:i/>
        </w:rPr>
        <w:t>reportConfigNR</w:t>
      </w:r>
      <w:proofErr w:type="spellEnd"/>
      <w:r w:rsidRPr="002D3917">
        <w:t>), and set to zero if not configured for the neighbour cell.</w:t>
      </w:r>
    </w:p>
    <w:p w14:paraId="16010BD3" w14:textId="77777777" w:rsidR="00F507C1" w:rsidRPr="002D3917" w:rsidRDefault="00F507C1" w:rsidP="00F507C1">
      <w:pPr>
        <w:pStyle w:val="B1"/>
        <w:numPr>
          <w:ilvl w:val="0"/>
          <w:numId w:val="78"/>
        </w:numPr>
      </w:pPr>
      <w:proofErr w:type="spellStart"/>
      <w:r w:rsidRPr="002D3917">
        <w:rPr>
          <w:b/>
          <w:i/>
        </w:rPr>
        <w:t>Ofp</w:t>
      </w:r>
      <w:proofErr w:type="spellEnd"/>
      <w:r w:rsidRPr="002D3917">
        <w:rPr>
          <w:b/>
          <w:i/>
        </w:rPr>
        <w:t xml:space="preserve"> </w:t>
      </w:r>
      <w:r w:rsidRPr="002D3917">
        <w:t xml:space="preserve">is the measurement object specific offset of the </w:t>
      </w:r>
      <w:proofErr w:type="spellStart"/>
      <w:r w:rsidRPr="002D3917">
        <w:t>SpCell</w:t>
      </w:r>
      <w:proofErr w:type="spellEnd"/>
      <w:r w:rsidRPr="002D3917">
        <w:t xml:space="preserve"> (i.e. </w:t>
      </w:r>
      <w:proofErr w:type="spellStart"/>
      <w:r w:rsidRPr="002D3917">
        <w:rPr>
          <w:i/>
        </w:rPr>
        <w:t>offsetMO</w:t>
      </w:r>
      <w:proofErr w:type="spellEnd"/>
      <w:r w:rsidRPr="002D3917">
        <w:t xml:space="preserve"> as defined within </w:t>
      </w:r>
      <w:proofErr w:type="spellStart"/>
      <w:r w:rsidRPr="002D3917">
        <w:rPr>
          <w:i/>
        </w:rPr>
        <w:t>measObjectNR</w:t>
      </w:r>
      <w:proofErr w:type="spellEnd"/>
      <w:r w:rsidRPr="002D3917">
        <w:rPr>
          <w:i/>
        </w:rPr>
        <w:t xml:space="preserve"> </w:t>
      </w:r>
      <w:r w:rsidRPr="002D3917">
        <w:t xml:space="preserve">corresponding to the </w:t>
      </w:r>
      <w:proofErr w:type="spellStart"/>
      <w:r w:rsidRPr="002D3917">
        <w:t>SpCell</w:t>
      </w:r>
      <w:proofErr w:type="spellEnd"/>
      <w:r w:rsidRPr="002D3917">
        <w:t>).</w:t>
      </w:r>
    </w:p>
    <w:p w14:paraId="412F64C2" w14:textId="77777777" w:rsidR="00F507C1" w:rsidRPr="002D3917" w:rsidRDefault="00F507C1" w:rsidP="00F507C1">
      <w:pPr>
        <w:pStyle w:val="B1"/>
        <w:numPr>
          <w:ilvl w:val="0"/>
          <w:numId w:val="78"/>
        </w:numPr>
      </w:pPr>
      <w:proofErr w:type="spellStart"/>
      <w:r w:rsidRPr="002D3917">
        <w:rPr>
          <w:b/>
          <w:i/>
        </w:rPr>
        <w:t>Ocp</w:t>
      </w:r>
      <w:proofErr w:type="spellEnd"/>
      <w:r w:rsidRPr="002D3917">
        <w:rPr>
          <w:b/>
          <w:i/>
        </w:rPr>
        <w:t xml:space="preserve"> </w:t>
      </w:r>
      <w:r w:rsidRPr="002D3917">
        <w:t xml:space="preserve">is the cell specific offset of the </w:t>
      </w:r>
      <w:proofErr w:type="spellStart"/>
      <w:r w:rsidRPr="002D3917">
        <w:t>SpCell</w:t>
      </w:r>
      <w:proofErr w:type="spellEnd"/>
      <w:r w:rsidRPr="002D3917">
        <w:t xml:space="preserve"> (i.e. </w:t>
      </w:r>
      <w:proofErr w:type="spellStart"/>
      <w:r w:rsidRPr="002D3917">
        <w:rPr>
          <w:i/>
        </w:rPr>
        <w:t>cellIndividualOffset</w:t>
      </w:r>
      <w:proofErr w:type="spellEnd"/>
      <w:r w:rsidRPr="002D3917">
        <w:t xml:space="preserve"> as defined within </w:t>
      </w:r>
      <w:proofErr w:type="spellStart"/>
      <w:r w:rsidRPr="002D3917">
        <w:rPr>
          <w:i/>
        </w:rPr>
        <w:t>measObjectNR</w:t>
      </w:r>
      <w:proofErr w:type="spellEnd"/>
      <w:r w:rsidRPr="002D3917">
        <w:t xml:space="preserve"> corresponding to the </w:t>
      </w:r>
      <w:proofErr w:type="spellStart"/>
      <w:r w:rsidRPr="002D3917">
        <w:t>SpCell</w:t>
      </w:r>
      <w:proofErr w:type="spellEnd"/>
      <w:proofErr w:type="gramStart"/>
      <w:r w:rsidRPr="002D3917">
        <w:t>), and</w:t>
      </w:r>
      <w:proofErr w:type="gramEnd"/>
      <w:r w:rsidRPr="002D3917">
        <w:t xml:space="preserve"> is set to zero if not configured for the </w:t>
      </w:r>
      <w:proofErr w:type="spellStart"/>
      <w:r w:rsidRPr="002D3917">
        <w:t>SpCell</w:t>
      </w:r>
      <w:proofErr w:type="spellEnd"/>
      <w:r w:rsidRPr="002D3917">
        <w:t>.</w:t>
      </w:r>
    </w:p>
    <w:p w14:paraId="52394EC7" w14:textId="77777777" w:rsidR="00F507C1" w:rsidRPr="002D3917" w:rsidRDefault="00F507C1" w:rsidP="00F507C1">
      <w:pPr>
        <w:pStyle w:val="B1"/>
        <w:numPr>
          <w:ilvl w:val="0"/>
          <w:numId w:val="78"/>
        </w:numPr>
      </w:pPr>
      <w:proofErr w:type="spellStart"/>
      <w:r w:rsidRPr="002D3917">
        <w:rPr>
          <w:b/>
          <w:i/>
        </w:rPr>
        <w:t>Hys</w:t>
      </w:r>
      <w:proofErr w:type="spellEnd"/>
      <w:r w:rsidRPr="002D3917">
        <w:t xml:space="preserve"> is the hysteresis parameter for this event (i.e. </w:t>
      </w:r>
      <w:r w:rsidRPr="002D3917">
        <w:rPr>
          <w:i/>
        </w:rPr>
        <w:t>hysteresis</w:t>
      </w:r>
      <w:r w:rsidRPr="002D3917">
        <w:t xml:space="preserve"> as defined within </w:t>
      </w:r>
      <w:proofErr w:type="spellStart"/>
      <w:r w:rsidRPr="002D3917">
        <w:rPr>
          <w:i/>
        </w:rPr>
        <w:t>reportConfigNR</w:t>
      </w:r>
      <w:proofErr w:type="spellEnd"/>
      <w:r w:rsidRPr="002D3917">
        <w:rPr>
          <w:i/>
        </w:rPr>
        <w:t xml:space="preserve"> </w:t>
      </w:r>
      <w:r w:rsidRPr="002D3917">
        <w:t>for this event).</w:t>
      </w:r>
    </w:p>
    <w:p w14:paraId="4ECB11DD" w14:textId="34D6702A" w:rsidR="00F507C1" w:rsidRDefault="00F507C1" w:rsidP="00F507C1">
      <w:pPr>
        <w:pStyle w:val="B1"/>
        <w:numPr>
          <w:ilvl w:val="0"/>
          <w:numId w:val="78"/>
        </w:numPr>
      </w:pPr>
      <w:r w:rsidRPr="002D3917">
        <w:rPr>
          <w:b/>
          <w:i/>
        </w:rPr>
        <w:t>Off</w:t>
      </w:r>
      <w:r w:rsidRPr="002D3917">
        <w:t xml:space="preserve"> is the offset parameter for this event (i.e. </w:t>
      </w:r>
      <w:r w:rsidRPr="002D3917">
        <w:rPr>
          <w:i/>
        </w:rPr>
        <w:t xml:space="preserve">a3-Offset </w:t>
      </w:r>
      <w:r w:rsidRPr="002D3917">
        <w:t xml:space="preserve">as defined within </w:t>
      </w:r>
      <w:proofErr w:type="spellStart"/>
      <w:r w:rsidRPr="002D3917">
        <w:rPr>
          <w:i/>
        </w:rPr>
        <w:t>reportConfigNR</w:t>
      </w:r>
      <w:proofErr w:type="spellEnd"/>
      <w:r w:rsidRPr="002D3917">
        <w:rPr>
          <w:i/>
        </w:rPr>
        <w:t xml:space="preserve"> </w:t>
      </w:r>
      <w:r w:rsidRPr="002D3917">
        <w:t>for this event).</w:t>
      </w:r>
    </w:p>
    <w:p w14:paraId="639BBE7F" w14:textId="71AC6FEE" w:rsidR="00801997" w:rsidRDefault="00801997" w:rsidP="00113B6F">
      <w:r>
        <w:t xml:space="preserve">Here we note that while cell-specific and measurement object-specific </w:t>
      </w:r>
      <w:proofErr w:type="spellStart"/>
      <w:r>
        <w:t>offets</w:t>
      </w:r>
      <w:proofErr w:type="spellEnd"/>
      <w:r>
        <w:t xml:space="preserve"> are a very useful tool for allowing flexibility in deployments, it is hardly needed in simulations. Furthermore, there is no way to </w:t>
      </w:r>
      <w:proofErr w:type="spellStart"/>
      <w:r>
        <w:t>agreed</w:t>
      </w:r>
      <w:proofErr w:type="spellEnd"/>
      <w:r>
        <w:t xml:space="preserve"> on specific values for each cell and the best we can do is to agree on a distribution of such offsets, which would only complicate the evaluation. Therefore, our proposal is not to consider cell-specific and measurement object-specific </w:t>
      </w:r>
      <w:proofErr w:type="spellStart"/>
      <w:r>
        <w:t>offets</w:t>
      </w:r>
      <w:proofErr w:type="spellEnd"/>
      <w:r>
        <w:t>.</w:t>
      </w:r>
    </w:p>
    <w:p w14:paraId="3EB7C6DD" w14:textId="1C863493" w:rsidR="00801997" w:rsidRPr="00E609FC" w:rsidRDefault="00801997" w:rsidP="00113B6F">
      <w:pPr>
        <w:rPr>
          <w:b/>
          <w:bCs/>
        </w:rPr>
      </w:pPr>
      <w:r w:rsidRPr="00E609FC">
        <w:rPr>
          <w:b/>
          <w:bCs/>
        </w:rPr>
        <w:lastRenderedPageBreak/>
        <w:t xml:space="preserve">Proposal 7: no need to consider cell-specific offsets (i.e. </w:t>
      </w:r>
      <w:proofErr w:type="spellStart"/>
      <w:r w:rsidRPr="00E609FC">
        <w:rPr>
          <w:b/>
          <w:bCs/>
          <w:i/>
        </w:rPr>
        <w:t>Ocn</w:t>
      </w:r>
      <w:proofErr w:type="spellEnd"/>
      <w:r w:rsidRPr="00E609FC">
        <w:rPr>
          <w:b/>
          <w:bCs/>
          <w:i/>
        </w:rPr>
        <w:t xml:space="preserve"> </w:t>
      </w:r>
      <w:r w:rsidRPr="00E609FC">
        <w:rPr>
          <w:b/>
          <w:bCs/>
        </w:rPr>
        <w:t xml:space="preserve">and </w:t>
      </w:r>
      <w:proofErr w:type="spellStart"/>
      <w:r w:rsidRPr="00E609FC">
        <w:rPr>
          <w:b/>
          <w:bCs/>
          <w:i/>
        </w:rPr>
        <w:t>Ocp</w:t>
      </w:r>
      <w:proofErr w:type="spellEnd"/>
      <w:r w:rsidRPr="00E609FC">
        <w:rPr>
          <w:b/>
          <w:bCs/>
        </w:rPr>
        <w:t xml:space="preserve">) and measurement object-specific offsets (i.e. </w:t>
      </w:r>
      <w:proofErr w:type="spellStart"/>
      <w:r w:rsidRPr="00E609FC">
        <w:rPr>
          <w:b/>
          <w:bCs/>
          <w:i/>
        </w:rPr>
        <w:t>Ofn</w:t>
      </w:r>
      <w:proofErr w:type="spellEnd"/>
      <w:r w:rsidRPr="00E609FC">
        <w:rPr>
          <w:b/>
          <w:bCs/>
        </w:rPr>
        <w:t xml:space="preserve"> and </w:t>
      </w:r>
      <w:proofErr w:type="spellStart"/>
      <w:r w:rsidRPr="00E609FC">
        <w:rPr>
          <w:b/>
          <w:bCs/>
          <w:i/>
        </w:rPr>
        <w:t>Ofp</w:t>
      </w:r>
      <w:proofErr w:type="spellEnd"/>
      <w:r w:rsidRPr="00E609FC">
        <w:rPr>
          <w:b/>
          <w:bCs/>
        </w:rPr>
        <w:t>).</w:t>
      </w:r>
    </w:p>
    <w:p w14:paraId="3B351C43" w14:textId="21225F89" w:rsidR="00820605" w:rsidRDefault="001D56C9" w:rsidP="00113B6F">
      <w:r>
        <w:t xml:space="preserve">We don’t have a strong preference for specific values, the values provided below are just suggestions and we are open to discuss any values within reasonable limits of what is normally used in deployments. </w:t>
      </w:r>
    </w:p>
    <w:tbl>
      <w:tblPr>
        <w:tblStyle w:val="TableGrid"/>
        <w:tblW w:w="0" w:type="auto"/>
        <w:tblLook w:val="04A0" w:firstRow="1" w:lastRow="0" w:firstColumn="1" w:lastColumn="0" w:noHBand="0" w:noVBand="1"/>
      </w:tblPr>
      <w:tblGrid>
        <w:gridCol w:w="3210"/>
        <w:gridCol w:w="3210"/>
      </w:tblGrid>
      <w:tr w:rsidR="00B8506D" w14:paraId="7085601E" w14:textId="77777777" w:rsidTr="001D56C9">
        <w:tc>
          <w:tcPr>
            <w:tcW w:w="3210" w:type="dxa"/>
          </w:tcPr>
          <w:p w14:paraId="5AD096D5" w14:textId="3931E4F6" w:rsidR="00B8506D" w:rsidRDefault="00B8506D" w:rsidP="00113B6F">
            <w:r>
              <w:t>Parameter</w:t>
            </w:r>
          </w:p>
        </w:tc>
        <w:tc>
          <w:tcPr>
            <w:tcW w:w="3210" w:type="dxa"/>
          </w:tcPr>
          <w:p w14:paraId="0F375D12" w14:textId="2398A5A1" w:rsidR="00B8506D" w:rsidRDefault="00B8506D" w:rsidP="00113B6F">
            <w:r>
              <w:t xml:space="preserve">Value </w:t>
            </w:r>
          </w:p>
        </w:tc>
      </w:tr>
      <w:tr w:rsidR="00B8506D" w14:paraId="682B77E4" w14:textId="77777777" w:rsidTr="001D56C9">
        <w:tc>
          <w:tcPr>
            <w:tcW w:w="3210" w:type="dxa"/>
          </w:tcPr>
          <w:p w14:paraId="47C561A6" w14:textId="14C5607E" w:rsidR="00B8506D" w:rsidRDefault="00B8506D" w:rsidP="00113B6F">
            <w:r w:rsidRPr="002D3917">
              <w:rPr>
                <w:i/>
              </w:rPr>
              <w:t>hysteresis</w:t>
            </w:r>
          </w:p>
        </w:tc>
        <w:tc>
          <w:tcPr>
            <w:tcW w:w="3210" w:type="dxa"/>
          </w:tcPr>
          <w:p w14:paraId="7A3FF5CB" w14:textId="15BF64C4" w:rsidR="00B8506D" w:rsidRDefault="00F93150" w:rsidP="00113B6F">
            <w:r>
              <w:t>2 or 3</w:t>
            </w:r>
          </w:p>
        </w:tc>
      </w:tr>
      <w:tr w:rsidR="00B8506D" w14:paraId="0E14B484" w14:textId="77777777" w:rsidTr="001D56C9">
        <w:tc>
          <w:tcPr>
            <w:tcW w:w="3210" w:type="dxa"/>
          </w:tcPr>
          <w:p w14:paraId="66A353AC" w14:textId="0521588F" w:rsidR="00B8506D" w:rsidRDefault="00B8506D" w:rsidP="00113B6F">
            <w:r w:rsidRPr="002D3917">
              <w:rPr>
                <w:i/>
              </w:rPr>
              <w:t>a3-Offset</w:t>
            </w:r>
          </w:p>
        </w:tc>
        <w:tc>
          <w:tcPr>
            <w:tcW w:w="3210" w:type="dxa"/>
          </w:tcPr>
          <w:p w14:paraId="22CDE945" w14:textId="5D7FE994" w:rsidR="00B8506D" w:rsidRDefault="00F93150" w:rsidP="00113B6F">
            <w:r>
              <w:t>2 or 3</w:t>
            </w:r>
          </w:p>
        </w:tc>
      </w:tr>
      <w:tr w:rsidR="00B8506D" w14:paraId="41B5F565" w14:textId="77777777" w:rsidTr="001D56C9">
        <w:tc>
          <w:tcPr>
            <w:tcW w:w="3210" w:type="dxa"/>
          </w:tcPr>
          <w:p w14:paraId="4B5DE413" w14:textId="365CD89B" w:rsidR="00B8506D" w:rsidRPr="00A453A3" w:rsidRDefault="00B8506D" w:rsidP="00A453A3">
            <w:proofErr w:type="spellStart"/>
            <w:r w:rsidRPr="00A453A3">
              <w:rPr>
                <w:i/>
                <w:iCs/>
                <w:lang w:val="en-US"/>
              </w:rPr>
              <w:t>timeToTrigger</w:t>
            </w:r>
            <w:proofErr w:type="spellEnd"/>
          </w:p>
        </w:tc>
        <w:tc>
          <w:tcPr>
            <w:tcW w:w="3210" w:type="dxa"/>
          </w:tcPr>
          <w:p w14:paraId="6C03889D" w14:textId="089BF4BA" w:rsidR="00B8506D" w:rsidRDefault="00F93150" w:rsidP="00113B6F">
            <w:r>
              <w:t>320</w:t>
            </w:r>
          </w:p>
        </w:tc>
      </w:tr>
    </w:tbl>
    <w:p w14:paraId="7DE50E9E" w14:textId="77777777" w:rsidR="001D56C9" w:rsidRDefault="001D56C9" w:rsidP="00113B6F"/>
    <w:p w14:paraId="49506C89" w14:textId="63FFFF8D" w:rsidR="00A453A3" w:rsidRPr="00E609FC" w:rsidRDefault="00A453A3" w:rsidP="00113B6F">
      <w:pPr>
        <w:rPr>
          <w:b/>
          <w:bCs/>
        </w:rPr>
      </w:pPr>
      <w:r w:rsidRPr="00E609FC">
        <w:rPr>
          <w:b/>
          <w:bCs/>
        </w:rPr>
        <w:t xml:space="preserve">Proposal 8: agree on values for the RRC parameters </w:t>
      </w:r>
      <w:r w:rsidR="00E609FC">
        <w:rPr>
          <w:b/>
          <w:bCs/>
        </w:rPr>
        <w:t xml:space="preserve">as follows </w:t>
      </w:r>
      <w:r w:rsidR="00F93150" w:rsidRPr="00E609FC">
        <w:rPr>
          <w:b/>
          <w:bCs/>
        </w:rPr>
        <w:t>(some deviations from the values provided can be discussed)</w:t>
      </w:r>
      <w:r w:rsidR="00E609FC" w:rsidRPr="00E609FC">
        <w:rPr>
          <w:b/>
          <w:bCs/>
        </w:rPr>
        <w:t xml:space="preserve">: </w:t>
      </w:r>
      <w:r w:rsidR="00E609FC" w:rsidRPr="00E609FC">
        <w:rPr>
          <w:b/>
          <w:bCs/>
          <w:i/>
        </w:rPr>
        <w:t xml:space="preserve">hysteresis: 2 or 3, a3-Offset: 2 or 3, </w:t>
      </w:r>
      <w:proofErr w:type="spellStart"/>
      <w:r w:rsidR="00E609FC" w:rsidRPr="00E609FC">
        <w:rPr>
          <w:b/>
          <w:bCs/>
          <w:i/>
          <w:iCs/>
          <w:lang w:val="en-US"/>
        </w:rPr>
        <w:t>timeToTrigger</w:t>
      </w:r>
      <w:proofErr w:type="spellEnd"/>
      <w:r w:rsidR="00E609FC" w:rsidRPr="00E609FC">
        <w:rPr>
          <w:b/>
          <w:bCs/>
          <w:i/>
          <w:iCs/>
          <w:lang w:val="en-US"/>
        </w:rPr>
        <w:t>: 320</w:t>
      </w:r>
      <w:r w:rsidRPr="00E609FC">
        <w:rPr>
          <w:b/>
          <w:bCs/>
        </w:rPr>
        <w:t xml:space="preserve">. </w:t>
      </w:r>
    </w:p>
    <w:p w14:paraId="3496D619" w14:textId="4043B452" w:rsidR="00801997" w:rsidRDefault="00801997" w:rsidP="00801997">
      <w:pPr>
        <w:pStyle w:val="Heading3"/>
      </w:pPr>
      <w:r>
        <w:t>2.</w:t>
      </w:r>
      <w:r w:rsidR="007B67E0">
        <w:t>4</w:t>
      </w:r>
      <w:r>
        <w:t xml:space="preserve"> </w:t>
      </w:r>
      <w:r>
        <w:tab/>
        <w:t>KPIs</w:t>
      </w:r>
    </w:p>
    <w:p w14:paraId="13FB7C3F" w14:textId="3844CFD3" w:rsidR="00E664B2" w:rsidRDefault="00E664B2" w:rsidP="000043C3">
      <w:r>
        <w:t xml:space="preserve">While prediction and observation window ranges are not of course KPIs, we need to agree on these first. As we have stated before, there is no need to limit model inputs in the study – companies should be allowed to use whatever inputs they find useful, which also applies to the observation window. Naturally, observation window length would </w:t>
      </w:r>
      <w:r w:rsidR="00C02A38">
        <w:t>impact</w:t>
      </w:r>
      <w:r>
        <w:t xml:space="preserve"> </w:t>
      </w:r>
      <w:r w:rsidR="00C02A38">
        <w:t>complexity</w:t>
      </w:r>
      <w:r>
        <w:t xml:space="preserve">, so companies would be naturally </w:t>
      </w:r>
      <w:r w:rsidR="00C02A38">
        <w:t>incentivised</w:t>
      </w:r>
      <w:r>
        <w:t xml:space="preserve"> to use the shortest window that provides adequate results. As for the prediction window, this being a study intended among other things to explore the limits of ML algorithms we suggest using a liberal prediction window length, and therefore window length(s) of at least up to 1s should be allowed. </w:t>
      </w:r>
    </w:p>
    <w:p w14:paraId="6491ABAE" w14:textId="537E34D7" w:rsidR="00E664B2" w:rsidRPr="00E609FC" w:rsidRDefault="00E664B2" w:rsidP="000043C3">
      <w:pPr>
        <w:rPr>
          <w:b/>
          <w:bCs/>
        </w:rPr>
      </w:pPr>
      <w:r w:rsidRPr="00E609FC">
        <w:rPr>
          <w:b/>
          <w:bCs/>
        </w:rPr>
        <w:t>Proposal 9: no need to limit observation window length, prediction window lengths of at least up to 1s should be allowed.</w:t>
      </w:r>
    </w:p>
    <w:p w14:paraId="75F02F3F" w14:textId="77777777" w:rsidR="00EC5B39" w:rsidRDefault="00B8506D" w:rsidP="000043C3">
      <w:r>
        <w:t xml:space="preserve">Most machine learnings output a probability estimate, i.e. in our case that would be x% </w:t>
      </w:r>
      <w:r w:rsidR="003D7B4F">
        <w:t>likelihood</w:t>
      </w:r>
      <w:r>
        <w:t xml:space="preserve"> that </w:t>
      </w:r>
      <w:r w:rsidR="00E664B2">
        <w:t xml:space="preserve">a measurement event happens within a prediction window. </w:t>
      </w:r>
    </w:p>
    <w:p w14:paraId="402EE72D" w14:textId="014C7A79" w:rsidR="00EC5B39" w:rsidRPr="00E609FC" w:rsidRDefault="00EC5B39" w:rsidP="000043C3">
      <w:pPr>
        <w:rPr>
          <w:b/>
          <w:bCs/>
        </w:rPr>
      </w:pPr>
      <w:r w:rsidRPr="00E609FC">
        <w:rPr>
          <w:b/>
          <w:bCs/>
        </w:rPr>
        <w:t xml:space="preserve">Proposal 10: model output is the likelihood that measurement event A3 happens within a prediction window. </w:t>
      </w:r>
    </w:p>
    <w:p w14:paraId="0D90ACC8" w14:textId="1A5168D1" w:rsidR="00E664B2" w:rsidRDefault="00E664B2" w:rsidP="000043C3">
      <w:proofErr w:type="gramStart"/>
      <w:r>
        <w:t>In order for</w:t>
      </w:r>
      <w:proofErr w:type="gramEnd"/>
      <w:r>
        <w:t xml:space="preserve"> this to be useful, though, a classification threshold needs to be agreed upon so that a predicted likelihood about that </w:t>
      </w:r>
      <w:r w:rsidR="003D7B4F">
        <w:t>threshold</w:t>
      </w:r>
      <w:r>
        <w:t xml:space="preserve"> would be considered an event prediction and below it would be considered no event prediction. We propose to use 95% threshold, but we are open to discuss </w:t>
      </w:r>
      <w:r w:rsidR="003D7B4F">
        <w:t>alternative</w:t>
      </w:r>
      <w:r>
        <w:t xml:space="preserve"> values. </w:t>
      </w:r>
    </w:p>
    <w:p w14:paraId="68D265F2" w14:textId="37D61F3E" w:rsidR="00E664B2" w:rsidRPr="00E609FC" w:rsidRDefault="00E664B2" w:rsidP="000043C3">
      <w:pPr>
        <w:rPr>
          <w:b/>
          <w:bCs/>
        </w:rPr>
      </w:pPr>
      <w:r w:rsidRPr="00E609FC">
        <w:rPr>
          <w:b/>
          <w:bCs/>
        </w:rPr>
        <w:t>Proposal 1</w:t>
      </w:r>
      <w:r w:rsidR="00EC5B39" w:rsidRPr="00E609FC">
        <w:rPr>
          <w:b/>
          <w:bCs/>
        </w:rPr>
        <w:t>1</w:t>
      </w:r>
      <w:r w:rsidRPr="00E609FC">
        <w:rPr>
          <w:b/>
          <w:bCs/>
        </w:rPr>
        <w:t xml:space="preserve">: 95% classification threshold should be applied to measurement event prediction accuracy estimate to decide whether an event is predicted or not. </w:t>
      </w:r>
    </w:p>
    <w:p w14:paraId="0EBEAE3E" w14:textId="0ED62F1A" w:rsidR="000043C3" w:rsidRDefault="00E664B2" w:rsidP="000043C3">
      <w:r>
        <w:t>Then, naturally, the usual p</w:t>
      </w:r>
      <w:r w:rsidRPr="00E664B2">
        <w:t xml:space="preserve">recision, </w:t>
      </w:r>
      <w:r>
        <w:t>r</w:t>
      </w:r>
      <w:r w:rsidRPr="00E664B2">
        <w:t xml:space="preserve">ecall, </w:t>
      </w:r>
      <w:r>
        <w:t xml:space="preserve">and </w:t>
      </w:r>
      <w:r w:rsidRPr="00E664B2">
        <w:t>F1-score</w:t>
      </w:r>
      <w:r>
        <w:t xml:space="preserve"> should be used.</w:t>
      </w:r>
    </w:p>
    <w:p w14:paraId="398B8E9F" w14:textId="78DCBD39" w:rsidR="001933C5" w:rsidRDefault="001933C5" w:rsidP="001933C5">
      <w:r>
        <w:t>Precision measures the proportion of true positive predictions among all positive predictions made by the model. It is calculated as the ratio of true positives to the sum of true positives and false positives.</w:t>
      </w:r>
    </w:p>
    <w:p w14:paraId="3D6DB0B1" w14:textId="39EB2C26" w:rsidR="001933C5" w:rsidRDefault="001933C5" w:rsidP="001933C5">
      <w:r>
        <w:t xml:space="preserve">Precision indicates how many of the predicted positive instances are </w:t>
      </w:r>
      <w:proofErr w:type="gramStart"/>
      <w:r>
        <w:t>actually positive</w:t>
      </w:r>
      <w:proofErr w:type="gramEnd"/>
      <w:r>
        <w:t>. A high precision indicates that the model is making few false positive predictions.</w:t>
      </w:r>
    </w:p>
    <w:p w14:paraId="7D0CA93F" w14:textId="3D824308" w:rsidR="005B5C5B" w:rsidRDefault="005B5C5B" w:rsidP="000043C3">
      <w:r>
        <w:t xml:space="preserve">Precision = </w:t>
      </w:r>
      <m:oMath>
        <m:f>
          <m:fPr>
            <m:ctrlPr>
              <w:rPr>
                <w:rFonts w:ascii="Cambria Math" w:hAnsi="Cambria Math"/>
                <w:i/>
              </w:rPr>
            </m:ctrlPr>
          </m:fPr>
          <m:num>
            <m:r>
              <w:rPr>
                <w:rFonts w:ascii="Cambria Math" w:hAnsi="Cambria Math"/>
              </w:rPr>
              <m:t>True Positives</m:t>
            </m:r>
          </m:num>
          <m:den>
            <m:r>
              <w:rPr>
                <w:rFonts w:ascii="Cambria Math" w:hAnsi="Cambria Math"/>
              </w:rPr>
              <m:t>True Positives+False Positives</m:t>
            </m:r>
          </m:den>
        </m:f>
      </m:oMath>
    </w:p>
    <w:p w14:paraId="3DAAFA9F" w14:textId="3E58617E" w:rsidR="001933C5" w:rsidRDefault="001933C5" w:rsidP="001933C5">
      <w:r>
        <w:t xml:space="preserve">Recall, sometimes referred to as </w:t>
      </w:r>
      <w:r w:rsidR="007F1067">
        <w:t>Sensitivity, measures</w:t>
      </w:r>
      <w:r>
        <w:t xml:space="preserve"> the proportion of true positive predictions among all actual positive instances in the dataset. It is calculated as the ratio of true positives to the sum of true positives and false negatives.</w:t>
      </w:r>
    </w:p>
    <w:p w14:paraId="698EAAFC" w14:textId="635D7E66" w:rsidR="001933C5" w:rsidRDefault="001933C5" w:rsidP="001933C5">
      <w:r>
        <w:t xml:space="preserve">Recall indicates how many of the actual positive instances the model </w:t>
      </w:r>
      <w:proofErr w:type="gramStart"/>
      <w:r>
        <w:t>is able to</w:t>
      </w:r>
      <w:proofErr w:type="gramEnd"/>
      <w:r>
        <w:t xml:space="preserve"> correctly identify. A high recall indicates that the model is capturing most of the positive instances in the dataset.</w:t>
      </w:r>
    </w:p>
    <w:p w14:paraId="5807C997" w14:textId="3249BD50" w:rsidR="005B5C5B" w:rsidRDefault="005B5C5B" w:rsidP="005B5C5B">
      <w:r>
        <w:t xml:space="preserve">Recall = </w:t>
      </w:r>
      <m:oMath>
        <m:f>
          <m:fPr>
            <m:ctrlPr>
              <w:rPr>
                <w:rFonts w:ascii="Cambria Math" w:hAnsi="Cambria Math"/>
                <w:i/>
              </w:rPr>
            </m:ctrlPr>
          </m:fPr>
          <m:num>
            <m:r>
              <w:rPr>
                <w:rFonts w:ascii="Cambria Math" w:hAnsi="Cambria Math"/>
              </w:rPr>
              <m:t>True Positives</m:t>
            </m:r>
          </m:num>
          <m:den>
            <m:r>
              <w:rPr>
                <w:rFonts w:ascii="Cambria Math" w:hAnsi="Cambria Math"/>
              </w:rPr>
              <m:t>True Positives+False Negatives</m:t>
            </m:r>
          </m:den>
        </m:f>
      </m:oMath>
    </w:p>
    <w:p w14:paraId="438EA154" w14:textId="190BC67D" w:rsidR="001933C5" w:rsidRDefault="001933C5" w:rsidP="001933C5">
      <w:r>
        <w:t>F1-score is the harmonic mean of precision and recall. It provides a single metric that combines both precision and recall, balancing the trade-off between the two. It is calculated as:</w:t>
      </w:r>
    </w:p>
    <w:p w14:paraId="5502FB56" w14:textId="51CFF273" w:rsidR="001933C5" w:rsidRDefault="001933C5" w:rsidP="001933C5">
      <w:r>
        <w:lastRenderedPageBreak/>
        <w:t>F1-score considers both false positives and false negatives, making it a useful metric for imbalanced datasets where precision and recall may be skewed.</w:t>
      </w:r>
    </w:p>
    <w:p w14:paraId="0EC0C090" w14:textId="2CEF4990" w:rsidR="005B5C5B" w:rsidRPr="005B5C5B" w:rsidRDefault="005B5C5B" w:rsidP="001933C5">
      <w:r>
        <w:t>F1-score=</w:t>
      </w:r>
      <m:oMath>
        <m:f>
          <m:fPr>
            <m:ctrlPr>
              <w:rPr>
                <w:rFonts w:ascii="Cambria Math" w:hAnsi="Cambria Math"/>
                <w:i/>
              </w:rPr>
            </m:ctrlPr>
          </m:fPr>
          <m:num>
            <m:r>
              <w:rPr>
                <w:rFonts w:ascii="Cambria Math" w:hAnsi="Cambria Math"/>
              </w:rPr>
              <m:t>2*Precision*Recall</m:t>
            </m:r>
          </m:num>
          <m:den>
            <m:r>
              <w:rPr>
                <w:rFonts w:ascii="Cambria Math" w:hAnsi="Cambria Math"/>
              </w:rPr>
              <m:t>Precision+Recall</m:t>
            </m:r>
          </m:den>
        </m:f>
      </m:oMath>
    </w:p>
    <w:p w14:paraId="3D1E5FFF" w14:textId="420199F2" w:rsidR="00E664B2" w:rsidRPr="00E609FC" w:rsidRDefault="00E664B2" w:rsidP="000043C3">
      <w:pPr>
        <w:rPr>
          <w:b/>
          <w:bCs/>
        </w:rPr>
      </w:pPr>
      <w:r w:rsidRPr="00E609FC">
        <w:rPr>
          <w:b/>
          <w:bCs/>
        </w:rPr>
        <w:t>Proposal 1</w:t>
      </w:r>
      <w:r w:rsidR="00EC5B39" w:rsidRPr="00E609FC">
        <w:rPr>
          <w:b/>
          <w:bCs/>
        </w:rPr>
        <w:t>2</w:t>
      </w:r>
      <w:r w:rsidRPr="00E609FC">
        <w:rPr>
          <w:b/>
          <w:bCs/>
        </w:rPr>
        <w:t xml:space="preserve">: precision, recall, and F1-score should be used as KPIs. </w:t>
      </w:r>
    </w:p>
    <w:p w14:paraId="34C99636" w14:textId="78A0A7F0" w:rsidR="008E7986" w:rsidRDefault="008E7986" w:rsidP="001E2944">
      <w:pPr>
        <w:pStyle w:val="Heading1"/>
      </w:pPr>
      <w:r>
        <w:t>3</w:t>
      </w:r>
      <w:r>
        <w:tab/>
      </w:r>
      <w:r w:rsidR="00E04DD7">
        <w:t>Proposals</w:t>
      </w:r>
    </w:p>
    <w:p w14:paraId="61E6FC1D" w14:textId="77777777" w:rsidR="00E609FC" w:rsidRPr="00E609FC" w:rsidRDefault="00E609FC" w:rsidP="00E609FC">
      <w:pPr>
        <w:rPr>
          <w:b/>
          <w:bCs/>
        </w:rPr>
      </w:pPr>
      <w:r w:rsidRPr="00E609FC">
        <w:rPr>
          <w:b/>
          <w:bCs/>
        </w:rPr>
        <w:t xml:space="preserve">Proposal 1: for measurement event prediction, RSRP is the only measurement quantity. </w:t>
      </w:r>
    </w:p>
    <w:p w14:paraId="7562CB2F" w14:textId="77777777" w:rsidR="00E609FC" w:rsidRPr="00E609FC" w:rsidRDefault="00E609FC" w:rsidP="00E609FC">
      <w:pPr>
        <w:rPr>
          <w:b/>
          <w:bCs/>
        </w:rPr>
      </w:pPr>
      <w:r w:rsidRPr="00E609FC">
        <w:rPr>
          <w:b/>
          <w:bCs/>
        </w:rPr>
        <w:t>Proposal 2: all the simulation assumptions agreed for measurement predictions should be re-used for measurement event prediction.</w:t>
      </w:r>
    </w:p>
    <w:p w14:paraId="6A19C46E" w14:textId="77777777" w:rsidR="00E609FC" w:rsidRPr="00E609FC" w:rsidRDefault="00E609FC" w:rsidP="00E609FC">
      <w:pPr>
        <w:rPr>
          <w:b/>
          <w:bCs/>
        </w:rPr>
      </w:pPr>
      <w:r w:rsidRPr="00E609FC">
        <w:rPr>
          <w:b/>
          <w:bCs/>
        </w:rPr>
        <w:t xml:space="preserve">Proposal 3: only A3 is evaluated. </w:t>
      </w:r>
    </w:p>
    <w:p w14:paraId="7991A1A0" w14:textId="77777777" w:rsidR="00E609FC" w:rsidRPr="00E609FC" w:rsidRDefault="00E609FC" w:rsidP="00E609FC">
      <w:pPr>
        <w:rPr>
          <w:b/>
          <w:bCs/>
        </w:rPr>
      </w:pPr>
      <w:r w:rsidRPr="00E609FC">
        <w:rPr>
          <w:b/>
          <w:bCs/>
        </w:rPr>
        <w:t xml:space="preserve">Proposal 4: consider both intra-frequency and inter-frequency. </w:t>
      </w:r>
    </w:p>
    <w:p w14:paraId="62F26604" w14:textId="77777777" w:rsidR="00E609FC" w:rsidRPr="00E609FC" w:rsidRDefault="00E609FC" w:rsidP="00E609FC">
      <w:pPr>
        <w:rPr>
          <w:b/>
          <w:bCs/>
        </w:rPr>
      </w:pPr>
      <w:r w:rsidRPr="00E609FC">
        <w:rPr>
          <w:b/>
          <w:bCs/>
        </w:rPr>
        <w:t xml:space="preserve">Proposal 5: focus on FR1, can consider FR2 with lower priority. </w:t>
      </w:r>
    </w:p>
    <w:p w14:paraId="0840A111" w14:textId="77777777" w:rsidR="00E609FC" w:rsidRPr="00E609FC" w:rsidRDefault="00E609FC" w:rsidP="00E609FC">
      <w:pPr>
        <w:rPr>
          <w:b/>
          <w:bCs/>
        </w:rPr>
      </w:pPr>
      <w:r w:rsidRPr="00E609FC">
        <w:rPr>
          <w:b/>
          <w:bCs/>
        </w:rPr>
        <w:t>Proposal 6: companies can choose whether to do “direct” or “indirect” prediction and report which approach has been used. No need to discuss this issue any longer.</w:t>
      </w:r>
    </w:p>
    <w:p w14:paraId="326FB516" w14:textId="77777777" w:rsidR="00E609FC" w:rsidRPr="00E609FC" w:rsidRDefault="00E609FC" w:rsidP="00E609FC">
      <w:pPr>
        <w:rPr>
          <w:b/>
          <w:bCs/>
        </w:rPr>
      </w:pPr>
      <w:r w:rsidRPr="00E609FC">
        <w:rPr>
          <w:b/>
          <w:bCs/>
        </w:rPr>
        <w:t xml:space="preserve">Proposal 7: no need to consider cell-specific offsets (i.e. </w:t>
      </w:r>
      <w:proofErr w:type="spellStart"/>
      <w:r w:rsidRPr="00E609FC">
        <w:rPr>
          <w:b/>
          <w:bCs/>
          <w:i/>
        </w:rPr>
        <w:t>Ocn</w:t>
      </w:r>
      <w:proofErr w:type="spellEnd"/>
      <w:r w:rsidRPr="00E609FC">
        <w:rPr>
          <w:b/>
          <w:bCs/>
          <w:i/>
        </w:rPr>
        <w:t xml:space="preserve"> </w:t>
      </w:r>
      <w:r w:rsidRPr="00E609FC">
        <w:rPr>
          <w:b/>
          <w:bCs/>
        </w:rPr>
        <w:t xml:space="preserve">and </w:t>
      </w:r>
      <w:proofErr w:type="spellStart"/>
      <w:r w:rsidRPr="00E609FC">
        <w:rPr>
          <w:b/>
          <w:bCs/>
          <w:i/>
        </w:rPr>
        <w:t>Ocp</w:t>
      </w:r>
      <w:proofErr w:type="spellEnd"/>
      <w:r w:rsidRPr="00E609FC">
        <w:rPr>
          <w:b/>
          <w:bCs/>
        </w:rPr>
        <w:t xml:space="preserve">) and measurement object-specific offsets (i.e. </w:t>
      </w:r>
      <w:proofErr w:type="spellStart"/>
      <w:r w:rsidRPr="00E609FC">
        <w:rPr>
          <w:b/>
          <w:bCs/>
          <w:i/>
        </w:rPr>
        <w:t>Ofn</w:t>
      </w:r>
      <w:proofErr w:type="spellEnd"/>
      <w:r w:rsidRPr="00E609FC">
        <w:rPr>
          <w:b/>
          <w:bCs/>
        </w:rPr>
        <w:t xml:space="preserve"> and </w:t>
      </w:r>
      <w:proofErr w:type="spellStart"/>
      <w:r w:rsidRPr="00E609FC">
        <w:rPr>
          <w:b/>
          <w:bCs/>
          <w:i/>
        </w:rPr>
        <w:t>Ofp</w:t>
      </w:r>
      <w:proofErr w:type="spellEnd"/>
      <w:r w:rsidRPr="00E609FC">
        <w:rPr>
          <w:b/>
          <w:bCs/>
        </w:rPr>
        <w:t>).</w:t>
      </w:r>
    </w:p>
    <w:p w14:paraId="0282D168" w14:textId="77777777" w:rsidR="00E609FC" w:rsidRPr="00E609FC" w:rsidRDefault="00E609FC" w:rsidP="00E609FC">
      <w:pPr>
        <w:rPr>
          <w:b/>
          <w:bCs/>
        </w:rPr>
      </w:pPr>
      <w:r w:rsidRPr="00E609FC">
        <w:rPr>
          <w:b/>
          <w:bCs/>
        </w:rPr>
        <w:t xml:space="preserve">Proposal 8: agree on values for the RRC parameters </w:t>
      </w:r>
      <w:r>
        <w:rPr>
          <w:b/>
          <w:bCs/>
        </w:rPr>
        <w:t xml:space="preserve">as follows </w:t>
      </w:r>
      <w:r w:rsidRPr="00E609FC">
        <w:rPr>
          <w:b/>
          <w:bCs/>
        </w:rPr>
        <w:t xml:space="preserve">(some deviations from the values provided can be discussed): </w:t>
      </w:r>
      <w:r w:rsidRPr="00E609FC">
        <w:rPr>
          <w:b/>
          <w:bCs/>
          <w:i/>
        </w:rPr>
        <w:t xml:space="preserve">hysteresis: 2 or 3, a3-Offset: 2 or 3, </w:t>
      </w:r>
      <w:proofErr w:type="spellStart"/>
      <w:r w:rsidRPr="00E609FC">
        <w:rPr>
          <w:b/>
          <w:bCs/>
          <w:i/>
          <w:iCs/>
          <w:lang w:val="en-US"/>
        </w:rPr>
        <w:t>timeToTrigger</w:t>
      </w:r>
      <w:proofErr w:type="spellEnd"/>
      <w:r w:rsidRPr="00E609FC">
        <w:rPr>
          <w:b/>
          <w:bCs/>
          <w:i/>
          <w:iCs/>
          <w:lang w:val="en-US"/>
        </w:rPr>
        <w:t>: 320</w:t>
      </w:r>
      <w:r w:rsidRPr="00E609FC">
        <w:rPr>
          <w:b/>
          <w:bCs/>
        </w:rPr>
        <w:t xml:space="preserve">. </w:t>
      </w:r>
    </w:p>
    <w:p w14:paraId="6FA83009" w14:textId="77777777" w:rsidR="00E609FC" w:rsidRPr="00E609FC" w:rsidRDefault="00E609FC" w:rsidP="00E609FC">
      <w:pPr>
        <w:rPr>
          <w:b/>
          <w:bCs/>
        </w:rPr>
      </w:pPr>
      <w:r w:rsidRPr="00E609FC">
        <w:rPr>
          <w:b/>
          <w:bCs/>
        </w:rPr>
        <w:t>Proposal 9: no need to limit observation window length, prediction window lengths of at least up to 1s should be allowed.</w:t>
      </w:r>
    </w:p>
    <w:p w14:paraId="2247BE63" w14:textId="77777777" w:rsidR="00E609FC" w:rsidRPr="00E609FC" w:rsidRDefault="00E609FC" w:rsidP="00E609FC">
      <w:pPr>
        <w:rPr>
          <w:b/>
          <w:bCs/>
        </w:rPr>
      </w:pPr>
      <w:r w:rsidRPr="00E609FC">
        <w:rPr>
          <w:b/>
          <w:bCs/>
        </w:rPr>
        <w:t xml:space="preserve">Proposal 10: model output is the likelihood that measurement event A3 happens within a prediction window. </w:t>
      </w:r>
    </w:p>
    <w:p w14:paraId="355FA2C6" w14:textId="77777777" w:rsidR="00E609FC" w:rsidRPr="00E609FC" w:rsidRDefault="00E609FC" w:rsidP="00E609FC">
      <w:pPr>
        <w:rPr>
          <w:b/>
          <w:bCs/>
        </w:rPr>
      </w:pPr>
      <w:r w:rsidRPr="00E609FC">
        <w:rPr>
          <w:b/>
          <w:bCs/>
        </w:rPr>
        <w:t xml:space="preserve">Proposal 11: 95% classification threshold should be applied to measurement event prediction accuracy estimate to decide whether an event is predicted or not. </w:t>
      </w:r>
    </w:p>
    <w:p w14:paraId="65BEC05F" w14:textId="55ADE189" w:rsidR="00E609FC" w:rsidRPr="00E609FC" w:rsidRDefault="00E609FC" w:rsidP="00E609FC">
      <w:pPr>
        <w:rPr>
          <w:b/>
          <w:bCs/>
        </w:rPr>
      </w:pPr>
      <w:r w:rsidRPr="00E609FC">
        <w:rPr>
          <w:b/>
          <w:bCs/>
        </w:rPr>
        <w:t xml:space="preserve">Proposal 12: precision, recall, and F1-score should be used as KPIs. </w:t>
      </w:r>
    </w:p>
    <w:bookmarkEnd w:id="0"/>
    <w:p w14:paraId="404B682A" w14:textId="2D7C0F19" w:rsidR="003E31FD" w:rsidRDefault="00BA1D06" w:rsidP="003E31FD">
      <w:pPr>
        <w:pStyle w:val="Heading1"/>
      </w:pPr>
      <w:r>
        <w:t>4</w:t>
      </w:r>
      <w:r w:rsidR="003E31FD">
        <w:tab/>
        <w:t>References</w:t>
      </w:r>
    </w:p>
    <w:p w14:paraId="5C67336A" w14:textId="4D27AC37" w:rsidR="00B379AE" w:rsidRPr="00634EF7" w:rsidRDefault="00B379AE" w:rsidP="000043C3">
      <w:pPr>
        <w:rPr>
          <w:lang w:eastAsia="ko-KR"/>
        </w:rPr>
      </w:pPr>
      <w:r>
        <w:rPr>
          <w:lang w:eastAsia="ko-KR"/>
        </w:rPr>
        <w:t>[1]</w:t>
      </w:r>
      <w:r>
        <w:rPr>
          <w:lang w:eastAsia="ko-KR"/>
        </w:rPr>
        <w:tab/>
      </w:r>
      <w:r>
        <w:rPr>
          <w:lang w:eastAsia="ko-KR"/>
        </w:rPr>
        <w:tab/>
      </w:r>
      <w:r w:rsidR="00FD5176">
        <w:t xml:space="preserve"> </w:t>
      </w:r>
      <w:r w:rsidR="00E609FC">
        <w:t>RAN2#127 and RAN#</w:t>
      </w:r>
      <w:r w:rsidR="004A3A3F">
        <w:t>127-bis meeting minutes</w:t>
      </w:r>
    </w:p>
    <w:p w14:paraId="6244BA76" w14:textId="2A6527F0" w:rsidR="00500110" w:rsidRPr="0061006B" w:rsidRDefault="00500110" w:rsidP="00F91BB5">
      <w:pPr>
        <w:rPr>
          <w:lang w:val="en-US"/>
        </w:rPr>
      </w:pPr>
    </w:p>
    <w:sectPr w:rsidR="00500110" w:rsidRPr="006100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C73A12" w14:textId="77777777" w:rsidR="00572DA3" w:rsidRDefault="00572DA3">
      <w:r>
        <w:separator/>
      </w:r>
    </w:p>
  </w:endnote>
  <w:endnote w:type="continuationSeparator" w:id="0">
    <w:p w14:paraId="2F52BFC4" w14:textId="77777777" w:rsidR="00572DA3" w:rsidRDefault="00572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2365B" w14:textId="77777777" w:rsidR="00572DA3" w:rsidRDefault="00572DA3">
      <w:r>
        <w:separator/>
      </w:r>
    </w:p>
  </w:footnote>
  <w:footnote w:type="continuationSeparator" w:id="0">
    <w:p w14:paraId="76567F4B" w14:textId="77777777" w:rsidR="00572DA3" w:rsidRDefault="00572D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95E9B"/>
    <w:multiLevelType w:val="hybridMultilevel"/>
    <w:tmpl w:val="573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F2E8A"/>
    <w:multiLevelType w:val="hybridMultilevel"/>
    <w:tmpl w:val="397226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5" w15:restartNumberingAfterBreak="0">
    <w:nsid w:val="08B6653F"/>
    <w:multiLevelType w:val="hybridMultilevel"/>
    <w:tmpl w:val="CAE0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C43C3"/>
    <w:multiLevelType w:val="hybridMultilevel"/>
    <w:tmpl w:val="82486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F3B0600"/>
    <w:multiLevelType w:val="hybridMultilevel"/>
    <w:tmpl w:val="C27E0BCA"/>
    <w:lvl w:ilvl="0" w:tplc="B55C3E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7528FB"/>
    <w:multiLevelType w:val="hybridMultilevel"/>
    <w:tmpl w:val="E5A8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582022"/>
    <w:multiLevelType w:val="hybridMultilevel"/>
    <w:tmpl w:val="D6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9F1D23"/>
    <w:multiLevelType w:val="hybridMultilevel"/>
    <w:tmpl w:val="F4DE9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F5865"/>
    <w:multiLevelType w:val="hybridMultilevel"/>
    <w:tmpl w:val="A9EC4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F1F8F"/>
    <w:multiLevelType w:val="hybridMultilevel"/>
    <w:tmpl w:val="CAFCC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5"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7" w15:restartNumberingAfterBreak="0">
    <w:nsid w:val="3AB32590"/>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C8D1C50"/>
    <w:multiLevelType w:val="hybridMultilevel"/>
    <w:tmpl w:val="A9000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31"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3AE22CE"/>
    <w:multiLevelType w:val="hybridMultilevel"/>
    <w:tmpl w:val="FAA2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AE34DB"/>
    <w:multiLevelType w:val="hybridMultilevel"/>
    <w:tmpl w:val="EFC8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4715DD"/>
    <w:multiLevelType w:val="hybridMultilevel"/>
    <w:tmpl w:val="FA3C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1B6C5B"/>
    <w:multiLevelType w:val="hybridMultilevel"/>
    <w:tmpl w:val="36C0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1441E6"/>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6C243B"/>
    <w:multiLevelType w:val="hybridMultilevel"/>
    <w:tmpl w:val="2F622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2D0A25"/>
    <w:multiLevelType w:val="hybridMultilevel"/>
    <w:tmpl w:val="B5642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B67C9D"/>
    <w:multiLevelType w:val="hybridMultilevel"/>
    <w:tmpl w:val="C8F2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BA6904"/>
    <w:multiLevelType w:val="hybridMultilevel"/>
    <w:tmpl w:val="09541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64"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DED7A18"/>
    <w:multiLevelType w:val="hybridMultilevel"/>
    <w:tmpl w:val="6D527B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E922E38"/>
    <w:multiLevelType w:val="hybridMultilevel"/>
    <w:tmpl w:val="9188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EFE5E95"/>
    <w:multiLevelType w:val="hybridMultilevel"/>
    <w:tmpl w:val="9F88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70"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A1C5E0B"/>
    <w:multiLevelType w:val="hybridMultilevel"/>
    <w:tmpl w:val="157A5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A7A669E"/>
    <w:multiLevelType w:val="hybridMultilevel"/>
    <w:tmpl w:val="07048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1"/>
  </w:num>
  <w:num w:numId="4" w16cid:durableId="1543444516">
    <w:abstractNumId w:val="60"/>
  </w:num>
  <w:num w:numId="5" w16cid:durableId="1690332385">
    <w:abstractNumId w:val="2"/>
  </w:num>
  <w:num w:numId="6" w16cid:durableId="1076781032">
    <w:abstractNumId w:val="2"/>
  </w:num>
  <w:num w:numId="7" w16cid:durableId="1942686117">
    <w:abstractNumId w:val="28"/>
  </w:num>
  <w:num w:numId="8" w16cid:durableId="1023441076">
    <w:abstractNumId w:val="7"/>
  </w:num>
  <w:num w:numId="9" w16cid:durableId="529875344">
    <w:abstractNumId w:val="2"/>
  </w:num>
  <w:num w:numId="10" w16cid:durableId="1742405926">
    <w:abstractNumId w:val="38"/>
  </w:num>
  <w:num w:numId="11" w16cid:durableId="1863127805">
    <w:abstractNumId w:val="68"/>
  </w:num>
  <w:num w:numId="12" w16cid:durableId="821431081">
    <w:abstractNumId w:val="69"/>
  </w:num>
  <w:num w:numId="13" w16cid:durableId="2117361261">
    <w:abstractNumId w:val="47"/>
  </w:num>
  <w:num w:numId="14" w16cid:durableId="457384091">
    <w:abstractNumId w:val="74"/>
  </w:num>
  <w:num w:numId="15" w16cid:durableId="1320497354">
    <w:abstractNumId w:val="33"/>
  </w:num>
  <w:num w:numId="16" w16cid:durableId="17620991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43"/>
  </w:num>
  <w:num w:numId="18" w16cid:durableId="734740145">
    <w:abstractNumId w:val="49"/>
  </w:num>
  <w:num w:numId="19" w16cid:durableId="97139162">
    <w:abstractNumId w:val="64"/>
  </w:num>
  <w:num w:numId="20" w16cid:durableId="1834299695">
    <w:abstractNumId w:val="31"/>
  </w:num>
  <w:num w:numId="21" w16cid:durableId="1585918980">
    <w:abstractNumId w:val="54"/>
  </w:num>
  <w:num w:numId="22" w16cid:durableId="1003240625">
    <w:abstractNumId w:val="51"/>
  </w:num>
  <w:num w:numId="23" w16cid:durableId="1155030379">
    <w:abstractNumId w:val="48"/>
  </w:num>
  <w:num w:numId="24" w16cid:durableId="518086480">
    <w:abstractNumId w:val="42"/>
  </w:num>
  <w:num w:numId="25" w16cid:durableId="1774083706">
    <w:abstractNumId w:val="71"/>
  </w:num>
  <w:num w:numId="26" w16cid:durableId="12389941">
    <w:abstractNumId w:val="19"/>
  </w:num>
  <w:num w:numId="27" w16cid:durableId="1507595987">
    <w:abstractNumId w:val="58"/>
  </w:num>
  <w:num w:numId="28" w16cid:durableId="1730111202">
    <w:abstractNumId w:val="35"/>
  </w:num>
  <w:num w:numId="29" w16cid:durableId="104538824">
    <w:abstractNumId w:val="30"/>
  </w:num>
  <w:num w:numId="30" w16cid:durableId="469247317">
    <w:abstractNumId w:val="61"/>
  </w:num>
  <w:num w:numId="31" w16cid:durableId="2106802149">
    <w:abstractNumId w:val="57"/>
  </w:num>
  <w:num w:numId="32" w16cid:durableId="1024670370">
    <w:abstractNumId w:val="9"/>
  </w:num>
  <w:num w:numId="33" w16cid:durableId="108135547">
    <w:abstractNumId w:val="24"/>
  </w:num>
  <w:num w:numId="34" w16cid:durableId="2019575486">
    <w:abstractNumId w:val="63"/>
  </w:num>
  <w:num w:numId="35" w16cid:durableId="1446655360">
    <w:abstractNumId w:val="26"/>
  </w:num>
  <w:num w:numId="36" w16cid:durableId="300231227">
    <w:abstractNumId w:val="46"/>
  </w:num>
  <w:num w:numId="37" w16cid:durableId="1667786417">
    <w:abstractNumId w:val="70"/>
  </w:num>
  <w:num w:numId="38" w16cid:durableId="1068108894">
    <w:abstractNumId w:val="15"/>
  </w:num>
  <w:num w:numId="39" w16cid:durableId="508561446">
    <w:abstractNumId w:val="14"/>
  </w:num>
  <w:num w:numId="40" w16cid:durableId="284042613">
    <w:abstractNumId w:val="36"/>
  </w:num>
  <w:num w:numId="41" w16cid:durableId="1141968746">
    <w:abstractNumId w:val="16"/>
  </w:num>
  <w:num w:numId="42" w16cid:durableId="1538397545">
    <w:abstractNumId w:val="17"/>
  </w:num>
  <w:num w:numId="43" w16cid:durableId="1704941826">
    <w:abstractNumId w:val="12"/>
  </w:num>
  <w:num w:numId="44" w16cid:durableId="799030740">
    <w:abstractNumId w:val="25"/>
  </w:num>
  <w:num w:numId="45" w16cid:durableId="1500002592">
    <w:abstractNumId w:val="41"/>
  </w:num>
  <w:num w:numId="46" w16cid:durableId="1212888994">
    <w:abstractNumId w:val="13"/>
  </w:num>
  <w:num w:numId="47" w16cid:durableId="19431389">
    <w:abstractNumId w:val="32"/>
  </w:num>
  <w:num w:numId="48" w16cid:durableId="1074277485">
    <w:abstractNumId w:val="52"/>
  </w:num>
  <w:num w:numId="49" w16cid:durableId="1122262579">
    <w:abstractNumId w:val="10"/>
  </w:num>
  <w:num w:numId="50" w16cid:durableId="1851333511">
    <w:abstractNumId w:val="62"/>
  </w:num>
  <w:num w:numId="51" w16cid:durableId="457376276">
    <w:abstractNumId w:val="23"/>
  </w:num>
  <w:num w:numId="52" w16cid:durableId="658271933">
    <w:abstractNumId w:val="11"/>
  </w:num>
  <w:num w:numId="53" w16cid:durableId="1934588904">
    <w:abstractNumId w:val="37"/>
  </w:num>
  <w:num w:numId="54" w16cid:durableId="1781753270">
    <w:abstractNumId w:val="39"/>
  </w:num>
  <w:num w:numId="55" w16cid:durableId="2142068141">
    <w:abstractNumId w:val="65"/>
  </w:num>
  <w:num w:numId="56" w16cid:durableId="1646157991">
    <w:abstractNumId w:val="20"/>
  </w:num>
  <w:num w:numId="57" w16cid:durableId="1753896370">
    <w:abstractNumId w:val="59"/>
  </w:num>
  <w:num w:numId="58" w16cid:durableId="1076169031">
    <w:abstractNumId w:val="27"/>
  </w:num>
  <w:num w:numId="59" w16cid:durableId="2145807442">
    <w:abstractNumId w:val="53"/>
  </w:num>
  <w:num w:numId="60" w16cid:durableId="1626421083">
    <w:abstractNumId w:val="50"/>
  </w:num>
  <w:num w:numId="61" w16cid:durableId="2064282831">
    <w:abstractNumId w:val="5"/>
  </w:num>
  <w:num w:numId="62" w16cid:durableId="1583300033">
    <w:abstractNumId w:val="44"/>
  </w:num>
  <w:num w:numId="63" w16cid:durableId="39478220">
    <w:abstractNumId w:val="56"/>
  </w:num>
  <w:num w:numId="64" w16cid:durableId="1932856824">
    <w:abstractNumId w:val="4"/>
  </w:num>
  <w:num w:numId="65" w16cid:durableId="1179539194">
    <w:abstractNumId w:val="8"/>
  </w:num>
  <w:num w:numId="66" w16cid:durableId="567769621">
    <w:abstractNumId w:val="40"/>
  </w:num>
  <w:num w:numId="67" w16cid:durableId="959646673">
    <w:abstractNumId w:val="6"/>
  </w:num>
  <w:num w:numId="68" w16cid:durableId="1415854236">
    <w:abstractNumId w:val="72"/>
  </w:num>
  <w:num w:numId="69" w16cid:durableId="1086145087">
    <w:abstractNumId w:val="21"/>
  </w:num>
  <w:num w:numId="70" w16cid:durableId="1127698513">
    <w:abstractNumId w:val="66"/>
  </w:num>
  <w:num w:numId="71" w16cid:durableId="1880051750">
    <w:abstractNumId w:val="73"/>
  </w:num>
  <w:num w:numId="72" w16cid:durableId="1614821284">
    <w:abstractNumId w:val="55"/>
  </w:num>
  <w:num w:numId="73" w16cid:durableId="377054002">
    <w:abstractNumId w:val="22"/>
  </w:num>
  <w:num w:numId="74" w16cid:durableId="1088693844">
    <w:abstractNumId w:val="18"/>
  </w:num>
  <w:num w:numId="75" w16cid:durableId="1828011089">
    <w:abstractNumId w:val="29"/>
  </w:num>
  <w:num w:numId="76" w16cid:durableId="974720774">
    <w:abstractNumId w:val="3"/>
  </w:num>
  <w:num w:numId="77" w16cid:durableId="600798040">
    <w:abstractNumId w:val="34"/>
  </w:num>
  <w:num w:numId="78" w16cid:durableId="752899523">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C3"/>
    <w:rsid w:val="00004AFD"/>
    <w:rsid w:val="00004B93"/>
    <w:rsid w:val="000060A4"/>
    <w:rsid w:val="00010655"/>
    <w:rsid w:val="00010B89"/>
    <w:rsid w:val="0001481B"/>
    <w:rsid w:val="000208C5"/>
    <w:rsid w:val="00023750"/>
    <w:rsid w:val="00024E24"/>
    <w:rsid w:val="000309EC"/>
    <w:rsid w:val="00031196"/>
    <w:rsid w:val="00033397"/>
    <w:rsid w:val="0003671B"/>
    <w:rsid w:val="00040095"/>
    <w:rsid w:val="00041964"/>
    <w:rsid w:val="00041CF5"/>
    <w:rsid w:val="000421E1"/>
    <w:rsid w:val="00044CFF"/>
    <w:rsid w:val="0004737E"/>
    <w:rsid w:val="0005006C"/>
    <w:rsid w:val="00051834"/>
    <w:rsid w:val="00054A22"/>
    <w:rsid w:val="00055C4A"/>
    <w:rsid w:val="00062023"/>
    <w:rsid w:val="00063EA4"/>
    <w:rsid w:val="000655A6"/>
    <w:rsid w:val="0006627D"/>
    <w:rsid w:val="0007052A"/>
    <w:rsid w:val="000712B5"/>
    <w:rsid w:val="00071677"/>
    <w:rsid w:val="00075F60"/>
    <w:rsid w:val="00080512"/>
    <w:rsid w:val="0008121B"/>
    <w:rsid w:val="00082B33"/>
    <w:rsid w:val="000872A4"/>
    <w:rsid w:val="00087E09"/>
    <w:rsid w:val="00093427"/>
    <w:rsid w:val="00097203"/>
    <w:rsid w:val="00097263"/>
    <w:rsid w:val="0009755D"/>
    <w:rsid w:val="000A365D"/>
    <w:rsid w:val="000A7B22"/>
    <w:rsid w:val="000B0981"/>
    <w:rsid w:val="000B2CFA"/>
    <w:rsid w:val="000C2196"/>
    <w:rsid w:val="000C47C3"/>
    <w:rsid w:val="000C50DC"/>
    <w:rsid w:val="000D582E"/>
    <w:rsid w:val="000D58AB"/>
    <w:rsid w:val="000D7B98"/>
    <w:rsid w:val="000E0B50"/>
    <w:rsid w:val="000E1AFC"/>
    <w:rsid w:val="000E1DF5"/>
    <w:rsid w:val="000E723A"/>
    <w:rsid w:val="000F7392"/>
    <w:rsid w:val="00104BC6"/>
    <w:rsid w:val="001061CB"/>
    <w:rsid w:val="00107C38"/>
    <w:rsid w:val="00113B6F"/>
    <w:rsid w:val="00114BBF"/>
    <w:rsid w:val="00130174"/>
    <w:rsid w:val="00133525"/>
    <w:rsid w:val="0013608F"/>
    <w:rsid w:val="001378F3"/>
    <w:rsid w:val="00151156"/>
    <w:rsid w:val="00154248"/>
    <w:rsid w:val="00155C92"/>
    <w:rsid w:val="00160F3D"/>
    <w:rsid w:val="0016132D"/>
    <w:rsid w:val="001644D8"/>
    <w:rsid w:val="0017007C"/>
    <w:rsid w:val="00173532"/>
    <w:rsid w:val="0018138E"/>
    <w:rsid w:val="0019189A"/>
    <w:rsid w:val="00193066"/>
    <w:rsid w:val="001933C5"/>
    <w:rsid w:val="0019410B"/>
    <w:rsid w:val="001A2850"/>
    <w:rsid w:val="001A4326"/>
    <w:rsid w:val="001A4C42"/>
    <w:rsid w:val="001A59BE"/>
    <w:rsid w:val="001A5BAB"/>
    <w:rsid w:val="001A6387"/>
    <w:rsid w:val="001B0409"/>
    <w:rsid w:val="001B3D02"/>
    <w:rsid w:val="001B6DD7"/>
    <w:rsid w:val="001B6E2B"/>
    <w:rsid w:val="001C21C3"/>
    <w:rsid w:val="001C48E5"/>
    <w:rsid w:val="001C6ECB"/>
    <w:rsid w:val="001C7007"/>
    <w:rsid w:val="001D02C2"/>
    <w:rsid w:val="001D3AF3"/>
    <w:rsid w:val="001D56C9"/>
    <w:rsid w:val="001E2944"/>
    <w:rsid w:val="001E3DF0"/>
    <w:rsid w:val="001E69EE"/>
    <w:rsid w:val="001F03E0"/>
    <w:rsid w:val="001F0590"/>
    <w:rsid w:val="001F0AFF"/>
    <w:rsid w:val="001F0C1D"/>
    <w:rsid w:val="001F1132"/>
    <w:rsid w:val="001F168B"/>
    <w:rsid w:val="002007B5"/>
    <w:rsid w:val="00200F8E"/>
    <w:rsid w:val="00201C11"/>
    <w:rsid w:val="002027AD"/>
    <w:rsid w:val="00205A11"/>
    <w:rsid w:val="00210BCD"/>
    <w:rsid w:val="00221BEB"/>
    <w:rsid w:val="00224739"/>
    <w:rsid w:val="002347A2"/>
    <w:rsid w:val="002347D9"/>
    <w:rsid w:val="002369B7"/>
    <w:rsid w:val="00241F2F"/>
    <w:rsid w:val="00242D80"/>
    <w:rsid w:val="00244ED3"/>
    <w:rsid w:val="00245165"/>
    <w:rsid w:val="002467DA"/>
    <w:rsid w:val="00247926"/>
    <w:rsid w:val="002508FA"/>
    <w:rsid w:val="00254AB3"/>
    <w:rsid w:val="00256F8A"/>
    <w:rsid w:val="0026273A"/>
    <w:rsid w:val="00263BE2"/>
    <w:rsid w:val="0026501B"/>
    <w:rsid w:val="002675F0"/>
    <w:rsid w:val="00273722"/>
    <w:rsid w:val="00276EE4"/>
    <w:rsid w:val="002772D3"/>
    <w:rsid w:val="00277FB3"/>
    <w:rsid w:val="00285E21"/>
    <w:rsid w:val="0028623A"/>
    <w:rsid w:val="00287B51"/>
    <w:rsid w:val="00290222"/>
    <w:rsid w:val="00294314"/>
    <w:rsid w:val="00295C21"/>
    <w:rsid w:val="00296F91"/>
    <w:rsid w:val="002A0190"/>
    <w:rsid w:val="002A1440"/>
    <w:rsid w:val="002A2BA0"/>
    <w:rsid w:val="002B5912"/>
    <w:rsid w:val="002B6339"/>
    <w:rsid w:val="002C196A"/>
    <w:rsid w:val="002C2D23"/>
    <w:rsid w:val="002C35D2"/>
    <w:rsid w:val="002C4F55"/>
    <w:rsid w:val="002C7271"/>
    <w:rsid w:val="002D0162"/>
    <w:rsid w:val="002D2104"/>
    <w:rsid w:val="002D3214"/>
    <w:rsid w:val="002D6B85"/>
    <w:rsid w:val="002E00EE"/>
    <w:rsid w:val="002E21E5"/>
    <w:rsid w:val="002F3DB6"/>
    <w:rsid w:val="002F41D1"/>
    <w:rsid w:val="00303705"/>
    <w:rsid w:val="00313F1B"/>
    <w:rsid w:val="003172DC"/>
    <w:rsid w:val="00324AD9"/>
    <w:rsid w:val="00326E8B"/>
    <w:rsid w:val="003275A6"/>
    <w:rsid w:val="00331E92"/>
    <w:rsid w:val="00333023"/>
    <w:rsid w:val="003331C6"/>
    <w:rsid w:val="00335C07"/>
    <w:rsid w:val="003370CD"/>
    <w:rsid w:val="00340D69"/>
    <w:rsid w:val="003448DD"/>
    <w:rsid w:val="00344903"/>
    <w:rsid w:val="00346A74"/>
    <w:rsid w:val="003501FB"/>
    <w:rsid w:val="003511B1"/>
    <w:rsid w:val="00353439"/>
    <w:rsid w:val="0035462D"/>
    <w:rsid w:val="00372C8F"/>
    <w:rsid w:val="00373B3B"/>
    <w:rsid w:val="003765B8"/>
    <w:rsid w:val="0038169C"/>
    <w:rsid w:val="00381E10"/>
    <w:rsid w:val="003854BE"/>
    <w:rsid w:val="00386301"/>
    <w:rsid w:val="00396E1F"/>
    <w:rsid w:val="00396F2A"/>
    <w:rsid w:val="00396F92"/>
    <w:rsid w:val="0039762A"/>
    <w:rsid w:val="003A0483"/>
    <w:rsid w:val="003A1FCE"/>
    <w:rsid w:val="003A2259"/>
    <w:rsid w:val="003A4582"/>
    <w:rsid w:val="003A4ACA"/>
    <w:rsid w:val="003A6D7F"/>
    <w:rsid w:val="003B0015"/>
    <w:rsid w:val="003B10E8"/>
    <w:rsid w:val="003B5DF7"/>
    <w:rsid w:val="003B6200"/>
    <w:rsid w:val="003B6758"/>
    <w:rsid w:val="003B6D40"/>
    <w:rsid w:val="003C3971"/>
    <w:rsid w:val="003C564B"/>
    <w:rsid w:val="003C6949"/>
    <w:rsid w:val="003D1FE2"/>
    <w:rsid w:val="003D424E"/>
    <w:rsid w:val="003D7776"/>
    <w:rsid w:val="003D7AA8"/>
    <w:rsid w:val="003D7B4F"/>
    <w:rsid w:val="003E238E"/>
    <w:rsid w:val="003E31FD"/>
    <w:rsid w:val="003E43E3"/>
    <w:rsid w:val="003E4DE1"/>
    <w:rsid w:val="003E5346"/>
    <w:rsid w:val="003E7753"/>
    <w:rsid w:val="003F3AD6"/>
    <w:rsid w:val="003F3C0E"/>
    <w:rsid w:val="003F65AF"/>
    <w:rsid w:val="00407B61"/>
    <w:rsid w:val="00410618"/>
    <w:rsid w:val="00422A19"/>
    <w:rsid w:val="00423334"/>
    <w:rsid w:val="00423702"/>
    <w:rsid w:val="00423FA6"/>
    <w:rsid w:val="00425B55"/>
    <w:rsid w:val="004304E7"/>
    <w:rsid w:val="004345EC"/>
    <w:rsid w:val="00445F9D"/>
    <w:rsid w:val="00447117"/>
    <w:rsid w:val="00452B04"/>
    <w:rsid w:val="00452F63"/>
    <w:rsid w:val="00455227"/>
    <w:rsid w:val="0045626A"/>
    <w:rsid w:val="00460CF7"/>
    <w:rsid w:val="00461758"/>
    <w:rsid w:val="0046281F"/>
    <w:rsid w:val="00462D23"/>
    <w:rsid w:val="00465CB5"/>
    <w:rsid w:val="0046603B"/>
    <w:rsid w:val="00471E5F"/>
    <w:rsid w:val="0047379C"/>
    <w:rsid w:val="00475C60"/>
    <w:rsid w:val="00475C62"/>
    <w:rsid w:val="00476CE3"/>
    <w:rsid w:val="004811E3"/>
    <w:rsid w:val="004826A9"/>
    <w:rsid w:val="0048579F"/>
    <w:rsid w:val="0048614B"/>
    <w:rsid w:val="00487685"/>
    <w:rsid w:val="00493055"/>
    <w:rsid w:val="0049320B"/>
    <w:rsid w:val="004939C9"/>
    <w:rsid w:val="00497EFB"/>
    <w:rsid w:val="004A0FC8"/>
    <w:rsid w:val="004A138D"/>
    <w:rsid w:val="004A3A3F"/>
    <w:rsid w:val="004A4C1D"/>
    <w:rsid w:val="004B0539"/>
    <w:rsid w:val="004B18E2"/>
    <w:rsid w:val="004B4F36"/>
    <w:rsid w:val="004B5EC9"/>
    <w:rsid w:val="004B722E"/>
    <w:rsid w:val="004B7A6C"/>
    <w:rsid w:val="004C1236"/>
    <w:rsid w:val="004C1601"/>
    <w:rsid w:val="004D3578"/>
    <w:rsid w:val="004D5AC2"/>
    <w:rsid w:val="004D6DA4"/>
    <w:rsid w:val="004E039D"/>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4E53"/>
    <w:rsid w:val="00516291"/>
    <w:rsid w:val="005214DC"/>
    <w:rsid w:val="00526A07"/>
    <w:rsid w:val="0053388B"/>
    <w:rsid w:val="00534A81"/>
    <w:rsid w:val="00535773"/>
    <w:rsid w:val="00537627"/>
    <w:rsid w:val="0054061A"/>
    <w:rsid w:val="00543E6C"/>
    <w:rsid w:val="005510CB"/>
    <w:rsid w:val="00553C1C"/>
    <w:rsid w:val="00555A5C"/>
    <w:rsid w:val="00560C1A"/>
    <w:rsid w:val="00562B5D"/>
    <w:rsid w:val="00565087"/>
    <w:rsid w:val="005668CB"/>
    <w:rsid w:val="00567E21"/>
    <w:rsid w:val="00570E9D"/>
    <w:rsid w:val="005724C2"/>
    <w:rsid w:val="00572DA3"/>
    <w:rsid w:val="00572E14"/>
    <w:rsid w:val="00574F89"/>
    <w:rsid w:val="00575751"/>
    <w:rsid w:val="00583ADE"/>
    <w:rsid w:val="00584261"/>
    <w:rsid w:val="00584A7F"/>
    <w:rsid w:val="00585E07"/>
    <w:rsid w:val="005876C4"/>
    <w:rsid w:val="005914AB"/>
    <w:rsid w:val="005967AC"/>
    <w:rsid w:val="005973BE"/>
    <w:rsid w:val="005A0AB6"/>
    <w:rsid w:val="005A5986"/>
    <w:rsid w:val="005B0515"/>
    <w:rsid w:val="005B4882"/>
    <w:rsid w:val="005B5C5B"/>
    <w:rsid w:val="005C59F9"/>
    <w:rsid w:val="005D2E01"/>
    <w:rsid w:val="005D315E"/>
    <w:rsid w:val="005D66A6"/>
    <w:rsid w:val="005D6A1F"/>
    <w:rsid w:val="005D7526"/>
    <w:rsid w:val="005E2040"/>
    <w:rsid w:val="005E2769"/>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498E"/>
    <w:rsid w:val="0062595A"/>
    <w:rsid w:val="006267F4"/>
    <w:rsid w:val="00627C37"/>
    <w:rsid w:val="00634D24"/>
    <w:rsid w:val="00634EF7"/>
    <w:rsid w:val="0063543D"/>
    <w:rsid w:val="00642550"/>
    <w:rsid w:val="00646ACB"/>
    <w:rsid w:val="00647114"/>
    <w:rsid w:val="00654806"/>
    <w:rsid w:val="00654C8F"/>
    <w:rsid w:val="00654E0E"/>
    <w:rsid w:val="00661921"/>
    <w:rsid w:val="006659CB"/>
    <w:rsid w:val="00666C51"/>
    <w:rsid w:val="0067044C"/>
    <w:rsid w:val="0067359C"/>
    <w:rsid w:val="00676E3E"/>
    <w:rsid w:val="006774C8"/>
    <w:rsid w:val="00692656"/>
    <w:rsid w:val="006A2A85"/>
    <w:rsid w:val="006A323F"/>
    <w:rsid w:val="006A763F"/>
    <w:rsid w:val="006B0443"/>
    <w:rsid w:val="006B1095"/>
    <w:rsid w:val="006B18DD"/>
    <w:rsid w:val="006B2D70"/>
    <w:rsid w:val="006B30D0"/>
    <w:rsid w:val="006B4085"/>
    <w:rsid w:val="006B48A5"/>
    <w:rsid w:val="006B740C"/>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3C44"/>
    <w:rsid w:val="00720DA8"/>
    <w:rsid w:val="007210AF"/>
    <w:rsid w:val="007248B7"/>
    <w:rsid w:val="00730341"/>
    <w:rsid w:val="00730F98"/>
    <w:rsid w:val="00733982"/>
    <w:rsid w:val="00734A5B"/>
    <w:rsid w:val="0074026F"/>
    <w:rsid w:val="007429F6"/>
    <w:rsid w:val="00743BDB"/>
    <w:rsid w:val="00744B1D"/>
    <w:rsid w:val="00744E76"/>
    <w:rsid w:val="00752198"/>
    <w:rsid w:val="007521D9"/>
    <w:rsid w:val="00753881"/>
    <w:rsid w:val="00756226"/>
    <w:rsid w:val="007577DD"/>
    <w:rsid w:val="007612D2"/>
    <w:rsid w:val="007613A4"/>
    <w:rsid w:val="00763DF1"/>
    <w:rsid w:val="00765DB0"/>
    <w:rsid w:val="00767BD9"/>
    <w:rsid w:val="007713D4"/>
    <w:rsid w:val="00771833"/>
    <w:rsid w:val="00774DA4"/>
    <w:rsid w:val="00774EA1"/>
    <w:rsid w:val="00776039"/>
    <w:rsid w:val="00780CB6"/>
    <w:rsid w:val="00781F0F"/>
    <w:rsid w:val="0078318F"/>
    <w:rsid w:val="00787C81"/>
    <w:rsid w:val="00791558"/>
    <w:rsid w:val="00797086"/>
    <w:rsid w:val="007A6CA7"/>
    <w:rsid w:val="007B1526"/>
    <w:rsid w:val="007B31AF"/>
    <w:rsid w:val="007B600E"/>
    <w:rsid w:val="007B67E0"/>
    <w:rsid w:val="007C14FD"/>
    <w:rsid w:val="007C584C"/>
    <w:rsid w:val="007D2EA9"/>
    <w:rsid w:val="007D440F"/>
    <w:rsid w:val="007D4611"/>
    <w:rsid w:val="007D4791"/>
    <w:rsid w:val="007D62C7"/>
    <w:rsid w:val="007E184A"/>
    <w:rsid w:val="007E5DDC"/>
    <w:rsid w:val="007F0F4A"/>
    <w:rsid w:val="007F1067"/>
    <w:rsid w:val="00801997"/>
    <w:rsid w:val="00801F83"/>
    <w:rsid w:val="00802649"/>
    <w:rsid w:val="008028A4"/>
    <w:rsid w:val="00803196"/>
    <w:rsid w:val="00806114"/>
    <w:rsid w:val="00806C56"/>
    <w:rsid w:val="0081122F"/>
    <w:rsid w:val="00813071"/>
    <w:rsid w:val="0081484C"/>
    <w:rsid w:val="00815FF9"/>
    <w:rsid w:val="00820605"/>
    <w:rsid w:val="00820B25"/>
    <w:rsid w:val="0082147A"/>
    <w:rsid w:val="00821E31"/>
    <w:rsid w:val="008272DD"/>
    <w:rsid w:val="00830747"/>
    <w:rsid w:val="00832CF7"/>
    <w:rsid w:val="00835F9B"/>
    <w:rsid w:val="00836DC2"/>
    <w:rsid w:val="00846F18"/>
    <w:rsid w:val="00852524"/>
    <w:rsid w:val="00857745"/>
    <w:rsid w:val="00866EDF"/>
    <w:rsid w:val="00866F59"/>
    <w:rsid w:val="00871376"/>
    <w:rsid w:val="00872100"/>
    <w:rsid w:val="00872B25"/>
    <w:rsid w:val="00872F4A"/>
    <w:rsid w:val="008730C8"/>
    <w:rsid w:val="008768CA"/>
    <w:rsid w:val="00882458"/>
    <w:rsid w:val="00885E96"/>
    <w:rsid w:val="0088743A"/>
    <w:rsid w:val="008905F5"/>
    <w:rsid w:val="00891D12"/>
    <w:rsid w:val="00895C3A"/>
    <w:rsid w:val="008A23EC"/>
    <w:rsid w:val="008A5709"/>
    <w:rsid w:val="008A7428"/>
    <w:rsid w:val="008A7581"/>
    <w:rsid w:val="008B78E7"/>
    <w:rsid w:val="008C0100"/>
    <w:rsid w:val="008C384C"/>
    <w:rsid w:val="008C3D3E"/>
    <w:rsid w:val="008C499C"/>
    <w:rsid w:val="008C4EBF"/>
    <w:rsid w:val="008D0A9B"/>
    <w:rsid w:val="008D51EA"/>
    <w:rsid w:val="008D5A1E"/>
    <w:rsid w:val="008D6CEC"/>
    <w:rsid w:val="008D70D0"/>
    <w:rsid w:val="008D77C5"/>
    <w:rsid w:val="008E1810"/>
    <w:rsid w:val="008E2A85"/>
    <w:rsid w:val="008E71F1"/>
    <w:rsid w:val="008E7986"/>
    <w:rsid w:val="008F1588"/>
    <w:rsid w:val="008F32C2"/>
    <w:rsid w:val="008F5733"/>
    <w:rsid w:val="008F71F2"/>
    <w:rsid w:val="0090271F"/>
    <w:rsid w:val="00902E23"/>
    <w:rsid w:val="009051EC"/>
    <w:rsid w:val="00905EC8"/>
    <w:rsid w:val="00906AD7"/>
    <w:rsid w:val="00910E77"/>
    <w:rsid w:val="009114D7"/>
    <w:rsid w:val="0091348E"/>
    <w:rsid w:val="00913853"/>
    <w:rsid w:val="00917CCB"/>
    <w:rsid w:val="009205BE"/>
    <w:rsid w:val="00926D4B"/>
    <w:rsid w:val="00932699"/>
    <w:rsid w:val="009332B0"/>
    <w:rsid w:val="009410D1"/>
    <w:rsid w:val="00942EC2"/>
    <w:rsid w:val="00944557"/>
    <w:rsid w:val="00955506"/>
    <w:rsid w:val="00956D54"/>
    <w:rsid w:val="009575A3"/>
    <w:rsid w:val="00960814"/>
    <w:rsid w:val="00961ADE"/>
    <w:rsid w:val="009623E5"/>
    <w:rsid w:val="009639D4"/>
    <w:rsid w:val="0096410F"/>
    <w:rsid w:val="0096691B"/>
    <w:rsid w:val="00971A26"/>
    <w:rsid w:val="00977B40"/>
    <w:rsid w:val="00977E47"/>
    <w:rsid w:val="00982AF7"/>
    <w:rsid w:val="009840A0"/>
    <w:rsid w:val="00987515"/>
    <w:rsid w:val="00992A6D"/>
    <w:rsid w:val="00993D7F"/>
    <w:rsid w:val="00997281"/>
    <w:rsid w:val="0099773F"/>
    <w:rsid w:val="00997C9A"/>
    <w:rsid w:val="009A1D13"/>
    <w:rsid w:val="009A386D"/>
    <w:rsid w:val="009A3FCF"/>
    <w:rsid w:val="009B2577"/>
    <w:rsid w:val="009B53A1"/>
    <w:rsid w:val="009B68D8"/>
    <w:rsid w:val="009B76A1"/>
    <w:rsid w:val="009C1080"/>
    <w:rsid w:val="009C1D9E"/>
    <w:rsid w:val="009C25EE"/>
    <w:rsid w:val="009C5BDC"/>
    <w:rsid w:val="009C72E6"/>
    <w:rsid w:val="009D2F7E"/>
    <w:rsid w:val="009D50B7"/>
    <w:rsid w:val="009D6138"/>
    <w:rsid w:val="009D798C"/>
    <w:rsid w:val="009E3E0A"/>
    <w:rsid w:val="009E6B92"/>
    <w:rsid w:val="009E777F"/>
    <w:rsid w:val="009F24AA"/>
    <w:rsid w:val="009F37B7"/>
    <w:rsid w:val="009F5E43"/>
    <w:rsid w:val="009F6881"/>
    <w:rsid w:val="009F6F20"/>
    <w:rsid w:val="00A037C9"/>
    <w:rsid w:val="00A05C7E"/>
    <w:rsid w:val="00A10F02"/>
    <w:rsid w:val="00A110C7"/>
    <w:rsid w:val="00A13BC0"/>
    <w:rsid w:val="00A13ECB"/>
    <w:rsid w:val="00A15EFF"/>
    <w:rsid w:val="00A164B4"/>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53A3"/>
    <w:rsid w:val="00A46B82"/>
    <w:rsid w:val="00A53724"/>
    <w:rsid w:val="00A558BE"/>
    <w:rsid w:val="00A66CD1"/>
    <w:rsid w:val="00A7029D"/>
    <w:rsid w:val="00A71A9C"/>
    <w:rsid w:val="00A73129"/>
    <w:rsid w:val="00A73BCE"/>
    <w:rsid w:val="00A73D51"/>
    <w:rsid w:val="00A74EF9"/>
    <w:rsid w:val="00A75A83"/>
    <w:rsid w:val="00A80090"/>
    <w:rsid w:val="00A807DA"/>
    <w:rsid w:val="00A82346"/>
    <w:rsid w:val="00A84B5A"/>
    <w:rsid w:val="00A862D7"/>
    <w:rsid w:val="00A86B86"/>
    <w:rsid w:val="00A86CBC"/>
    <w:rsid w:val="00A91111"/>
    <w:rsid w:val="00A92BA1"/>
    <w:rsid w:val="00A93484"/>
    <w:rsid w:val="00A93DB8"/>
    <w:rsid w:val="00A96ECD"/>
    <w:rsid w:val="00AA32B3"/>
    <w:rsid w:val="00AA37A2"/>
    <w:rsid w:val="00AA71AC"/>
    <w:rsid w:val="00AA7C09"/>
    <w:rsid w:val="00AB1C53"/>
    <w:rsid w:val="00AB408F"/>
    <w:rsid w:val="00AB5170"/>
    <w:rsid w:val="00AB7326"/>
    <w:rsid w:val="00AC6BC6"/>
    <w:rsid w:val="00AC6F4A"/>
    <w:rsid w:val="00AC7141"/>
    <w:rsid w:val="00AD1FDE"/>
    <w:rsid w:val="00AD330E"/>
    <w:rsid w:val="00AD563A"/>
    <w:rsid w:val="00AD7C3E"/>
    <w:rsid w:val="00AE0C7C"/>
    <w:rsid w:val="00AE0E06"/>
    <w:rsid w:val="00AE109A"/>
    <w:rsid w:val="00AE3403"/>
    <w:rsid w:val="00AE3797"/>
    <w:rsid w:val="00AE44FD"/>
    <w:rsid w:val="00AE4A5E"/>
    <w:rsid w:val="00AF0CA7"/>
    <w:rsid w:val="00B00A85"/>
    <w:rsid w:val="00B026DC"/>
    <w:rsid w:val="00B03B5E"/>
    <w:rsid w:val="00B102B6"/>
    <w:rsid w:val="00B15449"/>
    <w:rsid w:val="00B206FD"/>
    <w:rsid w:val="00B23DD2"/>
    <w:rsid w:val="00B27A39"/>
    <w:rsid w:val="00B31C91"/>
    <w:rsid w:val="00B3207E"/>
    <w:rsid w:val="00B35B32"/>
    <w:rsid w:val="00B35DBA"/>
    <w:rsid w:val="00B35F32"/>
    <w:rsid w:val="00B379AE"/>
    <w:rsid w:val="00B37EB8"/>
    <w:rsid w:val="00B4192D"/>
    <w:rsid w:val="00B41EBD"/>
    <w:rsid w:val="00B42B14"/>
    <w:rsid w:val="00B615CD"/>
    <w:rsid w:val="00B64F8E"/>
    <w:rsid w:val="00B65BC4"/>
    <w:rsid w:val="00B7177B"/>
    <w:rsid w:val="00B80010"/>
    <w:rsid w:val="00B80F14"/>
    <w:rsid w:val="00B83B8A"/>
    <w:rsid w:val="00B8506D"/>
    <w:rsid w:val="00B8639C"/>
    <w:rsid w:val="00B87183"/>
    <w:rsid w:val="00B93086"/>
    <w:rsid w:val="00B93BE6"/>
    <w:rsid w:val="00BA125D"/>
    <w:rsid w:val="00BA13D4"/>
    <w:rsid w:val="00BA19ED"/>
    <w:rsid w:val="00BA1D06"/>
    <w:rsid w:val="00BA300B"/>
    <w:rsid w:val="00BA4B8D"/>
    <w:rsid w:val="00BA5ADB"/>
    <w:rsid w:val="00BA65C8"/>
    <w:rsid w:val="00BA6B22"/>
    <w:rsid w:val="00BA76D8"/>
    <w:rsid w:val="00BB2B87"/>
    <w:rsid w:val="00BB452B"/>
    <w:rsid w:val="00BC0F7D"/>
    <w:rsid w:val="00BC21EF"/>
    <w:rsid w:val="00BC29C3"/>
    <w:rsid w:val="00BD2CFF"/>
    <w:rsid w:val="00BD300D"/>
    <w:rsid w:val="00BD30DE"/>
    <w:rsid w:val="00BD639F"/>
    <w:rsid w:val="00BD7F8B"/>
    <w:rsid w:val="00BE3255"/>
    <w:rsid w:val="00BE35DB"/>
    <w:rsid w:val="00BF128E"/>
    <w:rsid w:val="00BF4580"/>
    <w:rsid w:val="00C00D87"/>
    <w:rsid w:val="00C02A38"/>
    <w:rsid w:val="00C04097"/>
    <w:rsid w:val="00C043A4"/>
    <w:rsid w:val="00C0454F"/>
    <w:rsid w:val="00C05610"/>
    <w:rsid w:val="00C060EE"/>
    <w:rsid w:val="00C120EB"/>
    <w:rsid w:val="00C1496A"/>
    <w:rsid w:val="00C15754"/>
    <w:rsid w:val="00C20C9A"/>
    <w:rsid w:val="00C21E56"/>
    <w:rsid w:val="00C32093"/>
    <w:rsid w:val="00C33079"/>
    <w:rsid w:val="00C35A42"/>
    <w:rsid w:val="00C40A3F"/>
    <w:rsid w:val="00C45231"/>
    <w:rsid w:val="00C4759C"/>
    <w:rsid w:val="00C56D74"/>
    <w:rsid w:val="00C600DD"/>
    <w:rsid w:val="00C61CAA"/>
    <w:rsid w:val="00C645F2"/>
    <w:rsid w:val="00C6640A"/>
    <w:rsid w:val="00C66C05"/>
    <w:rsid w:val="00C72833"/>
    <w:rsid w:val="00C7752D"/>
    <w:rsid w:val="00C77BE7"/>
    <w:rsid w:val="00C80F1D"/>
    <w:rsid w:val="00C812DD"/>
    <w:rsid w:val="00C832B0"/>
    <w:rsid w:val="00C9010C"/>
    <w:rsid w:val="00C93F40"/>
    <w:rsid w:val="00C952CA"/>
    <w:rsid w:val="00CA0C61"/>
    <w:rsid w:val="00CA2F63"/>
    <w:rsid w:val="00CA3D0C"/>
    <w:rsid w:val="00CA5F2C"/>
    <w:rsid w:val="00CB4809"/>
    <w:rsid w:val="00CB52EC"/>
    <w:rsid w:val="00CC1793"/>
    <w:rsid w:val="00CD20BD"/>
    <w:rsid w:val="00CD347F"/>
    <w:rsid w:val="00CD417D"/>
    <w:rsid w:val="00CF20E3"/>
    <w:rsid w:val="00CF3390"/>
    <w:rsid w:val="00CF3C5A"/>
    <w:rsid w:val="00CF4156"/>
    <w:rsid w:val="00CF53C3"/>
    <w:rsid w:val="00D0150F"/>
    <w:rsid w:val="00D02105"/>
    <w:rsid w:val="00D07EE8"/>
    <w:rsid w:val="00D1400C"/>
    <w:rsid w:val="00D212FB"/>
    <w:rsid w:val="00D22AFA"/>
    <w:rsid w:val="00D26579"/>
    <w:rsid w:val="00D27771"/>
    <w:rsid w:val="00D27D8E"/>
    <w:rsid w:val="00D309CC"/>
    <w:rsid w:val="00D31221"/>
    <w:rsid w:val="00D31650"/>
    <w:rsid w:val="00D340AD"/>
    <w:rsid w:val="00D368C5"/>
    <w:rsid w:val="00D43140"/>
    <w:rsid w:val="00D4461B"/>
    <w:rsid w:val="00D46431"/>
    <w:rsid w:val="00D46ACE"/>
    <w:rsid w:val="00D51A15"/>
    <w:rsid w:val="00D53175"/>
    <w:rsid w:val="00D56A52"/>
    <w:rsid w:val="00D5712F"/>
    <w:rsid w:val="00D57972"/>
    <w:rsid w:val="00D616F7"/>
    <w:rsid w:val="00D6178A"/>
    <w:rsid w:val="00D62126"/>
    <w:rsid w:val="00D62760"/>
    <w:rsid w:val="00D63FE7"/>
    <w:rsid w:val="00D654C6"/>
    <w:rsid w:val="00D675A9"/>
    <w:rsid w:val="00D738D6"/>
    <w:rsid w:val="00D755EB"/>
    <w:rsid w:val="00D75F67"/>
    <w:rsid w:val="00D765EC"/>
    <w:rsid w:val="00D81210"/>
    <w:rsid w:val="00D85C9F"/>
    <w:rsid w:val="00D87E00"/>
    <w:rsid w:val="00D9134D"/>
    <w:rsid w:val="00D914C3"/>
    <w:rsid w:val="00D92158"/>
    <w:rsid w:val="00D926E9"/>
    <w:rsid w:val="00D92C48"/>
    <w:rsid w:val="00D9409B"/>
    <w:rsid w:val="00D94E16"/>
    <w:rsid w:val="00D94FD2"/>
    <w:rsid w:val="00D95F83"/>
    <w:rsid w:val="00D9676D"/>
    <w:rsid w:val="00D96F4E"/>
    <w:rsid w:val="00DA495E"/>
    <w:rsid w:val="00DA7A03"/>
    <w:rsid w:val="00DB0119"/>
    <w:rsid w:val="00DB0B7F"/>
    <w:rsid w:val="00DB1818"/>
    <w:rsid w:val="00DB4A58"/>
    <w:rsid w:val="00DB5A6B"/>
    <w:rsid w:val="00DC06ED"/>
    <w:rsid w:val="00DC0F04"/>
    <w:rsid w:val="00DC309B"/>
    <w:rsid w:val="00DC4DA2"/>
    <w:rsid w:val="00DD1A10"/>
    <w:rsid w:val="00DD2A8A"/>
    <w:rsid w:val="00DD3B12"/>
    <w:rsid w:val="00DD4C17"/>
    <w:rsid w:val="00DD4D0B"/>
    <w:rsid w:val="00DD71A6"/>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22E7B"/>
    <w:rsid w:val="00E30929"/>
    <w:rsid w:val="00E31A5E"/>
    <w:rsid w:val="00E344B9"/>
    <w:rsid w:val="00E34C02"/>
    <w:rsid w:val="00E40260"/>
    <w:rsid w:val="00E40D2B"/>
    <w:rsid w:val="00E420AD"/>
    <w:rsid w:val="00E44582"/>
    <w:rsid w:val="00E44EF0"/>
    <w:rsid w:val="00E50039"/>
    <w:rsid w:val="00E52814"/>
    <w:rsid w:val="00E609FC"/>
    <w:rsid w:val="00E60A57"/>
    <w:rsid w:val="00E649A9"/>
    <w:rsid w:val="00E6516F"/>
    <w:rsid w:val="00E65E13"/>
    <w:rsid w:val="00E664B2"/>
    <w:rsid w:val="00E72324"/>
    <w:rsid w:val="00E72ABE"/>
    <w:rsid w:val="00E74D99"/>
    <w:rsid w:val="00E75D3C"/>
    <w:rsid w:val="00E77645"/>
    <w:rsid w:val="00E777FD"/>
    <w:rsid w:val="00E8127C"/>
    <w:rsid w:val="00E83104"/>
    <w:rsid w:val="00E9012C"/>
    <w:rsid w:val="00E9103C"/>
    <w:rsid w:val="00E96A8E"/>
    <w:rsid w:val="00EA11F2"/>
    <w:rsid w:val="00EA1665"/>
    <w:rsid w:val="00EA1922"/>
    <w:rsid w:val="00EA3416"/>
    <w:rsid w:val="00EA4B7E"/>
    <w:rsid w:val="00EA6F9B"/>
    <w:rsid w:val="00EB0BB2"/>
    <w:rsid w:val="00EB369C"/>
    <w:rsid w:val="00EC4A25"/>
    <w:rsid w:val="00EC55C0"/>
    <w:rsid w:val="00EC5B39"/>
    <w:rsid w:val="00ED40DE"/>
    <w:rsid w:val="00ED6A47"/>
    <w:rsid w:val="00EE0817"/>
    <w:rsid w:val="00EE48CD"/>
    <w:rsid w:val="00EE5AA7"/>
    <w:rsid w:val="00EF5E69"/>
    <w:rsid w:val="00EF7451"/>
    <w:rsid w:val="00EF7BF5"/>
    <w:rsid w:val="00F025A2"/>
    <w:rsid w:val="00F04712"/>
    <w:rsid w:val="00F1763F"/>
    <w:rsid w:val="00F21311"/>
    <w:rsid w:val="00F22EC7"/>
    <w:rsid w:val="00F24920"/>
    <w:rsid w:val="00F262F6"/>
    <w:rsid w:val="00F26FCF"/>
    <w:rsid w:val="00F31384"/>
    <w:rsid w:val="00F325C8"/>
    <w:rsid w:val="00F35359"/>
    <w:rsid w:val="00F453AF"/>
    <w:rsid w:val="00F45F18"/>
    <w:rsid w:val="00F501B8"/>
    <w:rsid w:val="00F507C1"/>
    <w:rsid w:val="00F516AF"/>
    <w:rsid w:val="00F62AEB"/>
    <w:rsid w:val="00F62CE9"/>
    <w:rsid w:val="00F650CA"/>
    <w:rsid w:val="00F653B8"/>
    <w:rsid w:val="00F65AD8"/>
    <w:rsid w:val="00F65EC6"/>
    <w:rsid w:val="00F70647"/>
    <w:rsid w:val="00F712B9"/>
    <w:rsid w:val="00F72696"/>
    <w:rsid w:val="00F73E0F"/>
    <w:rsid w:val="00F7437C"/>
    <w:rsid w:val="00F768E8"/>
    <w:rsid w:val="00F76A1C"/>
    <w:rsid w:val="00F81C7D"/>
    <w:rsid w:val="00F82350"/>
    <w:rsid w:val="00F86365"/>
    <w:rsid w:val="00F86782"/>
    <w:rsid w:val="00F867A9"/>
    <w:rsid w:val="00F86A50"/>
    <w:rsid w:val="00F87D5B"/>
    <w:rsid w:val="00F914BD"/>
    <w:rsid w:val="00F91BB5"/>
    <w:rsid w:val="00F93150"/>
    <w:rsid w:val="00F9325D"/>
    <w:rsid w:val="00F937F5"/>
    <w:rsid w:val="00F97AFD"/>
    <w:rsid w:val="00F97B58"/>
    <w:rsid w:val="00FA1266"/>
    <w:rsid w:val="00FA2149"/>
    <w:rsid w:val="00FA62EC"/>
    <w:rsid w:val="00FB240F"/>
    <w:rsid w:val="00FB4F95"/>
    <w:rsid w:val="00FC1192"/>
    <w:rsid w:val="00FC79E6"/>
    <w:rsid w:val="00FD2958"/>
    <w:rsid w:val="00FD46C6"/>
    <w:rsid w:val="00FD5176"/>
    <w:rsid w:val="00FE3076"/>
    <w:rsid w:val="00FE44D7"/>
    <w:rsid w:val="00FF06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234</TotalTime>
  <Pages>4</Pages>
  <Words>1709</Words>
  <Characters>9744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(Apple)</cp:lastModifiedBy>
  <cp:revision>35</cp:revision>
  <cp:lastPrinted>2019-02-25T14:05:00Z</cp:lastPrinted>
  <dcterms:created xsi:type="dcterms:W3CDTF">2024-08-07T15:37:00Z</dcterms:created>
  <dcterms:modified xsi:type="dcterms:W3CDTF">2024-10-02T19:31:00Z</dcterms:modified>
  <cp:category/>
</cp:coreProperties>
</file>