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2F505" w14:textId="262DBDE5" w:rsidR="00DE7C7A" w:rsidRDefault="00000000">
      <w:pPr>
        <w:keepLines/>
        <w:widowControl/>
        <w:tabs>
          <w:tab w:val="left" w:pos="567"/>
        </w:tabs>
        <w:adjustRightInd w:val="0"/>
        <w:snapToGrid w:val="0"/>
        <w:spacing w:after="0" w:line="276" w:lineRule="auto"/>
        <w:jc w:val="left"/>
        <w:rPr>
          <w:rFonts w:eastAsia="SimSun" w:cs="Arial"/>
          <w:bCs/>
          <w:kern w:val="0"/>
          <w:sz w:val="28"/>
          <w:szCs w:val="28"/>
          <w:lang w:val="en-US" w:eastAsia="zh-CN"/>
        </w:rPr>
      </w:pPr>
      <w:bookmarkStart w:id="0" w:name="_Hlk101780234"/>
      <w:r>
        <w:rPr>
          <w:rFonts w:eastAsia="SimSun" w:cs="Arial"/>
          <w:b/>
          <w:kern w:val="0"/>
          <w:sz w:val="28"/>
          <w:szCs w:val="28"/>
          <w:lang w:val="en-US" w:eastAsia="en-US"/>
        </w:rPr>
        <w:t>3GPP TSG-RAN2#127</w:t>
      </w:r>
      <w:r>
        <w:rPr>
          <w:rFonts w:eastAsia="SimSun" w:cs="Arial" w:hint="eastAsia"/>
          <w:b/>
          <w:kern w:val="0"/>
          <w:sz w:val="28"/>
          <w:szCs w:val="28"/>
          <w:lang w:val="en-US" w:eastAsia="zh-CN"/>
        </w:rPr>
        <w:t>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564F62" w:rsidRPr="00564F62">
        <w:rPr>
          <w:rFonts w:eastAsia="SimSun" w:cs="Arial"/>
          <w:b/>
          <w:kern w:val="0"/>
          <w:sz w:val="28"/>
          <w:szCs w:val="28"/>
          <w:lang w:eastAsia="en-US"/>
        </w:rPr>
        <w:t>R2-2408534</w:t>
      </w:r>
    </w:p>
    <w:p w14:paraId="707E7F61" w14:textId="3FF4AE7E" w:rsidR="00DE7C7A"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Pr>
          <w:rFonts w:eastAsia="SimSun" w:cs="Arial" w:hint="eastAsia"/>
          <w:b/>
          <w:kern w:val="0"/>
          <w:sz w:val="28"/>
          <w:szCs w:val="28"/>
          <w:lang w:val="en-US" w:eastAsia="zh-CN"/>
        </w:rPr>
        <w:t>Hefei</w:t>
      </w:r>
      <w:r>
        <w:rPr>
          <w:rFonts w:eastAsia="SimSun" w:cs="Arial"/>
          <w:b/>
          <w:kern w:val="0"/>
          <w:sz w:val="28"/>
          <w:szCs w:val="28"/>
          <w:lang w:val="en-US" w:eastAsia="en-US"/>
        </w:rPr>
        <w:t xml:space="preserve">, </w:t>
      </w:r>
      <w:r>
        <w:rPr>
          <w:rFonts w:eastAsia="SimSun" w:cs="Arial" w:hint="eastAsia"/>
          <w:b/>
          <w:kern w:val="0"/>
          <w:sz w:val="28"/>
          <w:szCs w:val="28"/>
          <w:lang w:val="en-US" w:eastAsia="zh-CN"/>
        </w:rPr>
        <w:t>China</w:t>
      </w:r>
      <w:r>
        <w:rPr>
          <w:b/>
          <w:bCs/>
          <w:sz w:val="28"/>
          <w:szCs w:val="28"/>
        </w:rPr>
        <w:t xml:space="preserve">, </w:t>
      </w:r>
      <w:r>
        <w:rPr>
          <w:rFonts w:hint="eastAsia"/>
          <w:b/>
          <w:bCs/>
          <w:sz w:val="28"/>
          <w:szCs w:val="28"/>
          <w:lang w:val="en-US" w:eastAsia="zh-CN"/>
        </w:rPr>
        <w:t>Oct 14</w:t>
      </w:r>
      <w:proofErr w:type="spellStart"/>
      <w:r>
        <w:rPr>
          <w:b/>
          <w:bCs/>
          <w:sz w:val="28"/>
          <w:szCs w:val="28"/>
          <w:vertAlign w:val="superscript"/>
        </w:rPr>
        <w:t>th</w:t>
      </w:r>
      <w:proofErr w:type="spellEnd"/>
      <w:r>
        <w:rPr>
          <w:b/>
          <w:bCs/>
          <w:sz w:val="28"/>
          <w:szCs w:val="28"/>
        </w:rPr>
        <w:t xml:space="preserve"> – </w:t>
      </w:r>
      <w:r>
        <w:rPr>
          <w:rFonts w:hint="eastAsia"/>
          <w:b/>
          <w:bCs/>
          <w:sz w:val="28"/>
          <w:szCs w:val="28"/>
          <w:lang w:val="en-US" w:eastAsia="zh-CN"/>
        </w:rPr>
        <w:t>18</w:t>
      </w:r>
      <w:r>
        <w:rPr>
          <w:rFonts w:hint="eastAsia"/>
          <w:b/>
          <w:bCs/>
          <w:sz w:val="28"/>
          <w:szCs w:val="28"/>
          <w:vertAlign w:val="superscript"/>
          <w:lang w:val="en-US" w:eastAsia="zh-CN"/>
        </w:rPr>
        <w:t>th</w:t>
      </w:r>
      <w:r>
        <w:rPr>
          <w:rFonts w:eastAsia="SimSun" w:cs="Arial"/>
          <w:b/>
          <w:bCs/>
          <w:kern w:val="0"/>
          <w:sz w:val="28"/>
          <w:szCs w:val="28"/>
          <w:lang w:val="en-US" w:eastAsia="en-US"/>
        </w:rPr>
        <w:t xml:space="preserve">, </w:t>
      </w:r>
      <w:r>
        <w:rPr>
          <w:rFonts w:eastAsia="SimSun" w:cs="Arial"/>
          <w:b/>
          <w:kern w:val="0"/>
          <w:sz w:val="28"/>
          <w:szCs w:val="28"/>
          <w:lang w:val="en-US" w:eastAsia="en-US"/>
        </w:rPr>
        <w:t>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r>
      <w:r>
        <w:rPr>
          <w:rFonts w:cs="Arial" w:hint="eastAsia"/>
          <w:b/>
          <w:bCs/>
          <w:kern w:val="0"/>
          <w:sz w:val="28"/>
          <w:szCs w:val="28"/>
          <w:lang w:val="en-US" w:eastAsia="zh-CN"/>
        </w:rPr>
        <w:t xml:space="preserve">               </w:t>
      </w:r>
      <w:r>
        <w:rPr>
          <w:rFonts w:cs="Arial"/>
          <w:b/>
          <w:bCs/>
          <w:kern w:val="0"/>
          <w:sz w:val="28"/>
          <w:szCs w:val="28"/>
        </w:rPr>
        <w:t xml:space="preserve"> </w:t>
      </w:r>
      <w:r>
        <w:rPr>
          <w:rFonts w:cs="Arial" w:hint="eastAsia"/>
          <w:b/>
          <w:bCs/>
          <w:kern w:val="0"/>
          <w:sz w:val="28"/>
          <w:szCs w:val="28"/>
          <w:lang w:val="en-US" w:eastAsia="zh-CN"/>
        </w:rPr>
        <w:t xml:space="preserve">   </w:t>
      </w:r>
    </w:p>
    <w:p w14:paraId="3FE99FC7" w14:textId="77777777" w:rsidR="00DE7C7A" w:rsidRDefault="00000000">
      <w:pPr>
        <w:overflowPunct w:val="0"/>
        <w:autoSpaceDE w:val="0"/>
        <w:autoSpaceDN w:val="0"/>
        <w:adjustRightInd w:val="0"/>
        <w:snapToGrid w:val="0"/>
        <w:spacing w:before="240"/>
        <w:jc w:val="left"/>
        <w:textAlignment w:val="baseline"/>
        <w:rPr>
          <w:rFonts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0A372BC" w14:textId="77777777" w:rsidR="00DE7C7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Initialization of</w:t>
      </w:r>
      <w:r>
        <w:rPr>
          <w:rFonts w:cs="Arial" w:hint="eastAsia"/>
          <w:b/>
          <w:bCs/>
          <w:snapToGrid w:val="0"/>
          <w:kern w:val="0"/>
          <w:sz w:val="28"/>
          <w:szCs w:val="28"/>
          <w:lang w:val="en-US" w:eastAsia="zh-CN"/>
        </w:rPr>
        <w:t xml:space="preserve"> DRX_SFN_COUNTER </w:t>
      </w:r>
      <w:r>
        <w:rPr>
          <w:rFonts w:cs="Arial"/>
          <w:b/>
          <w:bCs/>
          <w:snapToGrid w:val="0"/>
          <w:kern w:val="0"/>
          <w:sz w:val="28"/>
          <w:szCs w:val="28"/>
          <w:lang w:val="en-US" w:eastAsia="zh-CN"/>
        </w:rPr>
        <w:t>at handover</w:t>
      </w:r>
    </w:p>
    <w:p w14:paraId="197536D2" w14:textId="77777777" w:rsidR="00DE7C7A"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w:t>
      </w:r>
      <w:r>
        <w:rPr>
          <w:rFonts w:cs="Arial"/>
          <w:b/>
          <w:bCs/>
          <w:snapToGrid w:val="0"/>
          <w:kern w:val="0"/>
          <w:sz w:val="28"/>
          <w:szCs w:val="28"/>
          <w:lang w:val="en-US" w:eastAsia="zh-CN"/>
        </w:rPr>
        <w:t>3</w:t>
      </w:r>
    </w:p>
    <w:p w14:paraId="40C4C353" w14:textId="77777777" w:rsidR="00DE7C7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7860C7F" w14:textId="77777777" w:rsidR="00DE7C7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4C9A5547" w14:textId="3F690865" w:rsidR="00DE7C7A" w:rsidRDefault="00000000">
      <w:pPr>
        <w:pStyle w:val="Reference"/>
        <w:numPr>
          <w:ilvl w:val="0"/>
          <w:numId w:val="0"/>
        </w:numPr>
        <w:rPr>
          <w:rFonts w:eastAsia="DengXian"/>
          <w:kern w:val="2"/>
          <w:lang w:val="en-US" w:eastAsia="zh-CN"/>
        </w:rPr>
      </w:pPr>
      <w:r>
        <w:rPr>
          <w:rFonts w:eastAsia="DengXian"/>
          <w:kern w:val="2"/>
        </w:rPr>
        <w:t xml:space="preserve">At RAN2#126 it was agreed the UE will initialise the DRX_SFN_COUNTER to 1 if the </w:t>
      </w:r>
      <w:proofErr w:type="spellStart"/>
      <w:r>
        <w:rPr>
          <w:rFonts w:eastAsia="DengXian"/>
          <w:kern w:val="2"/>
        </w:rPr>
        <w:t>drx-TimeReferenceSFN</w:t>
      </w:r>
      <w:proofErr w:type="spellEnd"/>
      <w:r>
        <w:rPr>
          <w:rFonts w:eastAsia="DengXian"/>
          <w:kern w:val="2"/>
        </w:rPr>
        <w:t xml:space="preserve"> is included in </w:t>
      </w:r>
      <w:r>
        <w:t xml:space="preserve">the RRC (re-)configuration which is received during </w:t>
      </w:r>
      <w:r>
        <w:rPr>
          <w:rFonts w:eastAsia="DengXian"/>
          <w:kern w:val="2"/>
        </w:rPr>
        <w:t xml:space="preserve">the first half of hyper frame and to 0 otherwise. </w:t>
      </w:r>
      <w:r>
        <w:rPr>
          <w:rFonts w:eastAsia="DengXian" w:hint="eastAsia"/>
          <w:kern w:val="2"/>
          <w:lang w:val="en-US" w:eastAsia="zh-CN"/>
        </w:rPr>
        <w:t xml:space="preserve">At </w:t>
      </w:r>
      <w:r>
        <w:rPr>
          <w:rFonts w:eastAsia="DengXian"/>
          <w:kern w:val="2"/>
        </w:rPr>
        <w:t>RAN2#12</w:t>
      </w:r>
      <w:r>
        <w:rPr>
          <w:rFonts w:eastAsia="DengXian" w:hint="eastAsia"/>
          <w:kern w:val="2"/>
          <w:lang w:val="en-US" w:eastAsia="zh-CN"/>
        </w:rPr>
        <w:t xml:space="preserve">7, there </w:t>
      </w:r>
      <w:r>
        <w:rPr>
          <w:rFonts w:eastAsia="DengXian"/>
          <w:kern w:val="2"/>
          <w:lang w:val="en-US" w:eastAsia="zh-CN"/>
        </w:rPr>
        <w:t>were</w:t>
      </w:r>
      <w:r>
        <w:rPr>
          <w:rFonts w:eastAsia="DengXian" w:hint="eastAsia"/>
          <w:kern w:val="2"/>
          <w:lang w:val="en-US" w:eastAsia="zh-CN"/>
        </w:rPr>
        <w:t xml:space="preserve"> some proposals to optimize the </w:t>
      </w:r>
      <w:r>
        <w:rPr>
          <w:rFonts w:eastAsia="DengXian"/>
          <w:kern w:val="2"/>
        </w:rPr>
        <w:t>DRX_SFN_COUNTER</w:t>
      </w:r>
      <w:r>
        <w:rPr>
          <w:rFonts w:eastAsia="DengXian" w:hint="eastAsia"/>
          <w:kern w:val="2"/>
          <w:lang w:val="en-US" w:eastAsia="zh-CN"/>
        </w:rPr>
        <w:t xml:space="preserve"> initialization in HO case,</w:t>
      </w:r>
      <w:r>
        <w:rPr>
          <w:rFonts w:eastAsia="DengXian"/>
          <w:kern w:val="2"/>
        </w:rPr>
        <w:t xml:space="preserve"> </w:t>
      </w:r>
      <w:r>
        <w:rPr>
          <w:rFonts w:eastAsia="DengXian" w:hint="eastAsia"/>
          <w:kern w:val="2"/>
          <w:lang w:val="en-US" w:eastAsia="zh-CN"/>
        </w:rPr>
        <w:t>and it</w:t>
      </w:r>
      <w:r>
        <w:rPr>
          <w:rFonts w:eastAsia="DengXian"/>
          <w:kern w:val="2"/>
        </w:rPr>
        <w:t xml:space="preserve"> was agreed </w:t>
      </w:r>
      <w:r>
        <w:rPr>
          <w:rFonts w:eastAsia="DengXian" w:hint="eastAsia"/>
          <w:kern w:val="2"/>
          <w:lang w:val="en-US" w:eastAsia="zh-CN"/>
        </w:rPr>
        <w:t xml:space="preserve">that we </w:t>
      </w:r>
      <w:r>
        <w:t>leave this up to network implementation, unless a solution that works in all scenarios (CHO/LTM/Normal HO/Reconfiguration etc) and does not require network to send an extra RRC reconfiguration message can be agreed at next meeting.</w:t>
      </w:r>
    </w:p>
    <w:p w14:paraId="57C66945" w14:textId="662D3CEF" w:rsidR="00DE7C7A" w:rsidRDefault="00000000">
      <w:pPr>
        <w:pStyle w:val="Reference"/>
        <w:numPr>
          <w:ilvl w:val="0"/>
          <w:numId w:val="0"/>
        </w:numPr>
        <w:rPr>
          <w:rFonts w:eastAsia="DengXian"/>
          <w:kern w:val="2"/>
        </w:rPr>
      </w:pPr>
      <w:r>
        <w:rPr>
          <w:rFonts w:eastAsia="DengXian"/>
          <w:kern w:val="2"/>
        </w:rPr>
        <w:t xml:space="preserve">In this </w:t>
      </w:r>
      <w:proofErr w:type="spellStart"/>
      <w:r>
        <w:rPr>
          <w:rFonts w:eastAsia="DengXian"/>
          <w:kern w:val="2"/>
        </w:rPr>
        <w:t>tdoc</w:t>
      </w:r>
      <w:proofErr w:type="spellEnd"/>
      <w:r>
        <w:rPr>
          <w:rFonts w:eastAsia="DengXian"/>
          <w:kern w:val="2"/>
        </w:rPr>
        <w:t xml:space="preserve"> we </w:t>
      </w:r>
      <w:r>
        <w:rPr>
          <w:rFonts w:eastAsia="DengXian" w:hint="eastAsia"/>
          <w:kern w:val="2"/>
          <w:lang w:val="en-US" w:eastAsia="zh-CN"/>
        </w:rPr>
        <w:t xml:space="preserve">will </w:t>
      </w:r>
      <w:r>
        <w:rPr>
          <w:rFonts w:eastAsia="DengXian"/>
          <w:kern w:val="2"/>
        </w:rPr>
        <w:t xml:space="preserve">discuss </w:t>
      </w:r>
      <w:r>
        <w:rPr>
          <w:rFonts w:eastAsia="DengXian" w:hint="eastAsia"/>
          <w:kern w:val="2"/>
          <w:lang w:val="en-US" w:eastAsia="zh-CN"/>
        </w:rPr>
        <w:t>this issue</w:t>
      </w:r>
      <w:r>
        <w:rPr>
          <w:rFonts w:eastAsia="DengXian"/>
          <w:kern w:val="2"/>
        </w:rPr>
        <w:t xml:space="preserve"> and propose a way forward.  </w:t>
      </w:r>
    </w:p>
    <w:p w14:paraId="71C16C28" w14:textId="77777777" w:rsidR="00DE7C7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245F308C" w14:textId="77777777" w:rsidR="00DE7C7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the CHO and LTM procedure, the DRX parameter and </w:t>
      </w:r>
      <w:proofErr w:type="spellStart"/>
      <w:r>
        <w:rPr>
          <w:rFonts w:ascii="Times New Roman" w:hAnsi="Times New Roman" w:hint="eastAsia"/>
          <w:bCs/>
          <w:kern w:val="2"/>
          <w:sz w:val="21"/>
          <w:szCs w:val="24"/>
          <w:lang w:val="en-US" w:eastAsia="zh-CN"/>
        </w:rPr>
        <w:t>drx-referenceSFN</w:t>
      </w:r>
      <w:proofErr w:type="spellEnd"/>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will </w:t>
      </w:r>
      <w:r>
        <w:rPr>
          <w:rFonts w:ascii="Times New Roman" w:hAnsi="Times New Roman" w:hint="eastAsia"/>
          <w:bCs/>
          <w:kern w:val="2"/>
          <w:sz w:val="21"/>
          <w:szCs w:val="24"/>
          <w:lang w:val="en-US" w:eastAsia="zh-CN"/>
        </w:rPr>
        <w:t>have been configured to UE before the HO execution, and the configuration applies to the source serving cell. In these cases:</w:t>
      </w:r>
    </w:p>
    <w:p w14:paraId="72D621A1" w14:textId="70877C21" w:rsidR="00DE7C7A" w:rsidRDefault="00000000" w:rsidP="0097356F">
      <w:pPr>
        <w:pStyle w:val="NormalWeb"/>
        <w:numPr>
          <w:ilvl w:val="0"/>
          <w:numId w:val="7"/>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intra </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-DU LTM and CHO, sin</w:t>
      </w:r>
      <w:r>
        <w:rPr>
          <w:rFonts w:ascii="Times New Roman" w:hAnsi="Times New Roman"/>
          <w:bCs/>
          <w:kern w:val="2"/>
          <w:sz w:val="21"/>
          <w:szCs w:val="24"/>
          <w:lang w:val="en-US" w:eastAsia="zh-CN"/>
        </w:rPr>
        <w:t>c</w:t>
      </w:r>
      <w:r>
        <w:rPr>
          <w:rFonts w:ascii="Times New Roman" w:hAnsi="Times New Roman" w:hint="eastAsia"/>
          <w:bCs/>
          <w:kern w:val="2"/>
          <w:sz w:val="21"/>
          <w:szCs w:val="24"/>
          <w:lang w:val="en-US" w:eastAsia="zh-CN"/>
        </w:rPr>
        <w:t xml:space="preserve">e the traffic pattern is unchanged and the timing between target cell and the source cell is not changed, both UE and </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 xml:space="preserve"> can maintain DRX-SFN-COUNTER, and DRX-SFN-COUNTER re-initialization is not necessary in these cases.</w:t>
      </w:r>
    </w:p>
    <w:p w14:paraId="1BD5153A" w14:textId="146B1B99" w:rsidR="00DE7C7A" w:rsidRDefault="00000000" w:rsidP="0097356F">
      <w:pPr>
        <w:pStyle w:val="NormalWeb"/>
        <w:numPr>
          <w:ilvl w:val="0"/>
          <w:numId w:val="7"/>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inter </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 xml:space="preserve">-DUs LTM and CHO:  if there is timing mis-alignment between source cell and target cell, DRX-SFN-COUNTER re-initialization will be necessary. But the </w:t>
      </w:r>
      <w:proofErr w:type="spellStart"/>
      <w:r>
        <w:rPr>
          <w:rFonts w:ascii="Times New Roman" w:hAnsi="Times New Roman" w:hint="eastAsia"/>
          <w:bCs/>
          <w:kern w:val="2"/>
          <w:sz w:val="21"/>
          <w:szCs w:val="24"/>
          <w:lang w:val="en-US" w:eastAsia="zh-CN"/>
        </w:rPr>
        <w:t>drx-referenceSFN</w:t>
      </w:r>
      <w:proofErr w:type="spellEnd"/>
      <w:r>
        <w:rPr>
          <w:rFonts w:ascii="Times New Roman" w:hAnsi="Times New Roman" w:hint="eastAsia"/>
          <w:bCs/>
          <w:kern w:val="2"/>
          <w:sz w:val="21"/>
          <w:szCs w:val="24"/>
          <w:lang w:val="en-US" w:eastAsia="zh-CN"/>
        </w:rPr>
        <w:t xml:space="preserve"> configuration and LTM/CHO execution may across one or more SFN boundary</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(e.g. SFN wraparound may have be occurred already),  use </w:t>
      </w:r>
      <w:r>
        <w:rPr>
          <w:rFonts w:ascii="Times New Roman" w:hAnsi="Times New Roman"/>
          <w:bCs/>
          <w:kern w:val="2"/>
          <w:sz w:val="21"/>
          <w:szCs w:val="24"/>
          <w:lang w:val="en-US" w:eastAsia="zh-CN"/>
        </w:rPr>
        <w:t xml:space="preserve">of </w:t>
      </w:r>
      <w:r>
        <w:rPr>
          <w:rFonts w:ascii="Times New Roman" w:hAnsi="Times New Roman" w:hint="eastAsia"/>
          <w:bCs/>
          <w:kern w:val="2"/>
          <w:sz w:val="21"/>
          <w:szCs w:val="24"/>
          <w:lang w:val="en-US" w:eastAsia="zh-CN"/>
        </w:rPr>
        <w:t xml:space="preserve">the </w:t>
      </w:r>
      <w:proofErr w:type="spellStart"/>
      <w:r>
        <w:rPr>
          <w:rFonts w:ascii="Times New Roman" w:hAnsi="Times New Roman" w:hint="eastAsia"/>
          <w:bCs/>
          <w:kern w:val="2"/>
          <w:sz w:val="21"/>
          <w:szCs w:val="24"/>
          <w:lang w:val="en-US" w:eastAsia="zh-CN"/>
        </w:rPr>
        <w:t>drx-referenceSFN</w:t>
      </w:r>
      <w:proofErr w:type="spellEnd"/>
      <w:r>
        <w:rPr>
          <w:rFonts w:ascii="Times New Roman" w:hAnsi="Times New Roman" w:hint="eastAsia"/>
          <w:bCs/>
          <w:kern w:val="2"/>
          <w:sz w:val="21"/>
          <w:szCs w:val="24"/>
          <w:lang w:val="en-US" w:eastAsia="zh-CN"/>
        </w:rPr>
        <w:t xml:space="preserve"> configured to initialize the  DRX-SFN-COUNTER during the LTM/CHO execution procedure is not suitable, and initializ</w:t>
      </w:r>
      <w:r>
        <w:rPr>
          <w:rFonts w:ascii="Times New Roman" w:hAnsi="Times New Roman"/>
          <w:bCs/>
          <w:kern w:val="2"/>
          <w:sz w:val="21"/>
          <w:szCs w:val="24"/>
          <w:lang w:val="en-US" w:eastAsia="zh-CN"/>
        </w:rPr>
        <w:t>ing</w:t>
      </w:r>
      <w:r>
        <w:rPr>
          <w:rFonts w:ascii="Times New Roman" w:hAnsi="Times New Roman" w:hint="eastAsia"/>
          <w:bCs/>
          <w:kern w:val="2"/>
          <w:sz w:val="21"/>
          <w:szCs w:val="24"/>
          <w:lang w:val="en-US" w:eastAsia="zh-CN"/>
        </w:rPr>
        <w:t xml:space="preserve"> the  DRX-SFN-COUNTER in this case is </w:t>
      </w:r>
      <w:r>
        <w:rPr>
          <w:rFonts w:ascii="Times New Roman" w:hAnsi="Times New Roman"/>
          <w:bCs/>
          <w:kern w:val="2"/>
          <w:sz w:val="21"/>
          <w:szCs w:val="24"/>
          <w:lang w:val="en-US" w:eastAsia="zh-CN"/>
        </w:rPr>
        <w:t>unclear</w:t>
      </w:r>
      <w:r>
        <w:rPr>
          <w:rFonts w:ascii="Times New Roman" w:hAnsi="Times New Roman" w:hint="eastAsia"/>
          <w:bCs/>
          <w:kern w:val="2"/>
          <w:sz w:val="21"/>
          <w:szCs w:val="24"/>
          <w:lang w:val="en-US" w:eastAsia="zh-CN"/>
        </w:rPr>
        <w:t>.</w:t>
      </w:r>
    </w:p>
    <w:p w14:paraId="589C0FBC" w14:textId="43DAAF9E" w:rsidR="00DE7C7A" w:rsidRPr="0097356F"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97356F">
        <w:rPr>
          <w:rFonts w:ascii="Times New Roman" w:hAnsi="Times New Roman"/>
          <w:b/>
          <w:kern w:val="2"/>
          <w:sz w:val="21"/>
          <w:szCs w:val="24"/>
          <w:lang w:val="en-US" w:eastAsia="zh-CN"/>
        </w:rPr>
        <w:t>Observation 1: if there is timing mis-alignment between source cell and target cell, initializ</w:t>
      </w:r>
      <w:r>
        <w:rPr>
          <w:rFonts w:ascii="Times New Roman" w:hAnsi="Times New Roman"/>
          <w:b/>
          <w:kern w:val="2"/>
          <w:sz w:val="21"/>
          <w:szCs w:val="24"/>
          <w:lang w:val="en-US" w:eastAsia="zh-CN"/>
        </w:rPr>
        <w:t>ation of</w:t>
      </w:r>
      <w:r w:rsidRPr="0097356F">
        <w:rPr>
          <w:rFonts w:ascii="Times New Roman" w:hAnsi="Times New Roman"/>
          <w:b/>
          <w:kern w:val="2"/>
          <w:sz w:val="21"/>
          <w:szCs w:val="24"/>
          <w:lang w:val="en-US" w:eastAsia="zh-CN"/>
        </w:rPr>
        <w:t xml:space="preserve"> the DRX-SFN-COUNTER during the LTM/CHO execution procedure is </w:t>
      </w:r>
      <w:r>
        <w:rPr>
          <w:rFonts w:ascii="Times New Roman" w:hAnsi="Times New Roman" w:hint="eastAsia"/>
          <w:b/>
          <w:kern w:val="2"/>
          <w:sz w:val="21"/>
          <w:szCs w:val="24"/>
          <w:lang w:val="en-US" w:eastAsia="zh-CN"/>
        </w:rPr>
        <w:t>in</w:t>
      </w:r>
      <w:r>
        <w:rPr>
          <w:rFonts w:ascii="Times New Roman" w:hAnsi="Times New Roman"/>
          <w:b/>
          <w:kern w:val="2"/>
          <w:sz w:val="21"/>
          <w:szCs w:val="24"/>
          <w:lang w:val="en-US" w:eastAsia="zh-CN"/>
        </w:rPr>
        <w:t>sufficient since the traffic periodicity may be mis-aligned with the DRX cycle after HO anyway</w:t>
      </w:r>
      <w:r>
        <w:rPr>
          <w:rFonts w:ascii="Times New Roman" w:hAnsi="Times New Roman" w:hint="eastAsia"/>
          <w:b/>
          <w:kern w:val="2"/>
          <w:sz w:val="21"/>
          <w:szCs w:val="24"/>
          <w:lang w:val="en-US" w:eastAsia="zh-CN"/>
        </w:rPr>
        <w:t>.</w:t>
      </w:r>
    </w:p>
    <w:p w14:paraId="0D4984EE" w14:textId="7ED15D35" w:rsidR="00DE7C7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legacy HO </w:t>
      </w:r>
      <w:r>
        <w:rPr>
          <w:rFonts w:ascii="Times New Roman" w:hAnsi="Times New Roman"/>
          <w:bCs/>
          <w:kern w:val="2"/>
          <w:sz w:val="21"/>
          <w:szCs w:val="24"/>
          <w:lang w:val="en-US" w:eastAsia="zh-CN"/>
        </w:rPr>
        <w:t xml:space="preserve">triggered by </w:t>
      </w:r>
      <w:proofErr w:type="spellStart"/>
      <w:r>
        <w:rPr>
          <w:rFonts w:ascii="Times New Roman" w:hAnsi="Times New Roman" w:hint="eastAsia"/>
          <w:bCs/>
          <w:kern w:val="2"/>
          <w:sz w:val="21"/>
          <w:szCs w:val="24"/>
          <w:lang w:val="en-US" w:eastAsia="zh-CN"/>
        </w:rPr>
        <w:t>RRCReconf</w:t>
      </w:r>
      <w:r w:rsidR="00564F62">
        <w:rPr>
          <w:rFonts w:ascii="Times New Roman" w:hAnsi="Times New Roman"/>
          <w:bCs/>
          <w:kern w:val="2"/>
          <w:sz w:val="21"/>
          <w:szCs w:val="24"/>
          <w:lang w:val="en-US" w:eastAsia="zh-CN"/>
        </w:rPr>
        <w:t>i</w:t>
      </w:r>
      <w:r>
        <w:rPr>
          <w:rFonts w:ascii="Times New Roman" w:hAnsi="Times New Roman"/>
          <w:bCs/>
          <w:kern w:val="2"/>
          <w:sz w:val="21"/>
          <w:szCs w:val="24"/>
          <w:lang w:val="en-US" w:eastAsia="zh-CN"/>
        </w:rPr>
        <w:t>g</w:t>
      </w:r>
      <w:r>
        <w:rPr>
          <w:rFonts w:ascii="Times New Roman" w:hAnsi="Times New Roman" w:hint="eastAsia"/>
          <w:bCs/>
          <w:kern w:val="2"/>
          <w:sz w:val="21"/>
          <w:szCs w:val="24"/>
          <w:lang w:val="en-US" w:eastAsia="zh-CN"/>
        </w:rPr>
        <w:t>uration</w:t>
      </w:r>
      <w:proofErr w:type="spellEnd"/>
      <w:r>
        <w:rPr>
          <w:rFonts w:ascii="Times New Roman" w:hAnsi="Times New Roman" w:hint="eastAsia"/>
          <w:bCs/>
          <w:kern w:val="2"/>
          <w:sz w:val="21"/>
          <w:szCs w:val="24"/>
          <w:lang w:val="en-US" w:eastAsia="zh-CN"/>
        </w:rPr>
        <w:t>, since the DRX parameter</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and </w:t>
      </w:r>
      <w:proofErr w:type="spellStart"/>
      <w:r>
        <w:rPr>
          <w:rFonts w:ascii="Times New Roman" w:hAnsi="Times New Roman" w:hint="eastAsia"/>
          <w:bCs/>
          <w:kern w:val="2"/>
          <w:sz w:val="21"/>
          <w:szCs w:val="24"/>
          <w:lang w:val="en-US" w:eastAsia="zh-CN"/>
        </w:rPr>
        <w:t>drx-referenceSFN</w:t>
      </w:r>
      <w:proofErr w:type="spellEnd"/>
      <w:r>
        <w:rPr>
          <w:rFonts w:ascii="Times New Roman" w:hAnsi="Times New Roman" w:hint="eastAsia"/>
          <w:bCs/>
          <w:kern w:val="2"/>
          <w:sz w:val="21"/>
          <w:szCs w:val="24"/>
          <w:lang w:val="en-US" w:eastAsia="zh-CN"/>
        </w:rPr>
        <w:t xml:space="preserve"> are configured by target </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 xml:space="preserve">, the target </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 xml:space="preserve"> and UE can initial</w:t>
      </w:r>
      <w:r>
        <w:rPr>
          <w:rFonts w:ascii="Times New Roman" w:hAnsi="Times New Roman"/>
          <w:bCs/>
          <w:kern w:val="2"/>
          <w:sz w:val="21"/>
          <w:szCs w:val="24"/>
          <w:lang w:val="en-US" w:eastAsia="zh-CN"/>
        </w:rPr>
        <w:t>i</w:t>
      </w:r>
      <w:r>
        <w:rPr>
          <w:rFonts w:ascii="Times New Roman" w:hAnsi="Times New Roman" w:hint="eastAsia"/>
          <w:bCs/>
          <w:kern w:val="2"/>
          <w:sz w:val="21"/>
          <w:szCs w:val="24"/>
          <w:lang w:val="en-US" w:eastAsia="zh-CN"/>
        </w:rPr>
        <w:t xml:space="preserve">ze the DRX-SFN-COUNTER based on the target </w:t>
      </w:r>
      <w:proofErr w:type="spellStart"/>
      <w:r>
        <w:rPr>
          <w:rFonts w:ascii="Times New Roman" w:hAnsi="Times New Roman" w:hint="eastAsia"/>
          <w:bCs/>
          <w:kern w:val="2"/>
          <w:sz w:val="21"/>
          <w:szCs w:val="24"/>
          <w:lang w:val="en-US" w:eastAsia="zh-CN"/>
        </w:rPr>
        <w:t>gNB'</w:t>
      </w:r>
      <w:r>
        <w:rPr>
          <w:rFonts w:ascii="Times New Roman" w:hAnsi="Times New Roman"/>
          <w:bCs/>
          <w:kern w:val="2"/>
          <w:sz w:val="21"/>
          <w:szCs w:val="24"/>
          <w:lang w:val="en-US" w:eastAsia="zh-CN"/>
        </w:rPr>
        <w:t>s</w:t>
      </w:r>
      <w:proofErr w:type="spellEnd"/>
      <w:r>
        <w:rPr>
          <w:rFonts w:ascii="Times New Roman" w:hAnsi="Times New Roman" w:hint="eastAsia"/>
          <w:bCs/>
          <w:kern w:val="2"/>
          <w:sz w:val="21"/>
          <w:szCs w:val="24"/>
          <w:lang w:val="en-US" w:eastAsia="zh-CN"/>
        </w:rPr>
        <w:t xml:space="preserve"> SFN.</w:t>
      </w:r>
    </w:p>
    <w:p w14:paraId="587D52FC" w14:textId="2B79E84B" w:rsidR="00DE7C7A" w:rsidRPr="0097356F"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Observatio</w:t>
      </w:r>
      <w:r>
        <w:rPr>
          <w:rFonts w:ascii="Times New Roman" w:hAnsi="Times New Roman"/>
          <w:b/>
          <w:kern w:val="2"/>
          <w:sz w:val="21"/>
          <w:szCs w:val="24"/>
          <w:lang w:val="en-US" w:eastAsia="zh-CN"/>
        </w:rPr>
        <w:t xml:space="preserve">n 2: </w:t>
      </w:r>
      <w:r w:rsidRPr="0097356F">
        <w:rPr>
          <w:rFonts w:ascii="Times New Roman" w:hAnsi="Times New Roman"/>
          <w:b/>
          <w:kern w:val="2"/>
          <w:sz w:val="21"/>
          <w:szCs w:val="24"/>
          <w:lang w:val="en-US" w:eastAsia="zh-CN"/>
        </w:rPr>
        <w:t xml:space="preserve">For legacy HO </w:t>
      </w:r>
      <w:r>
        <w:rPr>
          <w:rFonts w:ascii="Times New Roman" w:hAnsi="Times New Roman"/>
          <w:b/>
          <w:kern w:val="2"/>
          <w:sz w:val="21"/>
          <w:szCs w:val="24"/>
          <w:lang w:val="en-US" w:eastAsia="zh-CN"/>
        </w:rPr>
        <w:t>triggered by</w:t>
      </w:r>
      <w:r w:rsidRPr="0097356F">
        <w:rPr>
          <w:rFonts w:ascii="Times New Roman" w:hAnsi="Times New Roman"/>
          <w:b/>
          <w:kern w:val="2"/>
          <w:sz w:val="21"/>
          <w:szCs w:val="24"/>
          <w:lang w:val="en-US" w:eastAsia="zh-CN"/>
        </w:rPr>
        <w:t xml:space="preserve"> </w:t>
      </w:r>
      <w:proofErr w:type="spellStart"/>
      <w:r w:rsidRPr="0097356F">
        <w:rPr>
          <w:rFonts w:ascii="Times New Roman" w:hAnsi="Times New Roman"/>
          <w:b/>
          <w:kern w:val="2"/>
          <w:sz w:val="21"/>
          <w:szCs w:val="24"/>
          <w:lang w:val="en-US" w:eastAsia="zh-CN"/>
        </w:rPr>
        <w:t>RRCReconf</w:t>
      </w:r>
      <w:r w:rsidR="00564F62">
        <w:rPr>
          <w:rFonts w:ascii="Times New Roman" w:hAnsi="Times New Roman"/>
          <w:b/>
          <w:kern w:val="2"/>
          <w:sz w:val="21"/>
          <w:szCs w:val="24"/>
          <w:lang w:val="en-US" w:eastAsia="zh-CN"/>
        </w:rPr>
        <w:t>i</w:t>
      </w:r>
      <w:r>
        <w:rPr>
          <w:rFonts w:ascii="Times New Roman" w:hAnsi="Times New Roman"/>
          <w:b/>
          <w:kern w:val="2"/>
          <w:sz w:val="21"/>
          <w:szCs w:val="24"/>
          <w:lang w:val="en-US" w:eastAsia="zh-CN"/>
        </w:rPr>
        <w:t>g</w:t>
      </w:r>
      <w:r w:rsidRPr="0097356F">
        <w:rPr>
          <w:rFonts w:ascii="Times New Roman" w:hAnsi="Times New Roman"/>
          <w:b/>
          <w:kern w:val="2"/>
          <w:sz w:val="21"/>
          <w:szCs w:val="24"/>
          <w:lang w:val="en-US" w:eastAsia="zh-CN"/>
        </w:rPr>
        <w:t>uration</w:t>
      </w:r>
      <w:proofErr w:type="spellEnd"/>
      <w:r>
        <w:rPr>
          <w:rFonts w:ascii="Times New Roman" w:hAnsi="Times New Roman"/>
          <w:b/>
          <w:kern w:val="2"/>
          <w:sz w:val="21"/>
          <w:szCs w:val="24"/>
          <w:lang w:val="en-US" w:eastAsia="zh-CN"/>
        </w:rPr>
        <w:t xml:space="preserve"> (i.e. no CHO/LTM), </w:t>
      </w:r>
      <w:r w:rsidRPr="0097356F">
        <w:rPr>
          <w:rFonts w:ascii="Times New Roman" w:hAnsi="Times New Roman"/>
          <w:b/>
          <w:kern w:val="2"/>
          <w:sz w:val="21"/>
          <w:szCs w:val="24"/>
          <w:lang w:val="en-US" w:eastAsia="zh-CN"/>
        </w:rPr>
        <w:t xml:space="preserve">the target </w:t>
      </w:r>
      <w:proofErr w:type="spellStart"/>
      <w:r w:rsidRPr="0097356F">
        <w:rPr>
          <w:rFonts w:ascii="Times New Roman" w:hAnsi="Times New Roman"/>
          <w:b/>
          <w:kern w:val="2"/>
          <w:sz w:val="21"/>
          <w:szCs w:val="24"/>
          <w:lang w:val="en-US" w:eastAsia="zh-CN"/>
        </w:rPr>
        <w:t>gNB</w:t>
      </w:r>
      <w:proofErr w:type="spellEnd"/>
      <w:r w:rsidRPr="0097356F">
        <w:rPr>
          <w:rFonts w:ascii="Times New Roman" w:hAnsi="Times New Roman"/>
          <w:b/>
          <w:kern w:val="2"/>
          <w:sz w:val="21"/>
          <w:szCs w:val="24"/>
          <w:lang w:val="en-US" w:eastAsia="zh-CN"/>
        </w:rPr>
        <w:t xml:space="preserve"> and UE can initial</w:t>
      </w:r>
      <w:r>
        <w:rPr>
          <w:rFonts w:ascii="Times New Roman" w:hAnsi="Times New Roman"/>
          <w:b/>
          <w:kern w:val="2"/>
          <w:sz w:val="21"/>
          <w:szCs w:val="24"/>
          <w:lang w:val="en-US" w:eastAsia="zh-CN"/>
        </w:rPr>
        <w:t>i</w:t>
      </w:r>
      <w:r w:rsidRPr="0097356F">
        <w:rPr>
          <w:rFonts w:ascii="Times New Roman" w:hAnsi="Times New Roman"/>
          <w:b/>
          <w:kern w:val="2"/>
          <w:sz w:val="21"/>
          <w:szCs w:val="24"/>
          <w:lang w:val="en-US" w:eastAsia="zh-CN"/>
        </w:rPr>
        <w:t xml:space="preserve">ze the DRX-SFN-COUNTER based on the target </w:t>
      </w:r>
      <w:proofErr w:type="spellStart"/>
      <w:r w:rsidRPr="0097356F">
        <w:rPr>
          <w:rFonts w:ascii="Times New Roman" w:hAnsi="Times New Roman"/>
          <w:b/>
          <w:kern w:val="2"/>
          <w:sz w:val="21"/>
          <w:szCs w:val="24"/>
          <w:lang w:val="en-US" w:eastAsia="zh-CN"/>
        </w:rPr>
        <w:t>gNB'</w:t>
      </w:r>
      <w:r>
        <w:rPr>
          <w:rFonts w:ascii="Times New Roman" w:hAnsi="Times New Roman"/>
          <w:b/>
          <w:kern w:val="2"/>
          <w:sz w:val="21"/>
          <w:szCs w:val="24"/>
          <w:lang w:val="en-US" w:eastAsia="zh-CN"/>
        </w:rPr>
        <w:t>s</w:t>
      </w:r>
      <w:proofErr w:type="spellEnd"/>
      <w:r w:rsidRPr="0097356F">
        <w:rPr>
          <w:rFonts w:ascii="Times New Roman" w:hAnsi="Times New Roman"/>
          <w:b/>
          <w:kern w:val="2"/>
          <w:sz w:val="21"/>
          <w:szCs w:val="24"/>
          <w:lang w:val="en-US" w:eastAsia="zh-CN"/>
        </w:rPr>
        <w:t xml:space="preserve"> SFN.</w:t>
      </w:r>
    </w:p>
    <w:p w14:paraId="5AE5740C" w14:textId="60C975EA" w:rsidR="00DE7C7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Thus, </w:t>
      </w:r>
      <w:r>
        <w:rPr>
          <w:rFonts w:ascii="Times New Roman" w:hAnsi="Times New Roman"/>
          <w:bCs/>
          <w:kern w:val="2"/>
          <w:sz w:val="21"/>
          <w:szCs w:val="24"/>
          <w:lang w:val="en-US" w:eastAsia="zh-CN"/>
        </w:rPr>
        <w:t xml:space="preserve">for normal HO case (i.e. no LTM/CHO) </w:t>
      </w:r>
      <w:r>
        <w:rPr>
          <w:rFonts w:ascii="Times New Roman" w:hAnsi="Times New Roman" w:hint="eastAsia"/>
          <w:bCs/>
          <w:kern w:val="2"/>
          <w:sz w:val="21"/>
          <w:szCs w:val="24"/>
          <w:lang w:val="en-US" w:eastAsia="zh-CN"/>
        </w:rPr>
        <w:t>the</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 xml:space="preserve"> is </w:t>
      </w:r>
      <w:r>
        <w:rPr>
          <w:rFonts w:ascii="Times New Roman" w:hAnsi="Times New Roman"/>
          <w:bCs/>
          <w:kern w:val="2"/>
          <w:sz w:val="21"/>
          <w:szCs w:val="24"/>
          <w:lang w:val="en-US" w:eastAsia="zh-CN"/>
        </w:rPr>
        <w:t xml:space="preserve">no issue as long as the DRX-SFN-COUNTER is initialized using the target cell SFN and for all other HO cases, it seems the best thing is to leave this up to network implementation since there will any way be a reconfiguration needed to align the traffic periodicity with the DRX timing in the new target cell. Based on this, it is proposed to decide between the following options: </w:t>
      </w:r>
    </w:p>
    <w:p w14:paraId="39A2D4E8" w14:textId="0B6E91B6" w:rsidR="00DE7C7A"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Proposal: RAN2 to agree one of the following options: </w:t>
      </w:r>
    </w:p>
    <w:p w14:paraId="36CEADBC" w14:textId="31B2846F" w:rsidR="00DE7C7A" w:rsidRDefault="00000000" w:rsidP="0097356F">
      <w:pPr>
        <w:pStyle w:val="NormalWeb"/>
        <w:numPr>
          <w:ilvl w:val="0"/>
          <w:numId w:val="8"/>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Option 1:  In case of handover, the UE uses the target cell SFN as reference for initializing the DRX_SFN_COUNTER and if there is still any ambiguity left (e.g. CHO/LTM cases), the handling is left to network implementation</w:t>
      </w:r>
      <w:r>
        <w:rPr>
          <w:rFonts w:ascii="Times New Roman" w:hAnsi="Times New Roman" w:hint="eastAsia"/>
          <w:b/>
          <w:kern w:val="2"/>
          <w:sz w:val="21"/>
          <w:szCs w:val="24"/>
          <w:lang w:val="en-US" w:eastAsia="zh-CN"/>
        </w:rPr>
        <w:t>.</w:t>
      </w:r>
    </w:p>
    <w:p w14:paraId="31EBDCE4" w14:textId="77777777" w:rsidR="00DE7C7A" w:rsidRDefault="00000000" w:rsidP="0097356F">
      <w:pPr>
        <w:pStyle w:val="NormalWeb"/>
        <w:numPr>
          <w:ilvl w:val="0"/>
          <w:numId w:val="8"/>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Option 2: No changes are done and everything is left to network implementation  </w:t>
      </w:r>
    </w:p>
    <w:p w14:paraId="4085D744" w14:textId="77777777" w:rsidR="00DE7C7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9A02DA2" w14:textId="77777777" w:rsidR="00DE7C7A" w:rsidRDefault="00000000">
      <w:pPr>
        <w:rPr>
          <w:rFonts w:ascii="Times New Roman" w:hAnsi="Times New Roman"/>
          <w:lang w:val="en-US" w:eastAsia="zh-CN"/>
        </w:rPr>
      </w:pPr>
      <w:bookmarkStart w:id="6" w:name="_Toc18413612"/>
      <w:bookmarkStart w:id="7" w:name="_Toc18404543"/>
      <w:bookmarkStart w:id="8" w:name="_Toc18403976"/>
      <w:r>
        <w:rPr>
          <w:rFonts w:ascii="Times New Roman" w:hAnsi="Times New Roman"/>
          <w:lang w:val="en-US" w:eastAsia="zh-CN"/>
        </w:rPr>
        <w:t xml:space="preserve">In this contribution the following observations and proposals are made: </w:t>
      </w:r>
    </w:p>
    <w:p w14:paraId="41038933" w14:textId="28AD7FBD" w:rsidR="00DE7C7A"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Observation 1: if there is timing mis-alignment between source cell and target cell, initialization of the DRX-SFN-COUNTER during the LTM/CHO execution procedure is </w:t>
      </w:r>
      <w:r w:rsidR="0097356F">
        <w:rPr>
          <w:rFonts w:ascii="Times New Roman" w:hAnsi="Times New Roman"/>
          <w:b/>
          <w:kern w:val="2"/>
          <w:sz w:val="21"/>
          <w:szCs w:val="24"/>
          <w:lang w:val="en-US" w:eastAsia="zh-CN"/>
        </w:rPr>
        <w:t>in</w:t>
      </w:r>
      <w:r>
        <w:rPr>
          <w:rFonts w:ascii="Times New Roman" w:hAnsi="Times New Roman"/>
          <w:b/>
          <w:kern w:val="2"/>
          <w:sz w:val="21"/>
          <w:szCs w:val="24"/>
          <w:lang w:val="en-US" w:eastAsia="zh-CN"/>
        </w:rPr>
        <w:t>sufficient since the traffic periodicity may be mis-aligned with the DRX cycle after HO anyway</w:t>
      </w:r>
      <w:r>
        <w:rPr>
          <w:rFonts w:ascii="Times New Roman" w:hAnsi="Times New Roman" w:hint="eastAsia"/>
          <w:b/>
          <w:kern w:val="2"/>
          <w:sz w:val="21"/>
          <w:szCs w:val="24"/>
          <w:lang w:val="en-US" w:eastAsia="zh-CN"/>
        </w:rPr>
        <w:t>.</w:t>
      </w:r>
    </w:p>
    <w:p w14:paraId="3FB35234" w14:textId="3413CDB0" w:rsidR="00DE7C7A"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Observatio</w:t>
      </w:r>
      <w:r>
        <w:rPr>
          <w:rFonts w:ascii="Times New Roman" w:hAnsi="Times New Roman"/>
          <w:b/>
          <w:kern w:val="2"/>
          <w:sz w:val="21"/>
          <w:szCs w:val="24"/>
          <w:lang w:val="en-US" w:eastAsia="zh-CN"/>
        </w:rPr>
        <w:t xml:space="preserve">n 2: For legacy HO triggered by </w:t>
      </w:r>
      <w:proofErr w:type="spellStart"/>
      <w:r>
        <w:rPr>
          <w:rFonts w:ascii="Times New Roman" w:hAnsi="Times New Roman"/>
          <w:b/>
          <w:kern w:val="2"/>
          <w:sz w:val="21"/>
          <w:szCs w:val="24"/>
          <w:lang w:val="en-US" w:eastAsia="zh-CN"/>
        </w:rPr>
        <w:t>RRCReconf</w:t>
      </w:r>
      <w:r w:rsidR="00564F62">
        <w:rPr>
          <w:rFonts w:ascii="Times New Roman" w:hAnsi="Times New Roman"/>
          <w:b/>
          <w:kern w:val="2"/>
          <w:sz w:val="21"/>
          <w:szCs w:val="24"/>
          <w:lang w:val="en-US" w:eastAsia="zh-CN"/>
        </w:rPr>
        <w:t>i</w:t>
      </w:r>
      <w:r>
        <w:rPr>
          <w:rFonts w:ascii="Times New Roman" w:hAnsi="Times New Roman"/>
          <w:b/>
          <w:kern w:val="2"/>
          <w:sz w:val="21"/>
          <w:szCs w:val="24"/>
          <w:lang w:val="en-US" w:eastAsia="zh-CN"/>
        </w:rPr>
        <w:t>guration</w:t>
      </w:r>
      <w:proofErr w:type="spellEnd"/>
      <w:r>
        <w:rPr>
          <w:rFonts w:ascii="Times New Roman" w:hAnsi="Times New Roman"/>
          <w:b/>
          <w:kern w:val="2"/>
          <w:sz w:val="21"/>
          <w:szCs w:val="24"/>
          <w:lang w:val="en-US" w:eastAsia="zh-CN"/>
        </w:rPr>
        <w:t xml:space="preserve"> (i.e. no CHO/LTM), the target </w:t>
      </w:r>
      <w:proofErr w:type="spellStart"/>
      <w:r>
        <w:rPr>
          <w:rFonts w:ascii="Times New Roman" w:hAnsi="Times New Roman"/>
          <w:b/>
          <w:kern w:val="2"/>
          <w:sz w:val="21"/>
          <w:szCs w:val="24"/>
          <w:lang w:val="en-US" w:eastAsia="zh-CN"/>
        </w:rPr>
        <w:t>gNB</w:t>
      </w:r>
      <w:proofErr w:type="spellEnd"/>
      <w:r>
        <w:rPr>
          <w:rFonts w:ascii="Times New Roman" w:hAnsi="Times New Roman"/>
          <w:b/>
          <w:kern w:val="2"/>
          <w:sz w:val="21"/>
          <w:szCs w:val="24"/>
          <w:lang w:val="en-US" w:eastAsia="zh-CN"/>
        </w:rPr>
        <w:t xml:space="preserve"> and UE can initialize the DRX-SFN-COUNTER based on the target </w:t>
      </w:r>
      <w:proofErr w:type="spellStart"/>
      <w:r>
        <w:rPr>
          <w:rFonts w:ascii="Times New Roman" w:hAnsi="Times New Roman"/>
          <w:b/>
          <w:kern w:val="2"/>
          <w:sz w:val="21"/>
          <w:szCs w:val="24"/>
          <w:lang w:val="en-US" w:eastAsia="zh-CN"/>
        </w:rPr>
        <w:t>gNB's</w:t>
      </w:r>
      <w:proofErr w:type="spellEnd"/>
      <w:r>
        <w:rPr>
          <w:rFonts w:ascii="Times New Roman" w:hAnsi="Times New Roman"/>
          <w:b/>
          <w:kern w:val="2"/>
          <w:sz w:val="21"/>
          <w:szCs w:val="24"/>
          <w:lang w:val="en-US" w:eastAsia="zh-CN"/>
        </w:rPr>
        <w:t xml:space="preserve"> SFN.</w:t>
      </w:r>
    </w:p>
    <w:p w14:paraId="02AB8B01" w14:textId="77777777" w:rsidR="00564F62" w:rsidRDefault="00564F62" w:rsidP="00564F62">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Proposal: RAN2 to agree one of the following options: </w:t>
      </w:r>
    </w:p>
    <w:p w14:paraId="0A005386" w14:textId="6E6AD6B4" w:rsidR="00564F62" w:rsidRDefault="00564F62" w:rsidP="00564F62">
      <w:pPr>
        <w:pStyle w:val="NormalWeb"/>
        <w:numPr>
          <w:ilvl w:val="0"/>
          <w:numId w:val="8"/>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Option 1:  In case of handover, the UE uses the target cell SFN as reference for initializing the DRX_SFN_COUNTER and if there is still any ambiguity left (e.g. CHO/LTM cases), the handling is left to network implementation</w:t>
      </w:r>
      <w:r>
        <w:rPr>
          <w:rFonts w:ascii="Times New Roman" w:hAnsi="Times New Roman"/>
          <w:b/>
          <w:kern w:val="2"/>
          <w:sz w:val="21"/>
          <w:szCs w:val="24"/>
          <w:lang w:val="en-US" w:eastAsia="zh-CN"/>
        </w:rPr>
        <w:t xml:space="preserve"> – CR in </w:t>
      </w:r>
      <w:r w:rsidRPr="00564F62">
        <w:rPr>
          <w:rFonts w:ascii="Times New Roman" w:hAnsi="Times New Roman"/>
          <w:b/>
          <w:kern w:val="2"/>
          <w:sz w:val="21"/>
          <w:szCs w:val="24"/>
          <w:lang w:val="en-US" w:eastAsia="zh-CN"/>
        </w:rPr>
        <w:t>R2-2408528</w:t>
      </w:r>
    </w:p>
    <w:p w14:paraId="59238683" w14:textId="4157BA4E" w:rsidR="0097356F" w:rsidRPr="00564F62" w:rsidRDefault="00564F62" w:rsidP="0097356F">
      <w:pPr>
        <w:pStyle w:val="NormalWeb"/>
        <w:numPr>
          <w:ilvl w:val="0"/>
          <w:numId w:val="8"/>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Option 2: No changes are done and everything is left to network implementation  </w:t>
      </w:r>
    </w:p>
    <w:p w14:paraId="29A2FD9C" w14:textId="77777777" w:rsidR="00DE7C7A"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6CE80EC1" w14:textId="77777777" w:rsidR="00DE7C7A" w:rsidRDefault="00000000" w:rsidP="0097356F">
      <w:pPr>
        <w:numPr>
          <w:ilvl w:val="0"/>
          <w:numId w:val="9"/>
        </w:numPr>
      </w:pPr>
      <w:r>
        <w:rPr>
          <w:rFonts w:hint="eastAsia"/>
        </w:rPr>
        <w:t>Draft_RAN2_127_Meeting_Report_v1</w:t>
      </w:r>
    </w:p>
    <w:p w14:paraId="1D8AEE16" w14:textId="77777777" w:rsidR="00DE7C7A" w:rsidRDefault="00DE7C7A">
      <w:pPr>
        <w:pStyle w:val="NormalWeb"/>
        <w:spacing w:before="75" w:beforeAutospacing="0" w:after="75" w:afterAutospacing="0" w:line="315" w:lineRule="atLeast"/>
        <w:rPr>
          <w:rFonts w:cs="Arial"/>
          <w:color w:val="000000"/>
          <w:sz w:val="21"/>
        </w:rPr>
      </w:pPr>
    </w:p>
    <w:sectPr w:rsidR="00DE7C7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F31D6" w14:textId="77777777" w:rsidR="00935755" w:rsidRDefault="00935755">
      <w:pPr>
        <w:spacing w:line="240" w:lineRule="auto"/>
      </w:pPr>
      <w:r>
        <w:separator/>
      </w:r>
    </w:p>
  </w:endnote>
  <w:endnote w:type="continuationSeparator" w:id="0">
    <w:p w14:paraId="7A6B39CE" w14:textId="77777777" w:rsidR="00935755" w:rsidRDefault="009357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1B659" w14:textId="77777777" w:rsidR="00DE7C7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FD4C60" w14:textId="77777777" w:rsidR="00DE7C7A" w:rsidRDefault="00DE7C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FE7CD" w14:textId="77777777" w:rsidR="00DE7C7A" w:rsidRDefault="00DE7C7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A7DA8" w14:textId="77777777" w:rsidR="00564F62" w:rsidRDefault="00564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F3DF5" w14:textId="77777777" w:rsidR="00935755" w:rsidRDefault="00935755">
      <w:pPr>
        <w:spacing w:after="0"/>
      </w:pPr>
      <w:r>
        <w:separator/>
      </w:r>
    </w:p>
  </w:footnote>
  <w:footnote w:type="continuationSeparator" w:id="0">
    <w:p w14:paraId="51CD008F" w14:textId="77777777" w:rsidR="00935755" w:rsidRDefault="00935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9EB6D" w14:textId="77777777" w:rsidR="00564F62" w:rsidRDefault="00564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2BA1C" w14:textId="77777777" w:rsidR="00DE7C7A" w:rsidRDefault="00DE7C7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89A1E" w14:textId="77777777" w:rsidR="00564F62" w:rsidRDefault="00564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9B6DFB"/>
    <w:multiLevelType w:val="singleLevel"/>
    <w:tmpl w:val="EE9B6DFB"/>
    <w:lvl w:ilvl="0">
      <w:start w:val="1"/>
      <w:numFmt w:val="decimal"/>
      <w:lvlText w:val="(%1)"/>
      <w:lvlJc w:val="left"/>
      <w:pPr>
        <w:ind w:left="425" w:hanging="425"/>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EB4AB2"/>
    <w:multiLevelType w:val="singleLevel"/>
    <w:tmpl w:val="07EB4AB2"/>
    <w:lvl w:ilvl="0">
      <w:start w:val="1"/>
      <w:numFmt w:val="bullet"/>
      <w:lvlText w:val=""/>
      <w:lvlJc w:val="left"/>
      <w:pPr>
        <w:ind w:left="420" w:hanging="420"/>
      </w:pPr>
      <w:rPr>
        <w:rFonts w:ascii="Wingdings" w:hAnsi="Wingdings" w:hint="default"/>
      </w:rPr>
    </w:lvl>
  </w:abstractNum>
  <w:abstractNum w:abstractNumId="4" w15:restartNumberingAfterBreak="0">
    <w:nsid w:val="0DEB2DE7"/>
    <w:multiLevelType w:val="multilevel"/>
    <w:tmpl w:val="0DEB2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01160088">
    <w:abstractNumId w:val="1"/>
  </w:num>
  <w:num w:numId="2" w16cid:durableId="1120611104">
    <w:abstractNumId w:val="8"/>
  </w:num>
  <w:num w:numId="3" w16cid:durableId="842012864">
    <w:abstractNumId w:val="5"/>
  </w:num>
  <w:num w:numId="4" w16cid:durableId="1459644215">
    <w:abstractNumId w:val="6"/>
  </w:num>
  <w:num w:numId="5" w16cid:durableId="1008482980">
    <w:abstractNumId w:val="7"/>
  </w:num>
  <w:num w:numId="6" w16cid:durableId="988703692">
    <w:abstractNumId w:val="2"/>
  </w:num>
  <w:num w:numId="7" w16cid:durableId="605357395">
    <w:abstractNumId w:val="3"/>
  </w:num>
  <w:num w:numId="8" w16cid:durableId="475532336">
    <w:abstractNumId w:val="4"/>
  </w:num>
  <w:num w:numId="9" w16cid:durableId="1716853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1FD"/>
    <w:rsid w:val="00000E4F"/>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1DF3"/>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1D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0B6"/>
    <w:rsid w:val="000F6D2E"/>
    <w:rsid w:val="000F78FD"/>
    <w:rsid w:val="00100030"/>
    <w:rsid w:val="00107390"/>
    <w:rsid w:val="00111739"/>
    <w:rsid w:val="00111C96"/>
    <w:rsid w:val="00111CE0"/>
    <w:rsid w:val="00111DF0"/>
    <w:rsid w:val="00112FA5"/>
    <w:rsid w:val="001135C5"/>
    <w:rsid w:val="0011408D"/>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6710A"/>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2CBA"/>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306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0C0C"/>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38D"/>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6093"/>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4CA6"/>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4E4D"/>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B7B"/>
    <w:rsid w:val="00333D6C"/>
    <w:rsid w:val="0033525E"/>
    <w:rsid w:val="00335B60"/>
    <w:rsid w:val="00336046"/>
    <w:rsid w:val="00337B70"/>
    <w:rsid w:val="003405FB"/>
    <w:rsid w:val="003409C2"/>
    <w:rsid w:val="00340AAF"/>
    <w:rsid w:val="003436BE"/>
    <w:rsid w:val="00344D81"/>
    <w:rsid w:val="003450D1"/>
    <w:rsid w:val="00345FC0"/>
    <w:rsid w:val="003469FC"/>
    <w:rsid w:val="0034748A"/>
    <w:rsid w:val="00347800"/>
    <w:rsid w:val="003504B5"/>
    <w:rsid w:val="00351234"/>
    <w:rsid w:val="00351331"/>
    <w:rsid w:val="003546A6"/>
    <w:rsid w:val="00354915"/>
    <w:rsid w:val="00354E6F"/>
    <w:rsid w:val="00355E51"/>
    <w:rsid w:val="003577BE"/>
    <w:rsid w:val="00360AB9"/>
    <w:rsid w:val="003615F7"/>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5A6"/>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07DA"/>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2D28"/>
    <w:rsid w:val="0044341B"/>
    <w:rsid w:val="00443D84"/>
    <w:rsid w:val="00444F7D"/>
    <w:rsid w:val="00445007"/>
    <w:rsid w:val="004451EF"/>
    <w:rsid w:val="00446965"/>
    <w:rsid w:val="00446A9B"/>
    <w:rsid w:val="004474AF"/>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2C99"/>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D7142"/>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07F"/>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4F6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120"/>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19B8"/>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3D27"/>
    <w:rsid w:val="0066419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C81"/>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114"/>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07B"/>
    <w:rsid w:val="007D79D8"/>
    <w:rsid w:val="007D7AE2"/>
    <w:rsid w:val="007D7FB1"/>
    <w:rsid w:val="007E031D"/>
    <w:rsid w:val="007E0F24"/>
    <w:rsid w:val="007E17B1"/>
    <w:rsid w:val="007E1E78"/>
    <w:rsid w:val="007E27C0"/>
    <w:rsid w:val="007E359C"/>
    <w:rsid w:val="007E366D"/>
    <w:rsid w:val="007E4716"/>
    <w:rsid w:val="007E528F"/>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714"/>
    <w:rsid w:val="00814945"/>
    <w:rsid w:val="00814985"/>
    <w:rsid w:val="0081500E"/>
    <w:rsid w:val="008160BF"/>
    <w:rsid w:val="00816F96"/>
    <w:rsid w:val="008170EC"/>
    <w:rsid w:val="008175D4"/>
    <w:rsid w:val="008213D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21A1"/>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2D6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5755"/>
    <w:rsid w:val="00936332"/>
    <w:rsid w:val="009400CF"/>
    <w:rsid w:val="0094029F"/>
    <w:rsid w:val="00940533"/>
    <w:rsid w:val="00940BBB"/>
    <w:rsid w:val="009410AE"/>
    <w:rsid w:val="00942D4D"/>
    <w:rsid w:val="009432FE"/>
    <w:rsid w:val="009438F8"/>
    <w:rsid w:val="00944414"/>
    <w:rsid w:val="00945FA9"/>
    <w:rsid w:val="0094691D"/>
    <w:rsid w:val="00946B6E"/>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56F"/>
    <w:rsid w:val="009737E4"/>
    <w:rsid w:val="009755AD"/>
    <w:rsid w:val="0097578C"/>
    <w:rsid w:val="009757E0"/>
    <w:rsid w:val="009763AA"/>
    <w:rsid w:val="00976472"/>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2F3A"/>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4BF"/>
    <w:rsid w:val="00AB0F68"/>
    <w:rsid w:val="00AB134B"/>
    <w:rsid w:val="00AB13C5"/>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7E2"/>
    <w:rsid w:val="00AC70FC"/>
    <w:rsid w:val="00AC73E8"/>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3449"/>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0E5D"/>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24CF"/>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33CC"/>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0FAA"/>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84A"/>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096"/>
    <w:rsid w:val="00D205D0"/>
    <w:rsid w:val="00D21306"/>
    <w:rsid w:val="00D2151A"/>
    <w:rsid w:val="00D22151"/>
    <w:rsid w:val="00D240AB"/>
    <w:rsid w:val="00D24B12"/>
    <w:rsid w:val="00D24F8A"/>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4C70"/>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548F"/>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533"/>
    <w:rsid w:val="00DB7729"/>
    <w:rsid w:val="00DB7BB9"/>
    <w:rsid w:val="00DC207B"/>
    <w:rsid w:val="00DC22BE"/>
    <w:rsid w:val="00DC5F62"/>
    <w:rsid w:val="00DC756D"/>
    <w:rsid w:val="00DC7FAF"/>
    <w:rsid w:val="00DD02BA"/>
    <w:rsid w:val="00DD100B"/>
    <w:rsid w:val="00DD1607"/>
    <w:rsid w:val="00DD19A8"/>
    <w:rsid w:val="00DD19FE"/>
    <w:rsid w:val="00DD34FE"/>
    <w:rsid w:val="00DD42F9"/>
    <w:rsid w:val="00DD454E"/>
    <w:rsid w:val="00DE1B4A"/>
    <w:rsid w:val="00DE2CFF"/>
    <w:rsid w:val="00DE3330"/>
    <w:rsid w:val="00DE5939"/>
    <w:rsid w:val="00DE5EAE"/>
    <w:rsid w:val="00DE6492"/>
    <w:rsid w:val="00DE7154"/>
    <w:rsid w:val="00DE7200"/>
    <w:rsid w:val="00DE7C7A"/>
    <w:rsid w:val="00DF01BB"/>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3D5C"/>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27C"/>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786"/>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14A9"/>
    <w:rsid w:val="00F6227E"/>
    <w:rsid w:val="00F64AA8"/>
    <w:rsid w:val="00F64EA5"/>
    <w:rsid w:val="00F65567"/>
    <w:rsid w:val="00F65F37"/>
    <w:rsid w:val="00F66A3D"/>
    <w:rsid w:val="00F66DF3"/>
    <w:rsid w:val="00F67AB2"/>
    <w:rsid w:val="00F7155A"/>
    <w:rsid w:val="00F73D21"/>
    <w:rsid w:val="00F73DFD"/>
    <w:rsid w:val="00F74ED0"/>
    <w:rsid w:val="00F75B44"/>
    <w:rsid w:val="00F7765E"/>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33BE"/>
    <w:rsid w:val="00FB49D7"/>
    <w:rsid w:val="00FB4CFF"/>
    <w:rsid w:val="00FB4F37"/>
    <w:rsid w:val="00FB79F1"/>
    <w:rsid w:val="00FB7E5A"/>
    <w:rsid w:val="00FC07B8"/>
    <w:rsid w:val="00FC07FC"/>
    <w:rsid w:val="00FC13D8"/>
    <w:rsid w:val="00FC17BB"/>
    <w:rsid w:val="00FC34E3"/>
    <w:rsid w:val="00FC4C6F"/>
    <w:rsid w:val="00FC6E54"/>
    <w:rsid w:val="00FD09B7"/>
    <w:rsid w:val="00FD1379"/>
    <w:rsid w:val="00FD2FB8"/>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429"/>
    <w:rsid w:val="00FF1565"/>
    <w:rsid w:val="00FF29CE"/>
    <w:rsid w:val="00FF2E7C"/>
    <w:rsid w:val="00FF33F4"/>
    <w:rsid w:val="00FF3748"/>
    <w:rsid w:val="00FF38F7"/>
    <w:rsid w:val="00FF3FC8"/>
    <w:rsid w:val="00FF5329"/>
    <w:rsid w:val="019D18DB"/>
    <w:rsid w:val="01C97F9D"/>
    <w:rsid w:val="02355118"/>
    <w:rsid w:val="0276200A"/>
    <w:rsid w:val="02905223"/>
    <w:rsid w:val="04B65AC7"/>
    <w:rsid w:val="04C063D7"/>
    <w:rsid w:val="04C80BE4"/>
    <w:rsid w:val="054D2E98"/>
    <w:rsid w:val="059B2220"/>
    <w:rsid w:val="05B1578B"/>
    <w:rsid w:val="066F03DC"/>
    <w:rsid w:val="071246D1"/>
    <w:rsid w:val="073D1435"/>
    <w:rsid w:val="07C22AC8"/>
    <w:rsid w:val="087D49D7"/>
    <w:rsid w:val="08872137"/>
    <w:rsid w:val="092403B3"/>
    <w:rsid w:val="094B5A4F"/>
    <w:rsid w:val="098B1EF5"/>
    <w:rsid w:val="09F00BD8"/>
    <w:rsid w:val="0A2501E1"/>
    <w:rsid w:val="0A4D7372"/>
    <w:rsid w:val="0ADF0B82"/>
    <w:rsid w:val="0B2C0FB7"/>
    <w:rsid w:val="0C873133"/>
    <w:rsid w:val="0CBA1583"/>
    <w:rsid w:val="0D47430F"/>
    <w:rsid w:val="0DCB1BEA"/>
    <w:rsid w:val="0DDE633E"/>
    <w:rsid w:val="0E630E58"/>
    <w:rsid w:val="0E6F0740"/>
    <w:rsid w:val="0EAD067B"/>
    <w:rsid w:val="0EF13925"/>
    <w:rsid w:val="0F321E2D"/>
    <w:rsid w:val="0F586698"/>
    <w:rsid w:val="10DF3115"/>
    <w:rsid w:val="1168209E"/>
    <w:rsid w:val="119953D1"/>
    <w:rsid w:val="11A359E6"/>
    <w:rsid w:val="12DE7274"/>
    <w:rsid w:val="131C76E1"/>
    <w:rsid w:val="136B7BD0"/>
    <w:rsid w:val="13DF2225"/>
    <w:rsid w:val="14426DCA"/>
    <w:rsid w:val="147E437F"/>
    <w:rsid w:val="1501485D"/>
    <w:rsid w:val="15AA3E44"/>
    <w:rsid w:val="16481B85"/>
    <w:rsid w:val="168D490F"/>
    <w:rsid w:val="175D39E6"/>
    <w:rsid w:val="180049CA"/>
    <w:rsid w:val="184C3848"/>
    <w:rsid w:val="18653602"/>
    <w:rsid w:val="18685FEA"/>
    <w:rsid w:val="18A941C2"/>
    <w:rsid w:val="18AE37B2"/>
    <w:rsid w:val="18FD7A43"/>
    <w:rsid w:val="1A8A1718"/>
    <w:rsid w:val="1A9B1F53"/>
    <w:rsid w:val="1AD9054A"/>
    <w:rsid w:val="1B3D4012"/>
    <w:rsid w:val="1B481AFB"/>
    <w:rsid w:val="1C520BFC"/>
    <w:rsid w:val="1D235F66"/>
    <w:rsid w:val="1D330706"/>
    <w:rsid w:val="1D665A9E"/>
    <w:rsid w:val="1D8D3AB3"/>
    <w:rsid w:val="1E21472F"/>
    <w:rsid w:val="1E64724C"/>
    <w:rsid w:val="1EB2633F"/>
    <w:rsid w:val="1EB53BCD"/>
    <w:rsid w:val="1F51614F"/>
    <w:rsid w:val="20705710"/>
    <w:rsid w:val="211E529B"/>
    <w:rsid w:val="224D6C40"/>
    <w:rsid w:val="232660FF"/>
    <w:rsid w:val="247F3404"/>
    <w:rsid w:val="248512BD"/>
    <w:rsid w:val="24CB286B"/>
    <w:rsid w:val="25A05924"/>
    <w:rsid w:val="25A745A9"/>
    <w:rsid w:val="263A1902"/>
    <w:rsid w:val="27181867"/>
    <w:rsid w:val="274041AA"/>
    <w:rsid w:val="2744098B"/>
    <w:rsid w:val="293D6BFB"/>
    <w:rsid w:val="29F572ED"/>
    <w:rsid w:val="2A075C06"/>
    <w:rsid w:val="2A4A4D64"/>
    <w:rsid w:val="2A964895"/>
    <w:rsid w:val="2AA14025"/>
    <w:rsid w:val="2AA823D6"/>
    <w:rsid w:val="2B2348E2"/>
    <w:rsid w:val="2B3A5364"/>
    <w:rsid w:val="2BDE6407"/>
    <w:rsid w:val="2C4A2284"/>
    <w:rsid w:val="2C5460E7"/>
    <w:rsid w:val="2C7F2EA6"/>
    <w:rsid w:val="2CD30697"/>
    <w:rsid w:val="2D1E05D5"/>
    <w:rsid w:val="2D9F1A0F"/>
    <w:rsid w:val="2DB4770D"/>
    <w:rsid w:val="2E830E4E"/>
    <w:rsid w:val="2FF6024A"/>
    <w:rsid w:val="3003631E"/>
    <w:rsid w:val="305F1C1A"/>
    <w:rsid w:val="3078124A"/>
    <w:rsid w:val="3090209F"/>
    <w:rsid w:val="30D1263C"/>
    <w:rsid w:val="31DE1118"/>
    <w:rsid w:val="32195113"/>
    <w:rsid w:val="32264A0B"/>
    <w:rsid w:val="326667AB"/>
    <w:rsid w:val="32C850C3"/>
    <w:rsid w:val="32D900A8"/>
    <w:rsid w:val="336D3D6E"/>
    <w:rsid w:val="356C3834"/>
    <w:rsid w:val="35C41CC4"/>
    <w:rsid w:val="366F5B46"/>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838B7"/>
    <w:rsid w:val="3E7A082F"/>
    <w:rsid w:val="3F582E33"/>
    <w:rsid w:val="3F731C28"/>
    <w:rsid w:val="405E7E2A"/>
    <w:rsid w:val="41CE0F85"/>
    <w:rsid w:val="41D55858"/>
    <w:rsid w:val="424010B3"/>
    <w:rsid w:val="42680181"/>
    <w:rsid w:val="43446568"/>
    <w:rsid w:val="437906BF"/>
    <w:rsid w:val="43930B3A"/>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E3A65B2"/>
    <w:rsid w:val="4F2F25EA"/>
    <w:rsid w:val="4F77635D"/>
    <w:rsid w:val="50F36CD9"/>
    <w:rsid w:val="5132797B"/>
    <w:rsid w:val="522C6B64"/>
    <w:rsid w:val="52622C38"/>
    <w:rsid w:val="538E25DC"/>
    <w:rsid w:val="53AB764B"/>
    <w:rsid w:val="557B66CE"/>
    <w:rsid w:val="55B604FC"/>
    <w:rsid w:val="55E15918"/>
    <w:rsid w:val="55FE1B82"/>
    <w:rsid w:val="56376A81"/>
    <w:rsid w:val="56423997"/>
    <w:rsid w:val="56624A63"/>
    <w:rsid w:val="56830F29"/>
    <w:rsid w:val="56BF0EA2"/>
    <w:rsid w:val="56CE15F2"/>
    <w:rsid w:val="56EB3FA6"/>
    <w:rsid w:val="57A329FE"/>
    <w:rsid w:val="59414843"/>
    <w:rsid w:val="59996800"/>
    <w:rsid w:val="5A9A320F"/>
    <w:rsid w:val="5AF22F8D"/>
    <w:rsid w:val="5B2C56F7"/>
    <w:rsid w:val="5BA74B6E"/>
    <w:rsid w:val="5BDF3319"/>
    <w:rsid w:val="5D93468D"/>
    <w:rsid w:val="5DA17FA3"/>
    <w:rsid w:val="5DAB407F"/>
    <w:rsid w:val="5EA87B0A"/>
    <w:rsid w:val="5EB119EE"/>
    <w:rsid w:val="5ECD030A"/>
    <w:rsid w:val="5F076D88"/>
    <w:rsid w:val="5F1F066A"/>
    <w:rsid w:val="5F7516C9"/>
    <w:rsid w:val="5F777E2D"/>
    <w:rsid w:val="5F8828F6"/>
    <w:rsid w:val="5FAC19BB"/>
    <w:rsid w:val="5FE025C3"/>
    <w:rsid w:val="60920AA2"/>
    <w:rsid w:val="60A2104F"/>
    <w:rsid w:val="60F3649D"/>
    <w:rsid w:val="626E2D07"/>
    <w:rsid w:val="62B8321C"/>
    <w:rsid w:val="63766DF5"/>
    <w:rsid w:val="63A965A7"/>
    <w:rsid w:val="63E41E32"/>
    <w:rsid w:val="63E63410"/>
    <w:rsid w:val="640A593F"/>
    <w:rsid w:val="643F5B88"/>
    <w:rsid w:val="64D368DF"/>
    <w:rsid w:val="64ED2F29"/>
    <w:rsid w:val="655F4311"/>
    <w:rsid w:val="661509DE"/>
    <w:rsid w:val="6684253E"/>
    <w:rsid w:val="66BC18C7"/>
    <w:rsid w:val="66BF0B0B"/>
    <w:rsid w:val="66E97154"/>
    <w:rsid w:val="66F9171A"/>
    <w:rsid w:val="6761194F"/>
    <w:rsid w:val="67A01566"/>
    <w:rsid w:val="67A84465"/>
    <w:rsid w:val="69797C2C"/>
    <w:rsid w:val="69B46572"/>
    <w:rsid w:val="6AC81E68"/>
    <w:rsid w:val="6AF95043"/>
    <w:rsid w:val="6C8535FE"/>
    <w:rsid w:val="6C877B43"/>
    <w:rsid w:val="6CC71558"/>
    <w:rsid w:val="6D000BE4"/>
    <w:rsid w:val="6D1112AB"/>
    <w:rsid w:val="6D735E56"/>
    <w:rsid w:val="6D935AB0"/>
    <w:rsid w:val="6E087119"/>
    <w:rsid w:val="6E6910B0"/>
    <w:rsid w:val="6EFB50E8"/>
    <w:rsid w:val="6F767D3E"/>
    <w:rsid w:val="6F9E6B4A"/>
    <w:rsid w:val="6FD8504E"/>
    <w:rsid w:val="6FD9623E"/>
    <w:rsid w:val="70172D17"/>
    <w:rsid w:val="703C3353"/>
    <w:rsid w:val="70540472"/>
    <w:rsid w:val="70914DF9"/>
    <w:rsid w:val="70D03D2D"/>
    <w:rsid w:val="710010F4"/>
    <w:rsid w:val="71173046"/>
    <w:rsid w:val="71597A72"/>
    <w:rsid w:val="72E9489F"/>
    <w:rsid w:val="73A445D3"/>
    <w:rsid w:val="73E1565D"/>
    <w:rsid w:val="751607B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AE451AC"/>
    <w:rsid w:val="7B2446BF"/>
    <w:rsid w:val="7B82113C"/>
    <w:rsid w:val="7B940C71"/>
    <w:rsid w:val="7BC7547B"/>
    <w:rsid w:val="7BCD23C3"/>
    <w:rsid w:val="7BE208A5"/>
    <w:rsid w:val="7C396B41"/>
    <w:rsid w:val="7D2A73BF"/>
    <w:rsid w:val="7D87285F"/>
    <w:rsid w:val="7DA27DF5"/>
    <w:rsid w:val="7DDB64D4"/>
    <w:rsid w:val="7DDF5E0F"/>
    <w:rsid w:val="7DEA4005"/>
    <w:rsid w:val="7E5940F2"/>
    <w:rsid w:val="7E735EC8"/>
    <w:rsid w:val="7EB54B6D"/>
    <w:rsid w:val="7F821850"/>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9C040"/>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ference">
    <w:name w:val="Reference"/>
    <w:basedOn w:val="Normal"/>
    <w:qFormat/>
    <w:pPr>
      <w:widowControl/>
      <w:numPr>
        <w:numId w:val="5"/>
      </w:numPr>
      <w:overflowPunct w:val="0"/>
      <w:autoSpaceDE w:val="0"/>
      <w:autoSpaceDN w:val="0"/>
      <w:adjustRightInd w:val="0"/>
      <w:spacing w:after="120"/>
      <w:textAlignment w:val="baseline"/>
    </w:pPr>
    <w:rPr>
      <w:rFonts w:ascii="Times New Roman" w:hAnsi="Times New Roman"/>
      <w:kern w:val="0"/>
      <w:sz w:val="20"/>
      <w:szCs w:val="20"/>
    </w:rPr>
  </w:style>
  <w:style w:type="paragraph" w:customStyle="1" w:styleId="B6">
    <w:name w:val="B6"/>
    <w:basedOn w:val="B5"/>
    <w:qFormat/>
    <w:pPr>
      <w:ind w:left="1985"/>
    </w:pPr>
  </w:style>
  <w:style w:type="paragraph" w:customStyle="1" w:styleId="Revision11">
    <w:name w:val="Revision11"/>
    <w:hidden/>
    <w:uiPriority w:val="99"/>
    <w:unhideWhenUsed/>
    <w:rPr>
      <w:rFonts w:ascii="Arial" w:eastAsiaTheme="minorEastAsia" w:hAnsi="Arial"/>
      <w:kern w:val="2"/>
      <w:sz w:val="21"/>
      <w:szCs w:val="21"/>
    </w:rPr>
  </w:style>
  <w:style w:type="paragraph" w:customStyle="1" w:styleId="Revision12">
    <w:name w:val="Revision12"/>
    <w:hidden/>
    <w:uiPriority w:val="99"/>
    <w:unhideWhenUsed/>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97356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833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635</Words>
  <Characters>3620</Characters>
  <Application>Microsoft Office Word</Application>
  <DocSecurity>0</DocSecurity>
  <Lines>30</Lines>
  <Paragraphs>8</Paragraphs>
  <ScaleCrop>false</ScaleCrop>
  <Company>Hewlett-Packard Company</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2024-10-01T11:16:00Z</dcterms:created>
  <dcterms:modified xsi:type="dcterms:W3CDTF">2024-10-03T13:41:00Z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53C20B611B874881A348DFEE759ABFAB</vt:lpwstr>
  </property>
</Properties>
</file>