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51A4" w:rsidRDefault="001670F0">
      <w:pPr>
        <w:pStyle w:val="ad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3GPP TSG-RAN WG2 Meeting #127</w:t>
      </w:r>
      <w:r>
        <w:rPr>
          <w:rFonts w:eastAsia="宋体" w:hint="eastAsia"/>
          <w:b/>
          <w:szCs w:val="22"/>
          <w:lang w:val="en-US" w:eastAsia="zh-CN" w:bidi="ar"/>
        </w:rPr>
        <w:t>bis</w:t>
      </w:r>
      <w:r>
        <w:rPr>
          <w:rFonts w:eastAsia="宋体"/>
          <w:b/>
          <w:szCs w:val="22"/>
          <w:lang w:val="en-US" w:eastAsia="zh-CN" w:bidi="ar"/>
        </w:rPr>
        <w:tab/>
        <w:t>R2-240</w:t>
      </w:r>
      <w:r w:rsidR="0073755A">
        <w:rPr>
          <w:rFonts w:eastAsia="宋体"/>
          <w:b/>
          <w:szCs w:val="22"/>
          <w:lang w:val="en-US" w:eastAsia="zh-CN" w:bidi="ar"/>
        </w:rPr>
        <w:t>8401</w:t>
      </w:r>
    </w:p>
    <w:p w:rsidR="005C51A4" w:rsidRDefault="001670F0">
      <w:pPr>
        <w:pStyle w:val="ad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 w:hint="eastAsia"/>
          <w:b/>
          <w:szCs w:val="22"/>
          <w:lang w:val="en-US" w:eastAsia="zh-CN" w:bidi="ar"/>
        </w:rPr>
        <w:t>Hefei</w:t>
      </w:r>
      <w:r>
        <w:rPr>
          <w:rFonts w:eastAsia="宋体"/>
          <w:b/>
          <w:szCs w:val="22"/>
          <w:lang w:val="en-US" w:eastAsia="zh-CN" w:bidi="ar"/>
        </w:rPr>
        <w:t xml:space="preserve">, </w:t>
      </w:r>
      <w:r>
        <w:rPr>
          <w:rFonts w:eastAsia="宋体" w:hint="eastAsia"/>
          <w:b/>
          <w:szCs w:val="22"/>
          <w:lang w:val="en-US" w:eastAsia="zh-CN" w:bidi="ar"/>
        </w:rPr>
        <w:t>China</w:t>
      </w:r>
      <w:r>
        <w:rPr>
          <w:rFonts w:eastAsia="宋体"/>
          <w:b/>
          <w:szCs w:val="22"/>
          <w:lang w:val="en-US" w:eastAsia="zh-CN" w:bidi="ar"/>
        </w:rPr>
        <w:t xml:space="preserve">, </w:t>
      </w:r>
      <w:r>
        <w:rPr>
          <w:rFonts w:eastAsia="宋体" w:hint="eastAsia"/>
          <w:b/>
          <w:szCs w:val="22"/>
          <w:lang w:val="en-US" w:eastAsia="zh-CN" w:bidi="ar"/>
        </w:rPr>
        <w:t>Oct</w:t>
      </w:r>
      <w:r>
        <w:rPr>
          <w:rFonts w:eastAsia="宋体"/>
          <w:b/>
          <w:szCs w:val="22"/>
          <w:lang w:val="en-US" w:eastAsia="zh-CN" w:bidi="ar"/>
        </w:rPr>
        <w:t xml:space="preserve"> 1</w:t>
      </w:r>
      <w:r>
        <w:rPr>
          <w:rFonts w:eastAsia="宋体" w:hint="eastAsia"/>
          <w:b/>
          <w:szCs w:val="22"/>
          <w:lang w:val="en-US" w:eastAsia="zh-CN" w:bidi="ar"/>
        </w:rPr>
        <w:t>4</w:t>
      </w:r>
      <w:r>
        <w:rPr>
          <w:rFonts w:eastAsia="宋体"/>
          <w:b/>
          <w:szCs w:val="22"/>
          <w:lang w:val="en-US" w:eastAsia="zh-CN" w:bidi="ar"/>
        </w:rPr>
        <w:t xml:space="preserve">th – </w:t>
      </w:r>
      <w:r>
        <w:rPr>
          <w:rFonts w:eastAsia="宋体" w:hint="eastAsia"/>
          <w:b/>
          <w:szCs w:val="22"/>
          <w:lang w:val="en-US" w:eastAsia="zh-CN" w:bidi="ar"/>
        </w:rPr>
        <w:t>18th</w:t>
      </w:r>
      <w:r>
        <w:rPr>
          <w:rFonts w:eastAsia="宋体"/>
          <w:b/>
          <w:szCs w:val="22"/>
          <w:lang w:val="en-US" w:eastAsia="zh-CN" w:bidi="ar"/>
        </w:rPr>
        <w:t>, 2024</w:t>
      </w:r>
    </w:p>
    <w:p w:rsidR="005C51A4" w:rsidRDefault="005C51A4">
      <w:pPr>
        <w:overflowPunct w:val="0"/>
        <w:autoSpaceDE w:val="0"/>
        <w:autoSpaceDN w:val="0"/>
        <w:adjustRightInd w:val="0"/>
        <w:snapToGrid w:val="0"/>
        <w:spacing w:beforeLines="50" w:before="120" w:line="240" w:lineRule="auto"/>
        <w:textAlignment w:val="baseline"/>
        <w:rPr>
          <w:rFonts w:ascii="Arial" w:hAnsi="Arial" w:cs="Arial"/>
          <w:b/>
          <w:bCs/>
          <w:sz w:val="24"/>
        </w:rPr>
      </w:pPr>
    </w:p>
    <w:p w:rsidR="005C51A4" w:rsidRDefault="001670F0">
      <w:pPr>
        <w:overflowPunct w:val="0"/>
        <w:autoSpaceDE w:val="0"/>
        <w:autoSpaceDN w:val="0"/>
        <w:adjustRightInd w:val="0"/>
        <w:snapToGrid w:val="0"/>
        <w:spacing w:beforeLines="50" w:before="120" w:line="240" w:lineRule="auto"/>
        <w:textAlignment w:val="baseline"/>
        <w:rPr>
          <w:rFonts w:ascii="Arial" w:eastAsia="宋体" w:hAnsi="Arial" w:cs="Arial"/>
          <w:b/>
          <w:sz w:val="24"/>
          <w:szCs w:val="22"/>
          <w:lang w:val="en-US" w:eastAsia="zh-CN" w:bidi="ar"/>
        </w:rPr>
      </w:pPr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>Source:         ZTE Corporation</w:t>
      </w:r>
    </w:p>
    <w:p w:rsidR="005C51A4" w:rsidRDefault="001670F0">
      <w:pPr>
        <w:ind w:left="1928" w:hangingChars="800" w:hanging="1928"/>
        <w:jc w:val="left"/>
        <w:rPr>
          <w:rFonts w:ascii="Arial" w:eastAsia="宋体" w:hAnsi="Arial" w:cs="Arial"/>
          <w:b/>
          <w:sz w:val="24"/>
          <w:szCs w:val="22"/>
          <w:lang w:val="en-US" w:eastAsia="zh-CN" w:bidi="ar"/>
        </w:rPr>
      </w:pPr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>Title:            Consideration on the intra-band EN-DC Channel Spacing</w:t>
      </w:r>
    </w:p>
    <w:p w:rsidR="005C51A4" w:rsidRDefault="001670F0">
      <w:pPr>
        <w:overflowPunct w:val="0"/>
        <w:autoSpaceDE w:val="0"/>
        <w:autoSpaceDN w:val="0"/>
        <w:adjustRightInd w:val="0"/>
        <w:snapToGrid w:val="0"/>
        <w:spacing w:beforeLines="50" w:before="120" w:line="240" w:lineRule="auto"/>
        <w:textAlignment w:val="baseline"/>
        <w:rPr>
          <w:rFonts w:ascii="Arial" w:eastAsia="宋体" w:hAnsi="Arial" w:cs="Arial"/>
          <w:b/>
          <w:sz w:val="24"/>
          <w:szCs w:val="22"/>
          <w:lang w:val="en-US" w:eastAsia="zh-CN" w:bidi="ar"/>
        </w:rPr>
      </w:pPr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>Agenda item:</w:t>
      </w:r>
      <w:bookmarkStart w:id="0" w:name="Source"/>
      <w:bookmarkEnd w:id="0"/>
      <w:r w:rsidR="0073755A"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    7.24.1</w:t>
      </w:r>
    </w:p>
    <w:p w:rsidR="005C51A4" w:rsidRDefault="001670F0">
      <w:pPr>
        <w:overflowPunct w:val="0"/>
        <w:autoSpaceDE w:val="0"/>
        <w:autoSpaceDN w:val="0"/>
        <w:adjustRightInd w:val="0"/>
        <w:snapToGrid w:val="0"/>
        <w:spacing w:beforeLines="50" w:before="120" w:line="240" w:lineRule="auto"/>
        <w:textAlignment w:val="baseline"/>
        <w:rPr>
          <w:rFonts w:ascii="Arial" w:eastAsia="宋体" w:hAnsi="Arial" w:cs="Arial"/>
          <w:b/>
          <w:sz w:val="24"/>
          <w:szCs w:val="22"/>
          <w:lang w:val="en-US" w:eastAsia="zh-CN" w:bidi="ar"/>
        </w:rPr>
      </w:pPr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>Document for:</w:t>
      </w:r>
      <w:bookmarkStart w:id="1" w:name="DocumentFor"/>
      <w:bookmarkEnd w:id="1"/>
      <w:r>
        <w:rPr>
          <w:rFonts w:ascii="Arial" w:eastAsia="宋体" w:hAnsi="Arial" w:cs="Arial"/>
          <w:b/>
          <w:sz w:val="24"/>
          <w:szCs w:val="22"/>
          <w:lang w:val="en-US" w:eastAsia="zh-CN" w:bidi="ar"/>
        </w:rPr>
        <w:t xml:space="preserve">   Discussion and Decision</w:t>
      </w:r>
    </w:p>
    <w:p w:rsidR="005C51A4" w:rsidRDefault="001670F0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textAlignment w:val="baseline"/>
        <w:rPr>
          <w:rFonts w:cs="Arial"/>
          <w:sz w:val="32"/>
          <w:szCs w:val="36"/>
        </w:rPr>
      </w:pPr>
      <w:r>
        <w:rPr>
          <w:rFonts w:cs="Arial"/>
          <w:sz w:val="32"/>
          <w:szCs w:val="36"/>
        </w:rPr>
        <w:t>Introductio</w:t>
      </w:r>
      <w:r>
        <w:rPr>
          <w:rFonts w:cs="Arial" w:hint="eastAsia"/>
          <w:sz w:val="32"/>
          <w:szCs w:val="36"/>
        </w:rPr>
        <w:t>n</w:t>
      </w:r>
    </w:p>
    <w:p w:rsidR="00C66959" w:rsidRDefault="001670F0" w:rsidP="0052449A">
      <w:pPr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 w:hint="eastAsia"/>
          <w:sz w:val="21"/>
          <w:szCs w:val="21"/>
          <w:lang w:eastAsia="zh-CN"/>
        </w:rPr>
        <w:t>A</w:t>
      </w:r>
      <w:r>
        <w:rPr>
          <w:rFonts w:eastAsiaTheme="minorEastAsia"/>
          <w:sz w:val="21"/>
          <w:szCs w:val="21"/>
          <w:lang w:eastAsia="zh-CN"/>
        </w:rPr>
        <w:t>bout the capability for the intra-band EN-DC Channel Spacing, a LS [1] was received.</w:t>
      </w:r>
      <w:r w:rsidR="0052449A">
        <w:rPr>
          <w:rFonts w:eastAsiaTheme="minorEastAsia"/>
          <w:sz w:val="21"/>
          <w:szCs w:val="21"/>
          <w:lang w:eastAsia="zh-CN"/>
        </w:rPr>
        <w:t xml:space="preserve"> </w:t>
      </w:r>
      <w:r w:rsidR="00C66959">
        <w:rPr>
          <w:rFonts w:eastAsiaTheme="minorEastAsia"/>
          <w:sz w:val="21"/>
          <w:szCs w:val="21"/>
          <w:lang w:eastAsia="zh-CN"/>
        </w:rPr>
        <w:t>Meanwhile</w:t>
      </w:r>
      <w:r w:rsidR="00C66959">
        <w:rPr>
          <w:rFonts w:eastAsiaTheme="minorEastAsia" w:hint="eastAsia"/>
          <w:sz w:val="21"/>
          <w:szCs w:val="21"/>
          <w:lang w:eastAsia="zh-CN"/>
        </w:rPr>
        <w:t>,</w:t>
      </w:r>
      <w:r w:rsidR="00C66959">
        <w:rPr>
          <w:rFonts w:eastAsiaTheme="minorEastAsia"/>
          <w:sz w:val="21"/>
          <w:szCs w:val="21"/>
          <w:lang w:eastAsia="zh-CN"/>
        </w:rPr>
        <w:t xml:space="preserve"> RAN4 has agreed a CR for the non-contiguous CA with nominal spacing case</w:t>
      </w:r>
      <w:r w:rsidR="00206626">
        <w:rPr>
          <w:rFonts w:eastAsiaTheme="minorEastAsia"/>
          <w:sz w:val="21"/>
          <w:szCs w:val="21"/>
          <w:lang w:eastAsia="zh-CN"/>
        </w:rPr>
        <w:t xml:space="preserve"> [2] as below</w:t>
      </w:r>
      <w:r w:rsidR="00C66959">
        <w:rPr>
          <w:rFonts w:eastAsiaTheme="minorEastAsia"/>
          <w:sz w:val="21"/>
          <w:szCs w:val="21"/>
          <w:lang w:eastAsia="zh-CN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66959" w:rsidTr="00C66959">
        <w:tc>
          <w:tcPr>
            <w:tcW w:w="9350" w:type="dxa"/>
          </w:tcPr>
          <w:p w:rsidR="00C66959" w:rsidRPr="00EF5447" w:rsidRDefault="00C66959" w:rsidP="00C66959">
            <w:pPr>
              <w:pStyle w:val="3"/>
              <w:outlineLvl w:val="2"/>
            </w:pPr>
            <w:bookmarkStart w:id="2" w:name="_Toc21351513"/>
            <w:bookmarkStart w:id="3" w:name="_Toc29807095"/>
            <w:bookmarkStart w:id="4" w:name="_Toc36648809"/>
            <w:bookmarkStart w:id="5" w:name="_Toc36651534"/>
            <w:bookmarkStart w:id="6" w:name="_Toc37256468"/>
            <w:bookmarkStart w:id="7" w:name="_Toc37256809"/>
            <w:bookmarkStart w:id="8" w:name="_Toc45890506"/>
            <w:bookmarkStart w:id="9" w:name="_Toc45891730"/>
            <w:bookmarkStart w:id="10" w:name="_Toc45892140"/>
            <w:bookmarkStart w:id="11" w:name="_Toc45892550"/>
            <w:bookmarkStart w:id="12" w:name="_Toc52352963"/>
            <w:bookmarkStart w:id="13" w:name="_Toc53174786"/>
            <w:bookmarkStart w:id="14" w:name="_Toc61378091"/>
            <w:bookmarkStart w:id="15" w:name="_Toc61378566"/>
            <w:bookmarkStart w:id="16" w:name="_Toc67953755"/>
            <w:bookmarkStart w:id="17" w:name="_Toc68733422"/>
            <w:bookmarkStart w:id="18" w:name="_Toc68784738"/>
            <w:bookmarkStart w:id="19" w:name="_Toc76736694"/>
            <w:bookmarkStart w:id="20" w:name="_Toc77241106"/>
            <w:bookmarkStart w:id="21" w:name="_Toc77241611"/>
            <w:bookmarkStart w:id="22" w:name="_Toc83742987"/>
            <w:bookmarkStart w:id="23" w:name="_Toc83909508"/>
            <w:bookmarkStart w:id="24" w:name="_Toc91071475"/>
            <w:r w:rsidRPr="00EF5447">
              <w:t>5.4B.1</w:t>
            </w:r>
            <w:r w:rsidRPr="00EF5447">
              <w:tab/>
              <w:t>Channel spacing for intra-band EN-DC carriers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  <w:p w:rsidR="00C66959" w:rsidRPr="00EF5447" w:rsidRDefault="00C66959" w:rsidP="00C66959">
            <w:pPr>
              <w:rPr>
                <w:rFonts w:eastAsia="Yu Mincho"/>
              </w:rPr>
            </w:pPr>
            <w:r w:rsidRPr="00EF5447">
              <w:rPr>
                <w:rFonts w:eastAsia="Yu Mincho"/>
              </w:rPr>
              <w:t>The spacing between carriers will depend on the deployment scenario, the size of the frequency block available and the channel bandwidths. The nominal channel spacing between E-UTRA carrier and an adjacent NR carrier for intra-band contiguous EN-DC is defined as following:</w:t>
            </w:r>
          </w:p>
          <w:p w:rsidR="00C66959" w:rsidRPr="00EF5447" w:rsidRDefault="00C66959" w:rsidP="00C66959">
            <w:pPr>
              <w:pStyle w:val="B1"/>
            </w:pPr>
            <w:r w:rsidRPr="00EF5447">
              <w:t>-</w:t>
            </w:r>
            <w:r w:rsidRPr="00EF5447">
              <w:tab/>
              <w:t>For NR operating bands with 100 kHz channel raster,</w:t>
            </w:r>
          </w:p>
          <w:p w:rsidR="00C66959" w:rsidRPr="00EF5447" w:rsidRDefault="00C66959" w:rsidP="00C66959">
            <w:pPr>
              <w:pStyle w:val="EQ"/>
              <w:jc w:val="center"/>
            </w:pPr>
            <w:r w:rsidRPr="00EF5447">
              <w:t>Nominal Channel spacing = (BW</w:t>
            </w:r>
            <w:r w:rsidRPr="00EF5447">
              <w:rPr>
                <w:vertAlign w:val="subscript"/>
              </w:rPr>
              <w:t>E-UTRA_Channel</w:t>
            </w:r>
            <w:r w:rsidRPr="00EF5447">
              <w:t xml:space="preserve"> + BW</w:t>
            </w:r>
            <w:r w:rsidRPr="00EF5447">
              <w:rPr>
                <w:vertAlign w:val="subscript"/>
              </w:rPr>
              <w:t>NR_Channel</w:t>
            </w:r>
            <w:r w:rsidRPr="00EF5447">
              <w:t>)/2</w:t>
            </w:r>
          </w:p>
          <w:p w:rsidR="00C66959" w:rsidRPr="00EF5447" w:rsidRDefault="00C66959" w:rsidP="00C66959">
            <w:pPr>
              <w:pStyle w:val="B1"/>
            </w:pPr>
            <w:r w:rsidRPr="00EF5447">
              <w:t>-</w:t>
            </w:r>
            <w:r w:rsidRPr="00EF5447">
              <w:tab/>
              <w:t>For NR operating bands with 15 kHz channel raster,</w:t>
            </w:r>
          </w:p>
          <w:p w:rsidR="00C66959" w:rsidRPr="00EF5447" w:rsidRDefault="00C66959" w:rsidP="00C66959">
            <w:pPr>
              <w:pStyle w:val="B2"/>
              <w:rPr>
                <w:rFonts w:eastAsia="Yu Mincho"/>
              </w:rPr>
            </w:pPr>
            <w:r w:rsidRPr="00EF5447">
              <w:t>-</w:t>
            </w:r>
            <w:r w:rsidRPr="00EF5447">
              <w:tab/>
              <w:t>Nominal Channel spacing = (BW</w:t>
            </w:r>
            <w:r w:rsidRPr="00EF5447">
              <w:rPr>
                <w:vertAlign w:val="subscript"/>
              </w:rPr>
              <w:t>E-UTRA_Channel</w:t>
            </w:r>
            <w:r w:rsidRPr="00EF5447">
              <w:t xml:space="preserve"> + BW</w:t>
            </w:r>
            <w:r w:rsidRPr="00EF5447">
              <w:rPr>
                <w:vertAlign w:val="subscript"/>
              </w:rPr>
              <w:t>NR_Channel</w:t>
            </w:r>
            <w:r w:rsidRPr="00EF5447">
              <w:t>)/2+{-5kHz, 0kHz, 5kHz}</w:t>
            </w:r>
            <w:r w:rsidRPr="00EF5447">
              <w:rPr>
                <w:lang w:eastAsia="zh-CN"/>
              </w:rPr>
              <w:t xml:space="preserve"> </w:t>
            </w:r>
            <w:r w:rsidRPr="00EF5447">
              <w:rPr>
                <w:rFonts w:eastAsia="Yu Mincho"/>
              </w:rPr>
              <w:t>for ∆F</w:t>
            </w:r>
            <w:r w:rsidRPr="00EF5447">
              <w:rPr>
                <w:rFonts w:eastAsia="Yu Mincho"/>
                <w:vertAlign w:val="subscript"/>
              </w:rPr>
              <w:t>Raster</w:t>
            </w:r>
            <w:r w:rsidRPr="00EF5447">
              <w:rPr>
                <w:rFonts w:eastAsia="Yu Mincho"/>
              </w:rPr>
              <w:t xml:space="preserve"> equals </w:t>
            </w:r>
            <w:r w:rsidRPr="00EF5447">
              <w:rPr>
                <w:lang w:eastAsia="zh-CN"/>
              </w:rPr>
              <w:t xml:space="preserve">to </w:t>
            </w:r>
            <w:r w:rsidRPr="00EF5447">
              <w:rPr>
                <w:rFonts w:eastAsia="Yu Mincho"/>
              </w:rPr>
              <w:t>15 kHz</w:t>
            </w:r>
          </w:p>
          <w:p w:rsidR="00C66959" w:rsidRPr="00EF5447" w:rsidRDefault="00C66959" w:rsidP="00C66959">
            <w:pPr>
              <w:pStyle w:val="B2"/>
            </w:pPr>
            <w:r w:rsidRPr="00EF5447">
              <w:t>-</w:t>
            </w:r>
            <w:r w:rsidRPr="00EF5447">
              <w:tab/>
              <w:t>Nominal Channel spacing = (BW</w:t>
            </w:r>
            <w:r w:rsidRPr="00EF5447">
              <w:rPr>
                <w:vertAlign w:val="subscript"/>
              </w:rPr>
              <w:t>E-UTRA_Channel</w:t>
            </w:r>
            <w:r w:rsidRPr="00EF5447">
              <w:t xml:space="preserve"> + BW</w:t>
            </w:r>
            <w:r w:rsidRPr="00EF5447">
              <w:rPr>
                <w:vertAlign w:val="subscript"/>
              </w:rPr>
              <w:t>NR_Channel</w:t>
            </w:r>
            <w:r w:rsidRPr="00EF5447">
              <w:t>)/2+{-10 kHz, 0 kHz, 10 kHz} for ∆F</w:t>
            </w:r>
            <w:r w:rsidRPr="00EF5447">
              <w:rPr>
                <w:vertAlign w:val="subscript"/>
              </w:rPr>
              <w:t>Raster</w:t>
            </w:r>
            <w:r w:rsidRPr="00EF5447">
              <w:t xml:space="preserve"> equals </w:t>
            </w:r>
            <w:r w:rsidRPr="00EF5447">
              <w:rPr>
                <w:lang w:eastAsia="zh-CN"/>
              </w:rPr>
              <w:t xml:space="preserve">to </w:t>
            </w:r>
            <w:r w:rsidRPr="00EF5447">
              <w:t>30 kHz</w:t>
            </w:r>
          </w:p>
          <w:p w:rsidR="00C66959" w:rsidRPr="00EF5447" w:rsidRDefault="00C66959" w:rsidP="00C66959">
            <w:r w:rsidRPr="00EF5447">
              <w:t>where BW</w:t>
            </w:r>
            <w:r w:rsidRPr="00EF5447">
              <w:rPr>
                <w:vertAlign w:val="subscript"/>
              </w:rPr>
              <w:t>E-UTRA_Channel</w:t>
            </w:r>
            <w:r w:rsidRPr="00EF5447">
              <w:t xml:space="preserve"> and BW</w:t>
            </w:r>
            <w:r w:rsidRPr="00EF5447">
              <w:rPr>
                <w:vertAlign w:val="subscript"/>
              </w:rPr>
              <w:t>NR_Channel</w:t>
            </w:r>
            <w:r w:rsidRPr="00EF5447">
              <w:t xml:space="preserve"> are the channel bandwidths of the E-UTRA and NR carriers</w:t>
            </w:r>
            <w:r w:rsidRPr="00EF5447">
              <w:rPr>
                <w:lang w:eastAsia="zh-CN"/>
              </w:rPr>
              <w:t xml:space="preserve">, </w:t>
            </w:r>
            <w:r w:rsidRPr="00EF5447">
              <w:t>∆F</w:t>
            </w:r>
            <w:r w:rsidRPr="00EF5447">
              <w:rPr>
                <w:vertAlign w:val="subscript"/>
              </w:rPr>
              <w:t>Raster</w:t>
            </w:r>
            <w:r w:rsidRPr="00EF5447">
              <w:rPr>
                <w:lang w:eastAsia="zh-CN"/>
              </w:rPr>
              <w:t xml:space="preserve"> is the </w:t>
            </w:r>
            <w:r w:rsidRPr="00EF5447">
              <w:rPr>
                <w:vertAlign w:val="subscript"/>
                <w:lang w:eastAsia="zh-CN"/>
              </w:rPr>
              <w:t xml:space="preserve"> </w:t>
            </w:r>
            <w:r w:rsidRPr="00EF5447">
              <w:rPr>
                <w:lang w:eastAsia="zh-CN"/>
              </w:rPr>
              <w:t>b</w:t>
            </w:r>
            <w:r w:rsidRPr="00EF5447">
              <w:t>and dependent channel raster granularity</w:t>
            </w:r>
            <w:r w:rsidRPr="00EF5447">
              <w:rPr>
                <w:lang w:eastAsia="zh-CN"/>
              </w:rPr>
              <w:t xml:space="preserve"> defined in TS38.101-1[2]</w:t>
            </w:r>
            <w:r w:rsidRPr="00EF5447">
              <w:t>. The channel spacing can be adjusted depending on the channel raster to optimize performance in a particular deployment scenario.</w:t>
            </w:r>
          </w:p>
          <w:p w:rsidR="00C66959" w:rsidRDefault="00C66959" w:rsidP="00C66959">
            <w:pPr>
              <w:rPr>
                <w:rFonts w:eastAsia="宋体"/>
              </w:rPr>
            </w:pPr>
            <w:r>
              <w:t>For intra-band non-contiguous EN-DC the channel spacing between E-UTRA and NR carriers shall be larger than the nominal channel spacing defined in this clause.</w:t>
            </w:r>
          </w:p>
          <w:p w:rsidR="00C66959" w:rsidRPr="0052449A" w:rsidRDefault="00C66959" w:rsidP="00C66959">
            <w:pPr>
              <w:rPr>
                <w:rFonts w:eastAsiaTheme="minorEastAsia"/>
                <w:sz w:val="21"/>
                <w:szCs w:val="21"/>
                <w:u w:val="single"/>
                <w:lang w:eastAsia="zh-CN"/>
              </w:rPr>
            </w:pPr>
            <w:r w:rsidRPr="0052449A">
              <w:rPr>
                <w:bCs/>
                <w:iCs/>
                <w:color w:val="FF0000"/>
                <w:sz w:val="21"/>
                <w:szCs w:val="22"/>
                <w:u w:val="single"/>
              </w:rPr>
              <w:t>UE indicating [</w:t>
            </w:r>
            <w:r w:rsidRPr="0052449A">
              <w:rPr>
                <w:bCs/>
                <w:i/>
                <w:color w:val="FF0000"/>
                <w:sz w:val="21"/>
                <w:szCs w:val="22"/>
                <w:u w:val="single"/>
              </w:rPr>
              <w:t>intraBandENDC</w:t>
            </w:r>
            <w:r w:rsidRPr="0052449A">
              <w:rPr>
                <w:bCs/>
                <w:color w:val="FF0000"/>
                <w:sz w:val="21"/>
                <w:szCs w:val="22"/>
                <w:u w:val="single"/>
              </w:rPr>
              <w:t>-</w:t>
            </w:r>
            <w:r w:rsidRPr="0052449A">
              <w:rPr>
                <w:bCs/>
                <w:i/>
                <w:color w:val="FF0000"/>
                <w:sz w:val="21"/>
                <w:szCs w:val="22"/>
                <w:u w:val="single"/>
              </w:rPr>
              <w:t>NominalSpacing</w:t>
            </w:r>
            <w:r w:rsidRPr="0052449A">
              <w:rPr>
                <w:bCs/>
                <w:iCs/>
                <w:color w:val="FF0000"/>
                <w:sz w:val="21"/>
                <w:szCs w:val="22"/>
                <w:u w:val="single"/>
              </w:rPr>
              <w:t>] for a non-contiguous intra-band EN-DC configuration shall meet requirements for intra-band non-contiguous EN-DC with equal to or greater than nominal channel spacing.</w:t>
            </w:r>
          </w:p>
        </w:tc>
      </w:tr>
    </w:tbl>
    <w:p w:rsidR="005C51A4" w:rsidRDefault="001670F0">
      <w:pPr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 w:hint="eastAsia"/>
          <w:sz w:val="21"/>
          <w:szCs w:val="21"/>
          <w:lang w:eastAsia="zh-CN"/>
        </w:rPr>
        <w:t>I</w:t>
      </w:r>
      <w:r>
        <w:rPr>
          <w:rFonts w:eastAsiaTheme="minorEastAsia"/>
          <w:sz w:val="21"/>
          <w:szCs w:val="21"/>
          <w:lang w:eastAsia="zh-CN"/>
        </w:rPr>
        <w:t>n this paper, we’d like to share our</w:t>
      </w:r>
      <w:r w:rsidR="00C66959">
        <w:rPr>
          <w:rFonts w:eastAsiaTheme="minorEastAsia"/>
          <w:sz w:val="21"/>
          <w:szCs w:val="21"/>
          <w:lang w:eastAsia="zh-CN"/>
        </w:rPr>
        <w:t xml:space="preserve"> further consideration based on the LS and RAN4’s CR.</w:t>
      </w:r>
    </w:p>
    <w:p w:rsidR="005C51A4" w:rsidRDefault="001670F0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textAlignment w:val="baseline"/>
        <w:rPr>
          <w:rFonts w:cs="Arial"/>
          <w:sz w:val="32"/>
          <w:szCs w:val="36"/>
        </w:rPr>
      </w:pPr>
      <w:r>
        <w:rPr>
          <w:rFonts w:cs="Arial" w:hint="eastAsia"/>
          <w:sz w:val="32"/>
          <w:szCs w:val="36"/>
        </w:rPr>
        <w:t>D</w:t>
      </w:r>
      <w:r>
        <w:rPr>
          <w:rFonts w:cs="Arial"/>
          <w:sz w:val="32"/>
          <w:szCs w:val="36"/>
        </w:rPr>
        <w:t>iscussion</w:t>
      </w:r>
    </w:p>
    <w:p w:rsidR="00C66959" w:rsidRDefault="001670F0">
      <w:pPr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 xml:space="preserve">In this chapter, we </w:t>
      </w:r>
      <w:r w:rsidR="00C66959">
        <w:rPr>
          <w:rFonts w:eastAsiaTheme="minorEastAsia"/>
          <w:sz w:val="21"/>
          <w:szCs w:val="21"/>
          <w:lang w:eastAsia="zh-CN"/>
        </w:rPr>
        <w:t>first focus on the DL case, then discuss both the DL and UL case.</w:t>
      </w:r>
    </w:p>
    <w:p w:rsidR="00C66959" w:rsidRDefault="00C66959">
      <w:pPr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>For the DL capability defined below (or for the case that the DL and UL share the same capability): the UE can report 3 cases, i.e. contiguous</w:t>
      </w:r>
      <w:r w:rsidR="0052449A">
        <w:rPr>
          <w:rFonts w:eastAsiaTheme="minorEastAsia"/>
          <w:sz w:val="21"/>
          <w:szCs w:val="21"/>
          <w:lang w:eastAsia="zh-CN"/>
        </w:rPr>
        <w:t xml:space="preserve"> </w:t>
      </w:r>
      <w:r>
        <w:rPr>
          <w:rFonts w:eastAsiaTheme="minorEastAsia"/>
          <w:sz w:val="21"/>
          <w:szCs w:val="21"/>
          <w:lang w:eastAsia="zh-CN"/>
        </w:rPr>
        <w:t>only, non-contiguous only, and both.</w:t>
      </w: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6717"/>
        <w:gridCol w:w="688"/>
        <w:gridCol w:w="550"/>
        <w:gridCol w:w="688"/>
        <w:gridCol w:w="707"/>
      </w:tblGrid>
      <w:tr w:rsidR="00C66959" w:rsidRPr="00936461" w:rsidTr="001670F0">
        <w:trPr>
          <w:cantSplit/>
          <w:tblHeader/>
        </w:trPr>
        <w:tc>
          <w:tcPr>
            <w:tcW w:w="3592" w:type="pct"/>
          </w:tcPr>
          <w:p w:rsidR="00C66959" w:rsidRPr="00936461" w:rsidRDefault="00C66959" w:rsidP="001670F0">
            <w:pPr>
              <w:pStyle w:val="TAH"/>
            </w:pPr>
            <w:r w:rsidRPr="00936461">
              <w:lastRenderedPageBreak/>
              <w:t>Definitions for parameters</w:t>
            </w:r>
          </w:p>
        </w:tc>
        <w:tc>
          <w:tcPr>
            <w:tcW w:w="368" w:type="pct"/>
          </w:tcPr>
          <w:p w:rsidR="00C66959" w:rsidRPr="00936461" w:rsidRDefault="00C66959" w:rsidP="001670F0">
            <w:pPr>
              <w:pStyle w:val="TAH"/>
            </w:pPr>
            <w:r w:rsidRPr="00936461">
              <w:t>Per</w:t>
            </w:r>
          </w:p>
        </w:tc>
        <w:tc>
          <w:tcPr>
            <w:tcW w:w="294" w:type="pct"/>
          </w:tcPr>
          <w:p w:rsidR="00C66959" w:rsidRPr="00936461" w:rsidRDefault="00C66959" w:rsidP="001670F0">
            <w:pPr>
              <w:pStyle w:val="TAH"/>
            </w:pPr>
            <w:r w:rsidRPr="00936461">
              <w:t>M</w:t>
            </w:r>
          </w:p>
        </w:tc>
        <w:tc>
          <w:tcPr>
            <w:tcW w:w="368" w:type="pct"/>
          </w:tcPr>
          <w:p w:rsidR="00C66959" w:rsidRPr="00936461" w:rsidRDefault="00C66959" w:rsidP="001670F0">
            <w:pPr>
              <w:pStyle w:val="TAH"/>
            </w:pPr>
            <w:r w:rsidRPr="00936461">
              <w:t>FDD-TDD</w:t>
            </w:r>
          </w:p>
          <w:p w:rsidR="00C66959" w:rsidRPr="00936461" w:rsidRDefault="00C66959" w:rsidP="001670F0">
            <w:pPr>
              <w:pStyle w:val="TAH"/>
            </w:pPr>
            <w:r w:rsidRPr="00936461">
              <w:t>DIFF</w:t>
            </w:r>
          </w:p>
        </w:tc>
        <w:tc>
          <w:tcPr>
            <w:tcW w:w="378" w:type="pct"/>
          </w:tcPr>
          <w:p w:rsidR="00C66959" w:rsidRPr="00936461" w:rsidRDefault="00C66959" w:rsidP="001670F0">
            <w:pPr>
              <w:pStyle w:val="TAH"/>
            </w:pPr>
            <w:r w:rsidRPr="00936461">
              <w:t>FR1-FR2</w:t>
            </w:r>
          </w:p>
          <w:p w:rsidR="00C66959" w:rsidRPr="00936461" w:rsidRDefault="00C66959" w:rsidP="001670F0">
            <w:pPr>
              <w:pStyle w:val="TAH"/>
            </w:pPr>
            <w:r w:rsidRPr="00936461">
              <w:t>DIFF</w:t>
            </w:r>
          </w:p>
        </w:tc>
      </w:tr>
      <w:tr w:rsidR="00C66959" w:rsidRPr="00936461" w:rsidTr="001670F0">
        <w:trPr>
          <w:cantSplit/>
          <w:tblHeader/>
        </w:trPr>
        <w:tc>
          <w:tcPr>
            <w:tcW w:w="3592" w:type="pct"/>
          </w:tcPr>
          <w:p w:rsidR="00C66959" w:rsidRPr="00936461" w:rsidRDefault="00C66959" w:rsidP="001670F0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b/>
                <w:bCs/>
                <w:i/>
                <w:iCs/>
              </w:rPr>
              <w:t>intraBandENDC-Support</w:t>
            </w:r>
          </w:p>
          <w:p w:rsidR="00C66959" w:rsidRPr="00936461" w:rsidRDefault="00C66959" w:rsidP="001670F0">
            <w:pPr>
              <w:pStyle w:val="TAL"/>
              <w:rPr>
                <w:bCs/>
                <w:iCs/>
              </w:rPr>
            </w:pPr>
            <w:r w:rsidRPr="00936461">
              <w:rPr>
                <w:bCs/>
                <w:iCs/>
              </w:rPr>
              <w:t xml:space="preserve">Indicates whether the UE supports intra-band </w:t>
            </w:r>
            <w:r w:rsidRPr="00936461">
              <w:rPr>
                <w:szCs w:val="22"/>
              </w:rPr>
              <w:t>(NG)</w:t>
            </w:r>
            <w:r w:rsidRPr="00936461">
              <w:rPr>
                <w:bCs/>
                <w:iCs/>
              </w:rPr>
              <w:t xml:space="preserve">EN-DC with </w:t>
            </w:r>
            <w:r w:rsidRPr="00027257">
              <w:rPr>
                <w:bCs/>
                <w:iCs/>
                <w:color w:val="C00000"/>
              </w:rPr>
              <w:t>only</w:t>
            </w:r>
            <w:r w:rsidRPr="00936461">
              <w:rPr>
                <w:bCs/>
                <w:iCs/>
              </w:rPr>
              <w:t xml:space="preserve"> non-contiguous spectrum, or with both contiguous and non-contiguous spectrum for the </w:t>
            </w:r>
            <w:r w:rsidRPr="00936461">
              <w:rPr>
                <w:szCs w:val="22"/>
              </w:rPr>
              <w:t>(NG)</w:t>
            </w:r>
            <w:r w:rsidRPr="00936461">
              <w:rPr>
                <w:bCs/>
                <w:iCs/>
              </w:rPr>
              <w:t>EN-DC combination as specified in TS 38.101-3 [4].</w:t>
            </w:r>
          </w:p>
          <w:p w:rsidR="00C66959" w:rsidRPr="00936461" w:rsidRDefault="00C66959" w:rsidP="001670F0">
            <w:pPr>
              <w:pStyle w:val="TAL"/>
              <w:rPr>
                <w:bCs/>
                <w:iCs/>
              </w:rPr>
            </w:pPr>
            <w:r w:rsidRPr="00936461">
              <w:rPr>
                <w:bCs/>
                <w:iCs/>
              </w:rPr>
              <w:t xml:space="preserve">If the UE does not include this field for an intra-band </w:t>
            </w:r>
            <w:r w:rsidRPr="00936461">
              <w:rPr>
                <w:szCs w:val="22"/>
              </w:rPr>
              <w:t>(NG)</w:t>
            </w:r>
            <w:r w:rsidRPr="00936461">
              <w:rPr>
                <w:bCs/>
                <w:iCs/>
              </w:rPr>
              <w:t xml:space="preserve">EN-DC combination the UE only supports the contiguous spectrum for the intra-band </w:t>
            </w:r>
            <w:r w:rsidRPr="00936461">
              <w:rPr>
                <w:szCs w:val="22"/>
              </w:rPr>
              <w:t>(NG)</w:t>
            </w:r>
            <w:r w:rsidRPr="00936461">
              <w:rPr>
                <w:bCs/>
                <w:iCs/>
              </w:rPr>
              <w:t>EN-DC combination.</w:t>
            </w:r>
          </w:p>
          <w:p w:rsidR="00C66959" w:rsidRPr="00936461" w:rsidRDefault="00C66959" w:rsidP="001670F0">
            <w:pPr>
              <w:pStyle w:val="TAL"/>
              <w:rPr>
                <w:b/>
                <w:bCs/>
                <w:i/>
                <w:iCs/>
              </w:rPr>
            </w:pPr>
            <w:r w:rsidRPr="00936461">
              <w:t xml:space="preserve">If </w:t>
            </w:r>
            <w:r w:rsidRPr="00936461">
              <w:rPr>
                <w:i/>
                <w:iCs/>
              </w:rPr>
              <w:t>intrabandENDC-Support-UL</w:t>
            </w:r>
            <w:r w:rsidRPr="00936461">
              <w:t xml:space="preserve"> is absent and the band combination supports intra-band (NG)EN-DC only in DL, this field indicates the DL capability. If </w:t>
            </w:r>
            <w:r w:rsidRPr="00936461">
              <w:rPr>
                <w:i/>
                <w:iCs/>
              </w:rPr>
              <w:t>intrabandENDC-Support-UL</w:t>
            </w:r>
            <w:r w:rsidRPr="00936461">
              <w:t xml:space="preserve"> is absent and the band combination supports intra-band (NG)EN-DC in DL and UL, this field indicates the common capability for both DL and UL. If </w:t>
            </w:r>
            <w:r w:rsidRPr="00936461">
              <w:rPr>
                <w:i/>
                <w:iCs/>
              </w:rPr>
              <w:t>intrabandENDC-Support-UL</w:t>
            </w:r>
            <w:r w:rsidRPr="00936461">
              <w:t xml:space="preserve"> is included, </w:t>
            </w:r>
            <w:r w:rsidRPr="00936461">
              <w:rPr>
                <w:i/>
              </w:rPr>
              <w:t>intraBandENDC-Support</w:t>
            </w:r>
            <w:r w:rsidRPr="00936461">
              <w:t xml:space="preserve"> indicates the DL capability.</w:t>
            </w:r>
          </w:p>
        </w:tc>
        <w:tc>
          <w:tcPr>
            <w:tcW w:w="368" w:type="pct"/>
          </w:tcPr>
          <w:p w:rsidR="00C66959" w:rsidRPr="00936461" w:rsidRDefault="00C66959" w:rsidP="001670F0">
            <w:pPr>
              <w:pStyle w:val="TAL"/>
              <w:jc w:val="center"/>
              <w:rPr>
                <w:bCs/>
                <w:iCs/>
              </w:rPr>
            </w:pPr>
            <w:r w:rsidRPr="00936461">
              <w:t>BC</w:t>
            </w:r>
          </w:p>
        </w:tc>
        <w:tc>
          <w:tcPr>
            <w:tcW w:w="294" w:type="pct"/>
          </w:tcPr>
          <w:p w:rsidR="00C66959" w:rsidRPr="00936461" w:rsidRDefault="00C66959" w:rsidP="001670F0">
            <w:pPr>
              <w:pStyle w:val="TAL"/>
              <w:jc w:val="center"/>
              <w:rPr>
                <w:bCs/>
                <w:iCs/>
              </w:rPr>
            </w:pPr>
            <w:r w:rsidRPr="00936461">
              <w:t>No</w:t>
            </w:r>
          </w:p>
        </w:tc>
        <w:tc>
          <w:tcPr>
            <w:tcW w:w="368" w:type="pct"/>
          </w:tcPr>
          <w:p w:rsidR="00C66959" w:rsidRPr="00936461" w:rsidRDefault="00C66959" w:rsidP="001670F0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N/A</w:t>
            </w:r>
          </w:p>
        </w:tc>
        <w:tc>
          <w:tcPr>
            <w:tcW w:w="378" w:type="pct"/>
          </w:tcPr>
          <w:p w:rsidR="00C66959" w:rsidRPr="00936461" w:rsidRDefault="00C66959" w:rsidP="001670F0">
            <w:pPr>
              <w:pStyle w:val="TAL"/>
              <w:jc w:val="center"/>
            </w:pPr>
            <w:r w:rsidRPr="00936461">
              <w:rPr>
                <w:bCs/>
                <w:iCs/>
              </w:rPr>
              <w:t>N/A</w:t>
            </w:r>
          </w:p>
        </w:tc>
      </w:tr>
    </w:tbl>
    <w:p w:rsidR="00C66959" w:rsidRDefault="0052449A" w:rsidP="00C66959">
      <w:pPr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>With this legacy signalling:</w:t>
      </w:r>
    </w:p>
    <w:p w:rsidR="0052449A" w:rsidRPr="0052449A" w:rsidRDefault="0052449A" w:rsidP="0052449A">
      <w:pPr>
        <w:pStyle w:val="af6"/>
        <w:numPr>
          <w:ilvl w:val="0"/>
          <w:numId w:val="6"/>
        </w:numPr>
        <w:rPr>
          <w:rFonts w:eastAsiaTheme="minorEastAsia"/>
          <w:sz w:val="21"/>
          <w:szCs w:val="21"/>
          <w:lang w:eastAsia="zh-CN"/>
        </w:rPr>
      </w:pPr>
      <w:r w:rsidRPr="0052449A">
        <w:rPr>
          <w:rFonts w:eastAsiaTheme="minorEastAsia"/>
          <w:sz w:val="21"/>
          <w:szCs w:val="21"/>
          <w:lang w:eastAsia="zh-CN"/>
        </w:rPr>
        <w:t>For</w:t>
      </w:r>
      <w:r w:rsidRPr="0052449A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Pr="0052449A">
        <w:rPr>
          <w:rFonts w:eastAsiaTheme="minorEastAsia"/>
          <w:sz w:val="21"/>
          <w:szCs w:val="21"/>
          <w:lang w:eastAsia="zh-CN"/>
        </w:rPr>
        <w:t>the contiguous only case, it means that the UE only supports the nominal spacing with contiguous requirements;</w:t>
      </w:r>
    </w:p>
    <w:p w:rsidR="0052449A" w:rsidRDefault="0052449A" w:rsidP="0052449A">
      <w:pPr>
        <w:pStyle w:val="af6"/>
        <w:numPr>
          <w:ilvl w:val="0"/>
          <w:numId w:val="6"/>
        </w:numPr>
        <w:rPr>
          <w:rFonts w:eastAsiaTheme="minorEastAsia"/>
          <w:sz w:val="21"/>
          <w:szCs w:val="21"/>
          <w:lang w:eastAsia="zh-CN"/>
        </w:rPr>
      </w:pPr>
      <w:r w:rsidRPr="0052449A">
        <w:rPr>
          <w:rFonts w:eastAsiaTheme="minorEastAsia"/>
          <w:sz w:val="21"/>
          <w:szCs w:val="21"/>
          <w:lang w:eastAsia="zh-CN"/>
        </w:rPr>
        <w:t xml:space="preserve">For the non-contiguous </w:t>
      </w:r>
      <w:r>
        <w:rPr>
          <w:rFonts w:eastAsiaTheme="minorEastAsia"/>
          <w:sz w:val="21"/>
          <w:szCs w:val="21"/>
          <w:lang w:eastAsia="zh-CN"/>
        </w:rPr>
        <w:t xml:space="preserve">only </w:t>
      </w:r>
      <w:r w:rsidRPr="0052449A">
        <w:rPr>
          <w:rFonts w:eastAsiaTheme="minorEastAsia"/>
          <w:sz w:val="21"/>
          <w:szCs w:val="21"/>
          <w:lang w:eastAsia="zh-CN"/>
        </w:rPr>
        <w:t>case, it means that the UE only supports the spacing larger than the nominal spacing with non-contiguous requirements;</w:t>
      </w:r>
    </w:p>
    <w:p w:rsidR="0052449A" w:rsidRPr="0052449A" w:rsidRDefault="0052449A" w:rsidP="0052449A">
      <w:pPr>
        <w:pStyle w:val="af6"/>
        <w:numPr>
          <w:ilvl w:val="0"/>
          <w:numId w:val="6"/>
        </w:numPr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>For the “Both”, it means both the above 2 cases are supported.</w:t>
      </w:r>
    </w:p>
    <w:p w:rsidR="00123685" w:rsidRDefault="0052449A" w:rsidP="00C66959">
      <w:pPr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 xml:space="preserve">Now, when a new capability (i.e. </w:t>
      </w:r>
      <w:r w:rsidRPr="0052449A">
        <w:rPr>
          <w:rFonts w:eastAsiaTheme="minorEastAsia"/>
          <w:sz w:val="21"/>
          <w:szCs w:val="21"/>
          <w:lang w:eastAsia="zh-CN"/>
        </w:rPr>
        <w:t>intraBandENDC-NominalSpacing</w:t>
      </w:r>
      <w:r>
        <w:rPr>
          <w:rFonts w:eastAsiaTheme="minorEastAsia"/>
          <w:sz w:val="21"/>
          <w:szCs w:val="21"/>
          <w:lang w:eastAsia="zh-CN"/>
        </w:rPr>
        <w:t>) is introduced, there would be 4 cases summarized as below</w:t>
      </w:r>
      <w:r w:rsidR="00123685">
        <w:rPr>
          <w:rFonts w:eastAsiaTheme="minorEastAsia"/>
          <w:sz w:val="21"/>
          <w:szCs w:val="21"/>
          <w:lang w:eastAsia="zh-CN"/>
        </w:rPr>
        <w:t>:</w:t>
      </w:r>
    </w:p>
    <w:p w:rsidR="00123685" w:rsidRPr="00123685" w:rsidRDefault="00123685" w:rsidP="00123685">
      <w:pPr>
        <w:jc w:val="center"/>
        <w:rPr>
          <w:rFonts w:eastAsiaTheme="minorEastAsia"/>
          <w:b/>
          <w:sz w:val="21"/>
          <w:szCs w:val="21"/>
          <w:lang w:eastAsia="zh-CN"/>
        </w:rPr>
      </w:pPr>
      <w:r w:rsidRPr="00123685">
        <w:rPr>
          <w:rFonts w:eastAsiaTheme="minorEastAsia"/>
          <w:b/>
          <w:sz w:val="21"/>
          <w:szCs w:val="21"/>
          <w:lang w:eastAsia="zh-CN"/>
        </w:rPr>
        <w:t>Table 1: Cases</w:t>
      </w:r>
      <w:r>
        <w:rPr>
          <w:rFonts w:eastAsiaTheme="minorEastAsia"/>
          <w:b/>
          <w:sz w:val="21"/>
          <w:szCs w:val="21"/>
          <w:lang w:eastAsia="zh-CN"/>
        </w:rPr>
        <w:t xml:space="preserve"> with New Capability I</w:t>
      </w:r>
      <w:r w:rsidRPr="00123685">
        <w:rPr>
          <w:rFonts w:eastAsiaTheme="minorEastAsia"/>
          <w:b/>
          <w:sz w:val="21"/>
          <w:szCs w:val="21"/>
          <w:lang w:eastAsia="zh-CN"/>
        </w:rPr>
        <w:t>ntroduced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397"/>
        <w:gridCol w:w="2694"/>
        <w:gridCol w:w="3259"/>
      </w:tblGrid>
      <w:tr w:rsidR="00C66959" w:rsidTr="00123685">
        <w:tc>
          <w:tcPr>
            <w:tcW w:w="3397" w:type="dxa"/>
          </w:tcPr>
          <w:p w:rsidR="00C66959" w:rsidRDefault="00123685" w:rsidP="001670F0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Case</w:t>
            </w:r>
          </w:p>
        </w:tc>
        <w:tc>
          <w:tcPr>
            <w:tcW w:w="2694" w:type="dxa"/>
          </w:tcPr>
          <w:p w:rsidR="00C66959" w:rsidRDefault="00C66959" w:rsidP="001670F0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Requirement for the case with nominal spacing</w:t>
            </w:r>
          </w:p>
        </w:tc>
        <w:tc>
          <w:tcPr>
            <w:tcW w:w="3259" w:type="dxa"/>
          </w:tcPr>
          <w:p w:rsidR="00C66959" w:rsidRDefault="00C66959" w:rsidP="001670F0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Requirement for the case with spacing larger than nominal spacing</w:t>
            </w:r>
          </w:p>
        </w:tc>
      </w:tr>
      <w:tr w:rsidR="00C66959" w:rsidTr="00123685">
        <w:tc>
          <w:tcPr>
            <w:tcW w:w="3397" w:type="dxa"/>
          </w:tcPr>
          <w:p w:rsidR="00C66959" w:rsidRDefault="00123685" w:rsidP="001670F0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Case</w:t>
            </w:r>
            <w:r w:rsidR="00C66959">
              <w:rPr>
                <w:rFonts w:eastAsiaTheme="minorEastAsia"/>
                <w:sz w:val="21"/>
                <w:szCs w:val="21"/>
                <w:lang w:eastAsia="zh-CN"/>
              </w:rPr>
              <w:t xml:space="preserve"> 1: Contiguous only </w:t>
            </w:r>
          </w:p>
        </w:tc>
        <w:tc>
          <w:tcPr>
            <w:tcW w:w="2694" w:type="dxa"/>
          </w:tcPr>
          <w:p w:rsidR="00C66959" w:rsidRDefault="00C66959" w:rsidP="001670F0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Contiguous Requirement</w:t>
            </w:r>
          </w:p>
        </w:tc>
        <w:tc>
          <w:tcPr>
            <w:tcW w:w="3259" w:type="dxa"/>
          </w:tcPr>
          <w:p w:rsidR="00C66959" w:rsidRDefault="00C66959" w:rsidP="001670F0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Not supported</w:t>
            </w:r>
          </w:p>
        </w:tc>
      </w:tr>
      <w:tr w:rsidR="00C66959" w:rsidTr="00123685">
        <w:tc>
          <w:tcPr>
            <w:tcW w:w="3397" w:type="dxa"/>
          </w:tcPr>
          <w:p w:rsidR="00C66959" w:rsidRDefault="00123685" w:rsidP="001670F0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 xml:space="preserve">Case </w:t>
            </w:r>
            <w:r w:rsidR="00C66959">
              <w:rPr>
                <w:rFonts w:eastAsiaTheme="minorEastAsia"/>
                <w:sz w:val="21"/>
                <w:szCs w:val="21"/>
                <w:lang w:eastAsia="zh-CN"/>
              </w:rPr>
              <w:t>2:</w:t>
            </w:r>
            <w:r>
              <w:rPr>
                <w:rFonts w:eastAsiaTheme="minorEastAsia"/>
                <w:sz w:val="21"/>
                <w:szCs w:val="21"/>
                <w:lang w:eastAsia="zh-CN"/>
              </w:rPr>
              <w:t xml:space="preserve"> non-contiguous only without supporting the new capability </w:t>
            </w:r>
          </w:p>
        </w:tc>
        <w:tc>
          <w:tcPr>
            <w:tcW w:w="2694" w:type="dxa"/>
          </w:tcPr>
          <w:p w:rsidR="00C66959" w:rsidRDefault="00123685" w:rsidP="001670F0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Not supported</w:t>
            </w:r>
          </w:p>
        </w:tc>
        <w:tc>
          <w:tcPr>
            <w:tcW w:w="3259" w:type="dxa"/>
          </w:tcPr>
          <w:p w:rsidR="00C66959" w:rsidRDefault="00123685" w:rsidP="001670F0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 xml:space="preserve">Non-contiguous requirement </w:t>
            </w:r>
          </w:p>
        </w:tc>
      </w:tr>
      <w:tr w:rsidR="00123685" w:rsidTr="00123685">
        <w:tc>
          <w:tcPr>
            <w:tcW w:w="3397" w:type="dxa"/>
          </w:tcPr>
          <w:p w:rsidR="00123685" w:rsidRPr="00123685" w:rsidRDefault="00123685" w:rsidP="00123685">
            <w:pPr>
              <w:rPr>
                <w:rFonts w:eastAsiaTheme="minorEastAsia"/>
                <w:sz w:val="21"/>
                <w:szCs w:val="21"/>
                <w:highlight w:val="yellow"/>
                <w:lang w:eastAsia="zh-CN"/>
              </w:rPr>
            </w:pPr>
            <w:r w:rsidRPr="00123685">
              <w:rPr>
                <w:rFonts w:eastAsiaTheme="minorEastAsia"/>
                <w:sz w:val="21"/>
                <w:szCs w:val="21"/>
                <w:highlight w:val="yellow"/>
                <w:lang w:eastAsia="zh-CN"/>
              </w:rPr>
              <w:t>Case 3: non-contiguous only with supporting the new capability (new)</w:t>
            </w:r>
          </w:p>
        </w:tc>
        <w:tc>
          <w:tcPr>
            <w:tcW w:w="2694" w:type="dxa"/>
          </w:tcPr>
          <w:p w:rsidR="00123685" w:rsidRPr="00123685" w:rsidRDefault="00123685" w:rsidP="001670F0">
            <w:pPr>
              <w:rPr>
                <w:rFonts w:eastAsiaTheme="minorEastAsia"/>
                <w:sz w:val="21"/>
                <w:szCs w:val="21"/>
                <w:highlight w:val="yellow"/>
                <w:lang w:eastAsia="zh-CN"/>
              </w:rPr>
            </w:pPr>
            <w:r w:rsidRPr="00123685">
              <w:rPr>
                <w:rFonts w:eastAsiaTheme="minorEastAsia"/>
                <w:sz w:val="21"/>
                <w:szCs w:val="21"/>
                <w:highlight w:val="yellow"/>
                <w:lang w:eastAsia="zh-CN"/>
              </w:rPr>
              <w:t>Non-Contiguous Requirement</w:t>
            </w:r>
          </w:p>
        </w:tc>
        <w:tc>
          <w:tcPr>
            <w:tcW w:w="3259" w:type="dxa"/>
          </w:tcPr>
          <w:p w:rsidR="00123685" w:rsidRDefault="00123685" w:rsidP="001670F0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 w:rsidRPr="00123685">
              <w:rPr>
                <w:rFonts w:eastAsiaTheme="minorEastAsia"/>
                <w:sz w:val="21"/>
                <w:szCs w:val="21"/>
                <w:highlight w:val="yellow"/>
                <w:lang w:eastAsia="zh-CN"/>
              </w:rPr>
              <w:t>Non-contiguous requirement</w:t>
            </w:r>
          </w:p>
        </w:tc>
      </w:tr>
      <w:tr w:rsidR="00123685" w:rsidTr="00123685">
        <w:tc>
          <w:tcPr>
            <w:tcW w:w="3397" w:type="dxa"/>
          </w:tcPr>
          <w:p w:rsidR="00123685" w:rsidRDefault="00123685" w:rsidP="00123685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Case 4:  Both</w:t>
            </w:r>
          </w:p>
        </w:tc>
        <w:tc>
          <w:tcPr>
            <w:tcW w:w="2694" w:type="dxa"/>
          </w:tcPr>
          <w:p w:rsidR="00123685" w:rsidRDefault="00123685" w:rsidP="001670F0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Contiguous Requirement</w:t>
            </w:r>
          </w:p>
        </w:tc>
        <w:tc>
          <w:tcPr>
            <w:tcW w:w="3259" w:type="dxa"/>
          </w:tcPr>
          <w:p w:rsidR="00123685" w:rsidRDefault="00123685" w:rsidP="001670F0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Non-contiguous requirement</w:t>
            </w:r>
          </w:p>
        </w:tc>
      </w:tr>
    </w:tbl>
    <w:p w:rsidR="008D761A" w:rsidRDefault="008D761A">
      <w:pPr>
        <w:rPr>
          <w:rFonts w:eastAsiaTheme="minorEastAsia"/>
          <w:sz w:val="21"/>
          <w:szCs w:val="21"/>
          <w:lang w:eastAsia="zh-CN"/>
        </w:rPr>
      </w:pPr>
    </w:p>
    <w:p w:rsidR="00123685" w:rsidRDefault="008D761A" w:rsidP="00206626">
      <w:pPr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 xml:space="preserve">From the table 1, we can see that the new case was introduced for that the non-contiguous requirements can be used for the nominal spacing. </w:t>
      </w:r>
      <w:r w:rsidR="00206626">
        <w:rPr>
          <w:rFonts w:eastAsiaTheme="minorEastAsia"/>
          <w:sz w:val="21"/>
          <w:szCs w:val="21"/>
          <w:lang w:eastAsia="zh-CN"/>
        </w:rPr>
        <w:t>For the discussion convenience, we’d like to</w:t>
      </w:r>
      <w:r w:rsidR="00123685">
        <w:rPr>
          <w:rFonts w:eastAsiaTheme="minorEastAsia"/>
          <w:sz w:val="21"/>
          <w:szCs w:val="21"/>
          <w:lang w:eastAsia="zh-CN"/>
        </w:rPr>
        <w:t xml:space="preserve"> confirm that the companies share the same understanding on the new capability (</w:t>
      </w:r>
      <w:r w:rsidR="00123685" w:rsidRPr="00123685">
        <w:rPr>
          <w:rFonts w:eastAsiaTheme="minorEastAsia"/>
          <w:sz w:val="21"/>
          <w:szCs w:val="21"/>
          <w:lang w:eastAsia="zh-CN"/>
        </w:rPr>
        <w:t>i.e. intraBandENDC-NominalSpacing defined in the RAN4 spec)</w:t>
      </w:r>
      <w:r w:rsidR="00123685">
        <w:rPr>
          <w:rFonts w:eastAsiaTheme="minorEastAsia"/>
          <w:sz w:val="21"/>
          <w:szCs w:val="21"/>
          <w:lang w:eastAsia="zh-CN"/>
        </w:rPr>
        <w:t>.</w:t>
      </w:r>
    </w:p>
    <w:p w:rsidR="001303E3" w:rsidRDefault="00123685" w:rsidP="001303E3">
      <w:pPr>
        <w:rPr>
          <w:rFonts w:eastAsiaTheme="minorEastAsia"/>
          <w:b/>
          <w:sz w:val="21"/>
          <w:szCs w:val="21"/>
          <w:lang w:eastAsia="zh-CN"/>
        </w:rPr>
      </w:pPr>
      <w:r w:rsidRPr="00123685">
        <w:rPr>
          <w:rFonts w:eastAsiaTheme="minorEastAsia"/>
          <w:b/>
          <w:sz w:val="21"/>
          <w:szCs w:val="21"/>
          <w:lang w:eastAsia="zh-CN"/>
        </w:rPr>
        <w:t>Proposal 1: RAN2 to confirm whether the understanding of the</w:t>
      </w:r>
      <w:r w:rsidR="001303E3">
        <w:rPr>
          <w:rFonts w:eastAsiaTheme="minorEastAsia"/>
          <w:b/>
          <w:sz w:val="21"/>
          <w:szCs w:val="21"/>
          <w:lang w:eastAsia="zh-CN"/>
        </w:rPr>
        <w:t xml:space="preserve"> legacy </w:t>
      </w:r>
      <w:r w:rsidR="001303E3" w:rsidRPr="001303E3">
        <w:rPr>
          <w:rFonts w:eastAsiaTheme="minorEastAsia"/>
          <w:b/>
          <w:sz w:val="21"/>
          <w:szCs w:val="21"/>
          <w:lang w:eastAsia="zh-CN"/>
        </w:rPr>
        <w:t>intraBandENDC-Support</w:t>
      </w:r>
      <w:r w:rsidR="001303E3">
        <w:rPr>
          <w:rFonts w:eastAsiaTheme="minorEastAsia"/>
          <w:b/>
          <w:sz w:val="21"/>
          <w:szCs w:val="21"/>
          <w:lang w:eastAsia="zh-CN"/>
        </w:rPr>
        <w:t xml:space="preserve"> and the </w:t>
      </w:r>
      <w:r w:rsidR="001303E3" w:rsidRPr="00123685">
        <w:rPr>
          <w:rFonts w:eastAsiaTheme="minorEastAsia"/>
          <w:b/>
          <w:sz w:val="21"/>
          <w:szCs w:val="21"/>
          <w:lang w:eastAsia="zh-CN"/>
        </w:rPr>
        <w:t>new</w:t>
      </w:r>
      <w:r w:rsidRPr="00123685">
        <w:rPr>
          <w:rFonts w:eastAsiaTheme="minorEastAsia"/>
          <w:b/>
          <w:sz w:val="21"/>
          <w:szCs w:val="21"/>
          <w:lang w:eastAsia="zh-CN"/>
        </w:rPr>
        <w:t xml:space="preserve"> capability</w:t>
      </w:r>
      <w:r w:rsidR="001303E3">
        <w:rPr>
          <w:rFonts w:eastAsiaTheme="minorEastAsia"/>
          <w:b/>
          <w:sz w:val="21"/>
          <w:szCs w:val="21"/>
          <w:lang w:eastAsia="zh-CN"/>
        </w:rPr>
        <w:t xml:space="preserve"> </w:t>
      </w:r>
      <w:r w:rsidRPr="00123685">
        <w:rPr>
          <w:rFonts w:eastAsiaTheme="minorEastAsia"/>
          <w:b/>
          <w:sz w:val="21"/>
          <w:szCs w:val="21"/>
          <w:lang w:eastAsia="zh-CN"/>
        </w:rPr>
        <w:t xml:space="preserve">(i.e. </w:t>
      </w:r>
      <w:r w:rsidRPr="00206626">
        <w:rPr>
          <w:rFonts w:eastAsiaTheme="minorEastAsia"/>
          <w:b/>
          <w:i/>
          <w:sz w:val="21"/>
          <w:szCs w:val="21"/>
          <w:lang w:eastAsia="zh-CN"/>
        </w:rPr>
        <w:t>intraBandENDC-NominalSpacing</w:t>
      </w:r>
      <w:r w:rsidRPr="00123685">
        <w:rPr>
          <w:rFonts w:eastAsiaTheme="minorEastAsia"/>
          <w:b/>
          <w:sz w:val="21"/>
          <w:szCs w:val="21"/>
          <w:lang w:eastAsia="zh-CN"/>
        </w:rPr>
        <w:t xml:space="preserve"> defined in the RAN4 spec)</w:t>
      </w:r>
      <w:r w:rsidR="001303E3">
        <w:rPr>
          <w:rFonts w:eastAsiaTheme="minorEastAsia"/>
          <w:b/>
          <w:sz w:val="21"/>
          <w:szCs w:val="21"/>
          <w:lang w:eastAsia="zh-CN"/>
        </w:rPr>
        <w:t xml:space="preserve"> in the Table 1 is correct.</w:t>
      </w:r>
    </w:p>
    <w:p w:rsidR="00123685" w:rsidRPr="00123685" w:rsidRDefault="00123685" w:rsidP="00123685">
      <w:pPr>
        <w:jc w:val="center"/>
        <w:rPr>
          <w:rFonts w:eastAsiaTheme="minorEastAsia"/>
          <w:b/>
          <w:sz w:val="21"/>
          <w:szCs w:val="21"/>
          <w:lang w:eastAsia="zh-CN"/>
        </w:rPr>
      </w:pPr>
      <w:r w:rsidRPr="00123685">
        <w:rPr>
          <w:rFonts w:eastAsiaTheme="minorEastAsia"/>
          <w:b/>
          <w:sz w:val="21"/>
          <w:szCs w:val="21"/>
          <w:lang w:eastAsia="zh-CN"/>
        </w:rPr>
        <w:t>Table 1: Cases</w:t>
      </w:r>
      <w:r>
        <w:rPr>
          <w:rFonts w:eastAsiaTheme="minorEastAsia"/>
          <w:b/>
          <w:sz w:val="21"/>
          <w:szCs w:val="21"/>
          <w:lang w:eastAsia="zh-CN"/>
        </w:rPr>
        <w:t xml:space="preserve"> with New Capability I</w:t>
      </w:r>
      <w:r w:rsidRPr="00123685">
        <w:rPr>
          <w:rFonts w:eastAsiaTheme="minorEastAsia"/>
          <w:b/>
          <w:sz w:val="21"/>
          <w:szCs w:val="21"/>
          <w:lang w:eastAsia="zh-CN"/>
        </w:rPr>
        <w:t>ntroduced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397"/>
        <w:gridCol w:w="2694"/>
        <w:gridCol w:w="3259"/>
      </w:tblGrid>
      <w:tr w:rsidR="00123685" w:rsidRPr="00206626" w:rsidTr="00230FDA">
        <w:tc>
          <w:tcPr>
            <w:tcW w:w="3397" w:type="dxa"/>
          </w:tcPr>
          <w:p w:rsidR="00123685" w:rsidRPr="00206626" w:rsidRDefault="00123685" w:rsidP="00206626">
            <w:pPr>
              <w:jc w:val="center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206626">
              <w:rPr>
                <w:rFonts w:eastAsiaTheme="minorEastAsia"/>
                <w:b/>
                <w:sz w:val="21"/>
                <w:szCs w:val="21"/>
                <w:lang w:eastAsia="zh-CN"/>
              </w:rPr>
              <w:t>Case</w:t>
            </w:r>
          </w:p>
        </w:tc>
        <w:tc>
          <w:tcPr>
            <w:tcW w:w="2694" w:type="dxa"/>
          </w:tcPr>
          <w:p w:rsidR="00123685" w:rsidRPr="00206626" w:rsidRDefault="00123685" w:rsidP="00206626">
            <w:pPr>
              <w:jc w:val="center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206626">
              <w:rPr>
                <w:rFonts w:eastAsiaTheme="minorEastAsia"/>
                <w:b/>
                <w:sz w:val="21"/>
                <w:szCs w:val="21"/>
                <w:lang w:eastAsia="zh-CN"/>
              </w:rPr>
              <w:t>Requirement for the case with nominal spacing</w:t>
            </w:r>
          </w:p>
        </w:tc>
        <w:tc>
          <w:tcPr>
            <w:tcW w:w="3259" w:type="dxa"/>
          </w:tcPr>
          <w:p w:rsidR="00123685" w:rsidRPr="00206626" w:rsidRDefault="00123685" w:rsidP="00206626">
            <w:pPr>
              <w:jc w:val="center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206626">
              <w:rPr>
                <w:rFonts w:eastAsiaTheme="minorEastAsia"/>
                <w:b/>
                <w:sz w:val="21"/>
                <w:szCs w:val="21"/>
                <w:lang w:eastAsia="zh-CN"/>
              </w:rPr>
              <w:t>Requirement for the case with spacing larger than nominal spacing</w:t>
            </w:r>
          </w:p>
        </w:tc>
      </w:tr>
      <w:tr w:rsidR="00123685" w:rsidTr="00230FDA">
        <w:tc>
          <w:tcPr>
            <w:tcW w:w="3397" w:type="dxa"/>
          </w:tcPr>
          <w:p w:rsidR="00123685" w:rsidRDefault="00123685" w:rsidP="00230FDA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lastRenderedPageBreak/>
              <w:t xml:space="preserve">Case 1: Contiguous only </w:t>
            </w:r>
          </w:p>
        </w:tc>
        <w:tc>
          <w:tcPr>
            <w:tcW w:w="2694" w:type="dxa"/>
          </w:tcPr>
          <w:p w:rsidR="00123685" w:rsidRDefault="00123685" w:rsidP="00230FDA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Contiguous Requirement</w:t>
            </w:r>
          </w:p>
        </w:tc>
        <w:tc>
          <w:tcPr>
            <w:tcW w:w="3259" w:type="dxa"/>
          </w:tcPr>
          <w:p w:rsidR="00123685" w:rsidRDefault="00123685" w:rsidP="00230FDA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Not supported</w:t>
            </w:r>
          </w:p>
        </w:tc>
      </w:tr>
      <w:tr w:rsidR="00123685" w:rsidTr="00230FDA">
        <w:tc>
          <w:tcPr>
            <w:tcW w:w="3397" w:type="dxa"/>
          </w:tcPr>
          <w:p w:rsidR="00123685" w:rsidRDefault="00123685" w:rsidP="00230FDA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 xml:space="preserve">Case 2: non-contiguous only without supporting the new capability </w:t>
            </w:r>
          </w:p>
        </w:tc>
        <w:tc>
          <w:tcPr>
            <w:tcW w:w="2694" w:type="dxa"/>
          </w:tcPr>
          <w:p w:rsidR="00123685" w:rsidRDefault="00123685" w:rsidP="00230FDA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Not supported</w:t>
            </w:r>
          </w:p>
        </w:tc>
        <w:tc>
          <w:tcPr>
            <w:tcW w:w="3259" w:type="dxa"/>
          </w:tcPr>
          <w:p w:rsidR="00123685" w:rsidRDefault="00123685" w:rsidP="00230FDA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 xml:space="preserve">Non-contiguous requirement </w:t>
            </w:r>
          </w:p>
        </w:tc>
      </w:tr>
      <w:tr w:rsidR="00123685" w:rsidTr="00230FDA">
        <w:tc>
          <w:tcPr>
            <w:tcW w:w="3397" w:type="dxa"/>
          </w:tcPr>
          <w:p w:rsidR="00123685" w:rsidRPr="00123685" w:rsidRDefault="00123685" w:rsidP="00230FDA">
            <w:pPr>
              <w:rPr>
                <w:rFonts w:eastAsiaTheme="minorEastAsia"/>
                <w:sz w:val="21"/>
                <w:szCs w:val="21"/>
                <w:highlight w:val="yellow"/>
                <w:lang w:eastAsia="zh-CN"/>
              </w:rPr>
            </w:pPr>
            <w:r w:rsidRPr="00123685">
              <w:rPr>
                <w:rFonts w:eastAsiaTheme="minorEastAsia"/>
                <w:sz w:val="21"/>
                <w:szCs w:val="21"/>
                <w:highlight w:val="yellow"/>
                <w:lang w:eastAsia="zh-CN"/>
              </w:rPr>
              <w:t>Case 3: non-contiguous only with supporting the new capability (new)</w:t>
            </w:r>
          </w:p>
        </w:tc>
        <w:tc>
          <w:tcPr>
            <w:tcW w:w="2694" w:type="dxa"/>
          </w:tcPr>
          <w:p w:rsidR="00123685" w:rsidRPr="00123685" w:rsidRDefault="00123685" w:rsidP="00230FDA">
            <w:pPr>
              <w:rPr>
                <w:rFonts w:eastAsiaTheme="minorEastAsia"/>
                <w:sz w:val="21"/>
                <w:szCs w:val="21"/>
                <w:highlight w:val="yellow"/>
                <w:lang w:eastAsia="zh-CN"/>
              </w:rPr>
            </w:pPr>
            <w:r w:rsidRPr="00123685">
              <w:rPr>
                <w:rFonts w:eastAsiaTheme="minorEastAsia"/>
                <w:sz w:val="21"/>
                <w:szCs w:val="21"/>
                <w:highlight w:val="yellow"/>
                <w:lang w:eastAsia="zh-CN"/>
              </w:rPr>
              <w:t>Non-Contiguous Requirement</w:t>
            </w:r>
          </w:p>
        </w:tc>
        <w:tc>
          <w:tcPr>
            <w:tcW w:w="3259" w:type="dxa"/>
          </w:tcPr>
          <w:p w:rsidR="00123685" w:rsidRDefault="00123685" w:rsidP="00230FDA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 w:rsidRPr="00123685">
              <w:rPr>
                <w:rFonts w:eastAsiaTheme="minorEastAsia"/>
                <w:sz w:val="21"/>
                <w:szCs w:val="21"/>
                <w:highlight w:val="yellow"/>
                <w:lang w:eastAsia="zh-CN"/>
              </w:rPr>
              <w:t>Non-contiguous requirement</w:t>
            </w:r>
          </w:p>
        </w:tc>
      </w:tr>
      <w:tr w:rsidR="00123685" w:rsidTr="00230FDA">
        <w:tc>
          <w:tcPr>
            <w:tcW w:w="3397" w:type="dxa"/>
          </w:tcPr>
          <w:p w:rsidR="00123685" w:rsidRDefault="00123685" w:rsidP="00230FDA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Case 4:  Both</w:t>
            </w:r>
          </w:p>
        </w:tc>
        <w:tc>
          <w:tcPr>
            <w:tcW w:w="2694" w:type="dxa"/>
          </w:tcPr>
          <w:p w:rsidR="00123685" w:rsidRDefault="00123685" w:rsidP="00230FDA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Contiguous Requirement</w:t>
            </w:r>
          </w:p>
        </w:tc>
        <w:tc>
          <w:tcPr>
            <w:tcW w:w="3259" w:type="dxa"/>
          </w:tcPr>
          <w:p w:rsidR="00123685" w:rsidRDefault="00123685" w:rsidP="00230FDA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Non-contiguous requirement</w:t>
            </w:r>
          </w:p>
        </w:tc>
      </w:tr>
    </w:tbl>
    <w:p w:rsidR="00C66959" w:rsidRDefault="00C66959">
      <w:pPr>
        <w:rPr>
          <w:rFonts w:eastAsiaTheme="minorEastAsia"/>
          <w:sz w:val="21"/>
          <w:szCs w:val="21"/>
          <w:lang w:eastAsia="zh-CN"/>
        </w:rPr>
      </w:pPr>
    </w:p>
    <w:p w:rsidR="00123685" w:rsidRDefault="00123685">
      <w:pPr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 xml:space="preserve">If the Table 1 is confirmed, we can further discuss it for the </w:t>
      </w:r>
      <w:r w:rsidRPr="00123685">
        <w:rPr>
          <w:rFonts w:eastAsiaTheme="minorEastAsia"/>
          <w:i/>
          <w:sz w:val="21"/>
          <w:szCs w:val="21"/>
          <w:lang w:eastAsia="zh-CN"/>
        </w:rPr>
        <w:t>intrabandENDC-Support-UL</w:t>
      </w:r>
      <w:r>
        <w:rPr>
          <w:rFonts w:eastAsiaTheme="minorEastAsia"/>
          <w:sz w:val="21"/>
          <w:szCs w:val="21"/>
          <w:lang w:eastAsia="zh-CN"/>
        </w:rPr>
        <w:t xml:space="preserve">. 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1303E3" w:rsidRPr="00A855F4" w:rsidTr="00230FDA">
        <w:trPr>
          <w:cantSplit/>
          <w:tblHeader/>
        </w:trPr>
        <w:tc>
          <w:tcPr>
            <w:tcW w:w="6917" w:type="dxa"/>
          </w:tcPr>
          <w:p w:rsidR="001303E3" w:rsidRPr="00A855F4" w:rsidRDefault="001303E3" w:rsidP="00230FDA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A855F4">
              <w:rPr>
                <w:b/>
                <w:bCs/>
                <w:i/>
                <w:iCs/>
                <w:lang w:eastAsia="zh-CN"/>
              </w:rPr>
              <w:t>intrabandENDC-Support-UL</w:t>
            </w:r>
          </w:p>
          <w:p w:rsidR="001303E3" w:rsidRPr="00A855F4" w:rsidRDefault="001303E3" w:rsidP="00230FDA">
            <w:pPr>
              <w:pStyle w:val="TAL"/>
              <w:rPr>
                <w:bCs/>
                <w:iCs/>
              </w:rPr>
            </w:pPr>
            <w:r w:rsidRPr="00A855F4">
              <w:rPr>
                <w:bCs/>
                <w:iCs/>
              </w:rPr>
              <w:t xml:space="preserve">Indicates whether the UE supports intra-band </w:t>
            </w:r>
            <w:r w:rsidRPr="00A855F4">
              <w:rPr>
                <w:szCs w:val="22"/>
              </w:rPr>
              <w:t>(NG)</w:t>
            </w:r>
            <w:r w:rsidRPr="00A855F4">
              <w:rPr>
                <w:bCs/>
                <w:iCs/>
              </w:rPr>
              <w:t xml:space="preserve">EN-DC in UL with only non-contiguous spectrum, or with both contiguous and non-contiguous spectrum for the intra-band </w:t>
            </w:r>
            <w:r w:rsidRPr="00A855F4">
              <w:rPr>
                <w:szCs w:val="22"/>
              </w:rPr>
              <w:t>(NG)</w:t>
            </w:r>
            <w:r w:rsidRPr="00A855F4">
              <w:rPr>
                <w:bCs/>
                <w:iCs/>
              </w:rPr>
              <w:t>EN-DC combination as specified in TS 38.101-3 [4]. The UE includes this field only if the UE supports different UL and DL capabilities for the intra-band (NG)EN-DC band combination.</w:t>
            </w:r>
          </w:p>
          <w:p w:rsidR="001303E3" w:rsidRPr="00A855F4" w:rsidRDefault="001303E3" w:rsidP="00230FDA">
            <w:pPr>
              <w:pStyle w:val="TAL"/>
              <w:rPr>
                <w:noProof/>
                <w:lang w:eastAsia="zh-CN"/>
              </w:rPr>
            </w:pPr>
            <w:r w:rsidRPr="001303E3">
              <w:rPr>
                <w:noProof/>
                <w:lang w:eastAsia="zh-CN"/>
              </w:rPr>
              <w:t xml:space="preserve">When 'both' is indicated in </w:t>
            </w:r>
            <w:r w:rsidRPr="001303E3">
              <w:rPr>
                <w:i/>
                <w:noProof/>
                <w:lang w:eastAsia="zh-CN"/>
              </w:rPr>
              <w:t>intrabandENDC-Support</w:t>
            </w:r>
            <w:r w:rsidRPr="001303E3">
              <w:rPr>
                <w:noProof/>
                <w:lang w:eastAsia="zh-CN"/>
              </w:rPr>
              <w:t xml:space="preserve"> and in </w:t>
            </w:r>
            <w:r w:rsidRPr="001303E3">
              <w:rPr>
                <w:i/>
                <w:noProof/>
                <w:lang w:eastAsia="zh-CN"/>
              </w:rPr>
              <w:t>intraBandENDC-Support-UL</w:t>
            </w:r>
            <w:r w:rsidRPr="001303E3">
              <w:rPr>
                <w:noProof/>
                <w:lang w:eastAsia="zh-CN"/>
              </w:rPr>
              <w:t>, the UE supports the following three cases of intra-band (NG)EN-DC: contiguous DL/contiguous UL, non-contiguous DL/non-contiguous UL, contiguous DL/non-contiguous UL.</w:t>
            </w:r>
          </w:p>
          <w:p w:rsidR="001303E3" w:rsidRPr="00A855F4" w:rsidRDefault="001303E3" w:rsidP="00230FDA">
            <w:pPr>
              <w:pStyle w:val="TAL"/>
              <w:rPr>
                <w:lang w:eastAsia="en-GB"/>
              </w:rPr>
            </w:pPr>
            <w:r w:rsidRPr="00A855F4">
              <w:rPr>
                <w:lang w:eastAsia="en-GB"/>
              </w:rPr>
              <w:t>For the inter-band (NG)EN-DC band combination with multiple intra-band (NG)EN-DC components as defined in clause 5.5B in the TS 38.101-3 [4]:</w:t>
            </w:r>
          </w:p>
          <w:p w:rsidR="001303E3" w:rsidRPr="00A855F4" w:rsidRDefault="001303E3" w:rsidP="00230FDA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>This field is applicable only if the UE supports the same spectrum contiguity capability in UL for all the intra-band (NG)EN-DC components.</w:t>
            </w:r>
          </w:p>
          <w:p w:rsidR="001303E3" w:rsidRPr="00A855F4" w:rsidRDefault="001303E3" w:rsidP="00230FDA">
            <w:pPr>
              <w:pStyle w:val="B1"/>
              <w:spacing w:after="0"/>
              <w:rPr>
                <w:rFonts w:cs="Arial"/>
                <w:b/>
                <w:bCs/>
                <w:i/>
                <w:iCs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>If the UE supports different spectrum contiguity capabilities in UL for the intra-band (NG)EN-DC components, the UE shall not include this field.</w:t>
            </w:r>
          </w:p>
        </w:tc>
        <w:tc>
          <w:tcPr>
            <w:tcW w:w="709" w:type="dxa"/>
          </w:tcPr>
          <w:p w:rsidR="001303E3" w:rsidRPr="00A855F4" w:rsidRDefault="001303E3" w:rsidP="00230FDA">
            <w:pPr>
              <w:pStyle w:val="TAL"/>
              <w:jc w:val="center"/>
            </w:pPr>
            <w:r w:rsidRPr="00A855F4">
              <w:t>BC</w:t>
            </w:r>
          </w:p>
        </w:tc>
        <w:tc>
          <w:tcPr>
            <w:tcW w:w="567" w:type="dxa"/>
          </w:tcPr>
          <w:p w:rsidR="001303E3" w:rsidRPr="00A855F4" w:rsidRDefault="001303E3" w:rsidP="00230FDA">
            <w:pPr>
              <w:pStyle w:val="TAL"/>
              <w:jc w:val="center"/>
            </w:pPr>
            <w:r w:rsidRPr="00A855F4">
              <w:t>No</w:t>
            </w:r>
          </w:p>
        </w:tc>
        <w:tc>
          <w:tcPr>
            <w:tcW w:w="709" w:type="dxa"/>
          </w:tcPr>
          <w:p w:rsidR="001303E3" w:rsidRPr="00A855F4" w:rsidRDefault="001303E3" w:rsidP="00230FDA">
            <w:pPr>
              <w:pStyle w:val="TAL"/>
              <w:jc w:val="center"/>
              <w:rPr>
                <w:bCs/>
                <w:iCs/>
              </w:rPr>
            </w:pPr>
            <w:r w:rsidRPr="00A855F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1303E3" w:rsidRPr="00A855F4" w:rsidRDefault="001303E3" w:rsidP="00230FDA">
            <w:pPr>
              <w:pStyle w:val="TAL"/>
              <w:jc w:val="center"/>
              <w:rPr>
                <w:bCs/>
                <w:iCs/>
              </w:rPr>
            </w:pPr>
            <w:r w:rsidRPr="00A855F4">
              <w:rPr>
                <w:bCs/>
                <w:iCs/>
              </w:rPr>
              <w:t>N/A</w:t>
            </w:r>
          </w:p>
        </w:tc>
      </w:tr>
    </w:tbl>
    <w:p w:rsidR="00123685" w:rsidRDefault="00123685">
      <w:pPr>
        <w:rPr>
          <w:rFonts w:eastAsiaTheme="minorEastAsia"/>
          <w:sz w:val="21"/>
          <w:szCs w:val="21"/>
          <w:lang w:eastAsia="zh-CN"/>
        </w:rPr>
      </w:pPr>
    </w:p>
    <w:p w:rsidR="008D761A" w:rsidRDefault="008D761A">
      <w:pPr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>For the UL, if we take the new capability into consideration, the same logic as in the Table 1 shall be us</w:t>
      </w:r>
      <w:r w:rsidR="00206626">
        <w:rPr>
          <w:rFonts w:eastAsiaTheme="minorEastAsia"/>
          <w:sz w:val="21"/>
          <w:szCs w:val="21"/>
          <w:lang w:eastAsia="zh-CN"/>
        </w:rPr>
        <w:t>ed, i.e. there would be 4 cases</w:t>
      </w:r>
      <w:r>
        <w:rPr>
          <w:rFonts w:eastAsiaTheme="minorEastAsia"/>
          <w:sz w:val="21"/>
          <w:szCs w:val="21"/>
          <w:lang w:eastAsia="zh-CN"/>
        </w:rPr>
        <w:t xml:space="preserve">, the newly added case is </w:t>
      </w:r>
      <w:r w:rsidRPr="00123685">
        <w:rPr>
          <w:rFonts w:eastAsiaTheme="minorEastAsia"/>
          <w:i/>
          <w:sz w:val="21"/>
          <w:szCs w:val="21"/>
          <w:lang w:eastAsia="zh-CN"/>
        </w:rPr>
        <w:t>intrabandENDC-Support-UL</w:t>
      </w:r>
      <w:r>
        <w:rPr>
          <w:rFonts w:eastAsiaTheme="minorEastAsia"/>
          <w:i/>
          <w:sz w:val="21"/>
          <w:szCs w:val="21"/>
          <w:lang w:eastAsia="zh-CN"/>
        </w:rPr>
        <w:t>(non-contiguous)</w:t>
      </w:r>
      <w:r>
        <w:rPr>
          <w:rFonts w:eastAsiaTheme="minorEastAsia"/>
          <w:sz w:val="21"/>
          <w:szCs w:val="21"/>
          <w:lang w:eastAsia="zh-CN"/>
        </w:rPr>
        <w:t xml:space="preserve"> with new capability, which means for the spacing equal or larger than the nominal spacing, the non-contiguous requirement would be used.</w:t>
      </w:r>
    </w:p>
    <w:p w:rsidR="001303E3" w:rsidRDefault="001303E3">
      <w:pPr>
        <w:rPr>
          <w:rFonts w:eastAsiaTheme="minorEastAsia"/>
          <w:b/>
          <w:sz w:val="21"/>
          <w:szCs w:val="21"/>
          <w:lang w:eastAsia="zh-CN"/>
        </w:rPr>
      </w:pPr>
      <w:r w:rsidRPr="00123685">
        <w:rPr>
          <w:rFonts w:eastAsiaTheme="minorEastAsia"/>
          <w:b/>
          <w:sz w:val="21"/>
          <w:szCs w:val="21"/>
          <w:lang w:eastAsia="zh-CN"/>
        </w:rPr>
        <w:t xml:space="preserve">Proposal </w:t>
      </w:r>
      <w:r>
        <w:rPr>
          <w:rFonts w:eastAsiaTheme="minorEastAsia"/>
          <w:b/>
          <w:sz w:val="21"/>
          <w:szCs w:val="21"/>
          <w:lang w:eastAsia="zh-CN"/>
        </w:rPr>
        <w:t>2</w:t>
      </w:r>
      <w:r w:rsidRPr="00123685">
        <w:rPr>
          <w:rFonts w:eastAsiaTheme="minorEastAsia"/>
          <w:b/>
          <w:sz w:val="21"/>
          <w:szCs w:val="21"/>
          <w:lang w:eastAsia="zh-CN"/>
        </w:rPr>
        <w:t xml:space="preserve">: </w:t>
      </w:r>
      <w:r>
        <w:rPr>
          <w:rFonts w:eastAsiaTheme="minorEastAsia"/>
          <w:b/>
          <w:sz w:val="21"/>
          <w:szCs w:val="21"/>
          <w:lang w:eastAsia="zh-CN"/>
        </w:rPr>
        <w:t xml:space="preserve">If the Table 1 was confirmed, </w:t>
      </w:r>
      <w:r w:rsidRPr="00123685">
        <w:rPr>
          <w:rFonts w:eastAsiaTheme="minorEastAsia"/>
          <w:b/>
          <w:sz w:val="21"/>
          <w:szCs w:val="21"/>
          <w:lang w:eastAsia="zh-CN"/>
        </w:rPr>
        <w:t xml:space="preserve">RAN2 to confirm whether the </w:t>
      </w:r>
      <w:r>
        <w:rPr>
          <w:rFonts w:eastAsiaTheme="minorEastAsia"/>
          <w:b/>
          <w:sz w:val="21"/>
          <w:szCs w:val="21"/>
          <w:lang w:eastAsia="zh-CN"/>
        </w:rPr>
        <w:t>same logic would be used for the UL case.</w:t>
      </w:r>
    </w:p>
    <w:p w:rsidR="008D761A" w:rsidRPr="008D761A" w:rsidRDefault="008D761A">
      <w:pPr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 xml:space="preserve">If the proposal 2 was confirmed, we need to further discuss whether we need to introduce the new capability </w:t>
      </w:r>
      <w:r w:rsidR="00206626">
        <w:rPr>
          <w:rFonts w:eastAsiaTheme="minorEastAsia"/>
          <w:sz w:val="21"/>
          <w:szCs w:val="21"/>
          <w:lang w:eastAsia="zh-CN"/>
        </w:rPr>
        <w:t xml:space="preserve">for the DL and UL </w:t>
      </w:r>
      <w:r>
        <w:rPr>
          <w:rFonts w:eastAsiaTheme="minorEastAsia"/>
          <w:sz w:val="21"/>
          <w:szCs w:val="21"/>
          <w:lang w:eastAsia="zh-CN"/>
        </w:rPr>
        <w:t xml:space="preserve">separately. Similar to the discussion on the introduction of the </w:t>
      </w:r>
      <w:r w:rsidRPr="00123685">
        <w:rPr>
          <w:rFonts w:eastAsiaTheme="minorEastAsia"/>
          <w:i/>
          <w:sz w:val="21"/>
          <w:szCs w:val="21"/>
          <w:lang w:eastAsia="zh-CN"/>
        </w:rPr>
        <w:t>intrabandENDC-Support-UL</w:t>
      </w:r>
      <w:r>
        <w:rPr>
          <w:rFonts w:eastAsiaTheme="minorEastAsia"/>
          <w:i/>
          <w:sz w:val="21"/>
          <w:szCs w:val="21"/>
          <w:lang w:eastAsia="zh-CN"/>
        </w:rPr>
        <w:t xml:space="preserve">, </w:t>
      </w:r>
      <w:r w:rsidRPr="008D761A">
        <w:rPr>
          <w:rFonts w:eastAsiaTheme="minorEastAsia"/>
          <w:sz w:val="21"/>
          <w:szCs w:val="21"/>
          <w:lang w:eastAsia="zh-CN"/>
        </w:rPr>
        <w:t>we need to analyse different combination cases</w:t>
      </w:r>
      <w:r>
        <w:rPr>
          <w:rFonts w:eastAsiaTheme="minorEastAsia"/>
          <w:sz w:val="21"/>
          <w:szCs w:val="21"/>
          <w:lang w:eastAsia="zh-CN"/>
        </w:rPr>
        <w:t xml:space="preserve">. </w:t>
      </w:r>
    </w:p>
    <w:p w:rsidR="001303E3" w:rsidRDefault="008D761A">
      <w:pPr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 xml:space="preserve">For the legacy </w:t>
      </w:r>
      <w:r w:rsidRPr="00123685">
        <w:rPr>
          <w:rFonts w:eastAsiaTheme="minorEastAsia"/>
          <w:i/>
          <w:sz w:val="21"/>
          <w:szCs w:val="21"/>
          <w:lang w:eastAsia="zh-CN"/>
        </w:rPr>
        <w:t>intrabandENDC-Support-UL</w:t>
      </w:r>
      <w:r w:rsidR="00206626">
        <w:rPr>
          <w:rFonts w:eastAsiaTheme="minorEastAsia"/>
          <w:sz w:val="21"/>
          <w:szCs w:val="21"/>
          <w:lang w:eastAsia="zh-CN"/>
        </w:rPr>
        <w:t>, many combinations were</w:t>
      </w:r>
      <w:r w:rsidR="001303E3">
        <w:rPr>
          <w:rFonts w:eastAsiaTheme="minorEastAsia"/>
          <w:sz w:val="21"/>
          <w:szCs w:val="21"/>
          <w:lang w:eastAsia="zh-CN"/>
        </w:rPr>
        <w:t xml:space="preserve"> discussed and the below Table was</w:t>
      </w:r>
      <w:r w:rsidR="00B63DC5">
        <w:rPr>
          <w:rFonts w:eastAsiaTheme="minorEastAsia"/>
          <w:sz w:val="21"/>
          <w:szCs w:val="21"/>
          <w:lang w:eastAsia="zh-CN"/>
        </w:rPr>
        <w:t xml:space="preserve"> confirmed by the companies:</w:t>
      </w:r>
    </w:p>
    <w:p w:rsidR="001303E3" w:rsidRPr="001303E3" w:rsidRDefault="001303E3" w:rsidP="001303E3">
      <w:pPr>
        <w:jc w:val="center"/>
        <w:rPr>
          <w:rFonts w:eastAsiaTheme="minorEastAsia"/>
          <w:b/>
          <w:sz w:val="21"/>
          <w:szCs w:val="21"/>
          <w:lang w:eastAsia="zh-CN"/>
        </w:rPr>
      </w:pPr>
      <w:r w:rsidRPr="001303E3">
        <w:rPr>
          <w:rFonts w:eastAsiaTheme="minorEastAsia"/>
          <w:b/>
          <w:sz w:val="21"/>
          <w:szCs w:val="21"/>
          <w:lang w:eastAsia="zh-CN"/>
        </w:rPr>
        <w:t>Table 2</w:t>
      </w:r>
      <w:r>
        <w:rPr>
          <w:rFonts w:eastAsiaTheme="minorEastAsia"/>
          <w:b/>
          <w:sz w:val="21"/>
          <w:szCs w:val="21"/>
          <w:lang w:eastAsia="zh-CN"/>
        </w:rPr>
        <w:t xml:space="preserve">: </w:t>
      </w:r>
      <w:r w:rsidRPr="001303E3">
        <w:rPr>
          <w:rFonts w:eastAsiaTheme="minorEastAsia"/>
          <w:b/>
          <w:sz w:val="21"/>
          <w:szCs w:val="21"/>
          <w:lang w:eastAsia="zh-CN"/>
        </w:rPr>
        <w:t>intrabandENDC-Support for DL and UL case</w:t>
      </w:r>
    </w:p>
    <w:tbl>
      <w:tblPr>
        <w:tblStyle w:val="af"/>
        <w:tblW w:w="9634" w:type="dxa"/>
        <w:tblLook w:val="04A0" w:firstRow="1" w:lastRow="0" w:firstColumn="1" w:lastColumn="0" w:noHBand="0" w:noVBand="1"/>
      </w:tblPr>
      <w:tblGrid>
        <w:gridCol w:w="1173"/>
        <w:gridCol w:w="1783"/>
        <w:gridCol w:w="1783"/>
        <w:gridCol w:w="4895"/>
      </w:tblGrid>
      <w:tr w:rsidR="001303E3" w:rsidRPr="0083161E" w:rsidTr="00230FD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rPr>
                <w:rFonts w:ascii="Arial" w:eastAsiaTheme="minorEastAsia" w:hAnsi="Arial" w:cs="Arial"/>
                <w:b/>
              </w:rPr>
            </w:pPr>
            <w:r>
              <w:rPr>
                <w:rFonts w:ascii="Arial" w:eastAsiaTheme="minorEastAsia" w:hAnsi="Arial" w:cs="Arial"/>
                <w:b/>
              </w:rPr>
              <w:t>Scenario#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rPr>
                <w:rFonts w:ascii="Arial" w:eastAsiaTheme="minorEastAsia" w:hAnsi="Arial" w:cs="Arial"/>
                <w:b/>
                <w:i/>
                <w:iCs/>
              </w:rPr>
            </w:pPr>
            <w:r w:rsidRPr="0083161E">
              <w:rPr>
                <w:rFonts w:ascii="Arial" w:eastAsiaTheme="minorEastAsia" w:hAnsi="Arial" w:cs="Arial"/>
                <w:b/>
                <w:i/>
                <w:iCs/>
              </w:rPr>
              <w:t>intraBandENDC-Support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rPr>
                <w:rFonts w:ascii="Arial" w:eastAsiaTheme="minorEastAsia" w:hAnsi="Arial" w:cs="Arial"/>
                <w:b/>
                <w:i/>
                <w:iCs/>
              </w:rPr>
            </w:pPr>
            <w:r w:rsidRPr="0083161E">
              <w:rPr>
                <w:rFonts w:ascii="Arial" w:eastAsiaTheme="minorEastAsia" w:hAnsi="Arial" w:cs="Arial"/>
                <w:b/>
                <w:i/>
                <w:iCs/>
              </w:rPr>
              <w:t>intraBandENDC-Support-UL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rPr>
                <w:rFonts w:ascii="Arial" w:eastAsiaTheme="minorEastAsia" w:hAnsi="Arial" w:cs="Arial"/>
                <w:b/>
              </w:rPr>
            </w:pPr>
            <w:r w:rsidRPr="0083161E">
              <w:rPr>
                <w:rFonts w:ascii="Arial" w:eastAsiaTheme="minorEastAsia" w:hAnsi="Arial" w:cs="Arial"/>
                <w:b/>
              </w:rPr>
              <w:t>UE supports in DL / UL (if applicable)</w:t>
            </w:r>
          </w:p>
        </w:tc>
      </w:tr>
      <w:tr w:rsidR="001303E3" w:rsidRPr="0083161E" w:rsidTr="00230FD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1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Absent (Contiguous)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Absent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1303E3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 w:line="252" w:lineRule="auto"/>
              <w:ind w:left="152" w:hanging="152"/>
              <w:contextualSpacing w:val="0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Contiguous/Contiguous</w:t>
            </w:r>
          </w:p>
        </w:tc>
      </w:tr>
      <w:tr w:rsidR="001303E3" w:rsidRPr="0083161E" w:rsidTr="00230FD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lastRenderedPageBreak/>
              <w:t>2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Absent (Contiguous)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Non-contiguous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Default="001303E3" w:rsidP="001303E3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 w:line="252" w:lineRule="auto"/>
              <w:ind w:left="152" w:hanging="152"/>
              <w:contextualSpacing w:val="0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Contiguous/Non-contiguous</w:t>
            </w:r>
          </w:p>
          <w:p w:rsidR="001303E3" w:rsidRPr="00773AB9" w:rsidRDefault="001303E3" w:rsidP="00230FDA">
            <w:pPr>
              <w:spacing w:afterLines="50" w:after="120" w:line="252" w:lineRule="auto"/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/>
                <w:lang w:eastAsia="ja-JP"/>
              </w:rPr>
              <w:t>NOTE: “</w:t>
            </w:r>
            <w:r>
              <w:rPr>
                <w:rFonts w:ascii="Arial" w:eastAsiaTheme="minorEastAsia" w:hAnsi="Arial" w:cs="Arial" w:hint="eastAsia"/>
                <w:lang w:eastAsia="ja-JP"/>
              </w:rPr>
              <w:t>C</w:t>
            </w:r>
            <w:r>
              <w:rPr>
                <w:rFonts w:ascii="Arial" w:eastAsiaTheme="minorEastAsia" w:hAnsi="Arial" w:cs="Arial"/>
                <w:lang w:eastAsia="ja-JP"/>
              </w:rPr>
              <w:t xml:space="preserve">ase 3” in </w:t>
            </w:r>
            <w:r w:rsidRPr="002B1B6F">
              <w:rPr>
                <w:rFonts w:ascii="Arial" w:hAnsi="Arial" w:cs="Arial"/>
              </w:rPr>
              <w:t>R2-2300060</w:t>
            </w:r>
            <w:r w:rsidRPr="00CD100D">
              <w:rPr>
                <w:rFonts w:ascii="Arial" w:hAnsi="Arial" w:cs="Arial"/>
              </w:rPr>
              <w:t xml:space="preserve"> (</w:t>
            </w:r>
            <w:r w:rsidRPr="006E2EC6">
              <w:rPr>
                <w:rFonts w:ascii="Arial" w:hAnsi="Arial" w:cs="Arial"/>
                <w:bCs/>
              </w:rPr>
              <w:t>R4-2220837</w:t>
            </w:r>
            <w:r w:rsidRPr="00CD100D">
              <w:rPr>
                <w:rFonts w:ascii="Arial" w:hAnsi="Arial" w:cs="Arial"/>
                <w:bCs/>
              </w:rPr>
              <w:t>)</w:t>
            </w:r>
          </w:p>
        </w:tc>
      </w:tr>
      <w:tr w:rsidR="001303E3" w:rsidRPr="0083161E" w:rsidTr="00230FD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3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Non-contiguous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Absent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1303E3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 w:line="252" w:lineRule="auto"/>
              <w:ind w:left="152" w:hanging="152"/>
              <w:contextualSpacing w:val="0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Non-contiguous/Non-contiguous</w:t>
            </w:r>
          </w:p>
        </w:tc>
      </w:tr>
      <w:tr w:rsidR="001303E3" w:rsidRPr="0083161E" w:rsidTr="00230FDA">
        <w:trPr>
          <w:trHeight w:val="8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4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Both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Absent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1303E3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 w:line="252" w:lineRule="auto"/>
              <w:ind w:left="152" w:hanging="152"/>
              <w:contextualSpacing w:val="0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Contiguous/contiguous</w:t>
            </w:r>
          </w:p>
          <w:p w:rsidR="001303E3" w:rsidRPr="0083161E" w:rsidRDefault="001303E3" w:rsidP="001303E3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 w:line="252" w:lineRule="auto"/>
              <w:ind w:left="152" w:hanging="152"/>
              <w:contextualSpacing w:val="0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Non-contiguous/Non-contiguous</w:t>
            </w:r>
          </w:p>
        </w:tc>
      </w:tr>
      <w:tr w:rsidR="001303E3" w:rsidRPr="0083161E" w:rsidTr="00230FDA">
        <w:trPr>
          <w:trHeight w:val="91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5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Both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Non-contiguous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1303E3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 w:line="252" w:lineRule="auto"/>
              <w:ind w:left="152" w:hanging="152"/>
              <w:contextualSpacing w:val="0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Contiguous/Non-contiguous</w:t>
            </w:r>
          </w:p>
          <w:p w:rsidR="001303E3" w:rsidRPr="0083161E" w:rsidRDefault="001303E3" w:rsidP="001303E3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 w:line="252" w:lineRule="auto"/>
              <w:ind w:left="152" w:hanging="152"/>
              <w:contextualSpacing w:val="0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Non-contiguous/Non-contiguous</w:t>
            </w:r>
          </w:p>
        </w:tc>
      </w:tr>
      <w:tr w:rsidR="001303E3" w:rsidRPr="0083161E" w:rsidTr="00230FDA">
        <w:trPr>
          <w:trHeight w:val="7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6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Absent (Contiguous)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Both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1303E3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100" w:after="240" w:line="252" w:lineRule="auto"/>
              <w:ind w:left="153" w:hanging="153"/>
              <w:contextualSpacing w:val="0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Contiguous/Contiguous</w:t>
            </w:r>
          </w:p>
          <w:p w:rsidR="001303E3" w:rsidRDefault="001303E3" w:rsidP="001303E3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100" w:after="240" w:line="252" w:lineRule="auto"/>
              <w:ind w:left="153" w:hanging="153"/>
              <w:contextualSpacing w:val="0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Contiguous/Non-contiguous</w:t>
            </w:r>
          </w:p>
          <w:p w:rsidR="001303E3" w:rsidRPr="00CA5B8E" w:rsidRDefault="001303E3" w:rsidP="00230FDA">
            <w:pPr>
              <w:spacing w:afterLines="100" w:after="240" w:line="252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  <w:lang w:eastAsia="ja-JP"/>
              </w:rPr>
              <w:t>NOTE: “</w:t>
            </w:r>
            <w:r>
              <w:rPr>
                <w:rFonts w:ascii="Arial" w:eastAsiaTheme="minorEastAsia" w:hAnsi="Arial" w:cs="Arial" w:hint="eastAsia"/>
                <w:lang w:eastAsia="ja-JP"/>
              </w:rPr>
              <w:t>C</w:t>
            </w:r>
            <w:r>
              <w:rPr>
                <w:rFonts w:ascii="Arial" w:eastAsiaTheme="minorEastAsia" w:hAnsi="Arial" w:cs="Arial"/>
                <w:lang w:eastAsia="ja-JP"/>
              </w:rPr>
              <w:t xml:space="preserve">ase 4” in </w:t>
            </w:r>
            <w:r w:rsidRPr="002B1B6F">
              <w:rPr>
                <w:rFonts w:ascii="Arial" w:hAnsi="Arial" w:cs="Arial"/>
              </w:rPr>
              <w:t>R2-2300060</w:t>
            </w:r>
            <w:r w:rsidRPr="00CD100D">
              <w:rPr>
                <w:rFonts w:ascii="Arial" w:hAnsi="Arial" w:cs="Arial"/>
              </w:rPr>
              <w:t xml:space="preserve"> (</w:t>
            </w:r>
            <w:r w:rsidRPr="006E2EC6">
              <w:rPr>
                <w:rFonts w:ascii="Arial" w:hAnsi="Arial" w:cs="Arial"/>
                <w:bCs/>
              </w:rPr>
              <w:t>R4-2220837</w:t>
            </w:r>
            <w:r w:rsidRPr="00CD100D">
              <w:rPr>
                <w:rFonts w:ascii="Arial" w:hAnsi="Arial" w:cs="Arial"/>
                <w:bCs/>
              </w:rPr>
              <w:t>)</w:t>
            </w:r>
          </w:p>
        </w:tc>
      </w:tr>
      <w:tr w:rsidR="001303E3" w:rsidRPr="0083161E" w:rsidTr="00230FDA">
        <w:trPr>
          <w:trHeight w:val="111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7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Both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Both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1303E3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/>
              <w:ind w:left="153" w:hanging="153"/>
              <w:contextualSpacing w:val="0"/>
              <w:jc w:val="both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Contiguous/Contiguous</w:t>
            </w:r>
          </w:p>
          <w:p w:rsidR="001303E3" w:rsidRPr="0083161E" w:rsidRDefault="001303E3" w:rsidP="001303E3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/>
              <w:ind w:left="153" w:hanging="153"/>
              <w:contextualSpacing w:val="0"/>
              <w:jc w:val="both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Non-contiguous/Non-contiguous</w:t>
            </w:r>
          </w:p>
          <w:p w:rsidR="001303E3" w:rsidRPr="0083161E" w:rsidRDefault="001303E3" w:rsidP="001303E3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/>
              <w:ind w:left="153" w:hanging="153"/>
              <w:contextualSpacing w:val="0"/>
              <w:jc w:val="both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Contiguous/Non-contiguous</w:t>
            </w:r>
          </w:p>
        </w:tc>
      </w:tr>
    </w:tbl>
    <w:p w:rsidR="001303E3" w:rsidRDefault="001303E3" w:rsidP="001303E3">
      <w:pPr>
        <w:spacing w:afterLines="50" w:after="120"/>
        <w:rPr>
          <w:rFonts w:eastAsiaTheme="minorEastAsia"/>
          <w:sz w:val="21"/>
          <w:szCs w:val="21"/>
          <w:lang w:eastAsia="ja-JP"/>
        </w:rPr>
      </w:pPr>
    </w:p>
    <w:p w:rsidR="001303E3" w:rsidRDefault="001303E3" w:rsidP="001303E3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>Now when a new case was introduced as in the Table 1, we need to further discuss the DL and UL cases combination based on the above Table 1 and Table 2.</w:t>
      </w:r>
    </w:p>
    <w:p w:rsidR="001303E3" w:rsidRPr="001303E3" w:rsidRDefault="001303E3" w:rsidP="001303E3">
      <w:pPr>
        <w:jc w:val="center"/>
        <w:rPr>
          <w:rFonts w:eastAsiaTheme="minorEastAsia"/>
          <w:b/>
          <w:sz w:val="21"/>
          <w:szCs w:val="21"/>
          <w:lang w:eastAsia="zh-CN"/>
        </w:rPr>
      </w:pPr>
      <w:r w:rsidRPr="001303E3">
        <w:rPr>
          <w:rFonts w:eastAsiaTheme="minorEastAsia"/>
          <w:b/>
          <w:sz w:val="21"/>
          <w:szCs w:val="21"/>
          <w:lang w:eastAsia="zh-CN"/>
        </w:rPr>
        <w:t xml:space="preserve">Table </w:t>
      </w:r>
      <w:r>
        <w:rPr>
          <w:rFonts w:eastAsiaTheme="minorEastAsia"/>
          <w:b/>
          <w:sz w:val="21"/>
          <w:szCs w:val="21"/>
          <w:lang w:eastAsia="zh-CN"/>
        </w:rPr>
        <w:t xml:space="preserve">3: </w:t>
      </w:r>
      <w:r w:rsidRPr="001303E3">
        <w:rPr>
          <w:rFonts w:eastAsiaTheme="minorEastAsia"/>
          <w:b/>
          <w:sz w:val="21"/>
          <w:szCs w:val="21"/>
          <w:lang w:eastAsia="zh-CN"/>
        </w:rPr>
        <w:t>intrabandENDC-Support for DL and UL case</w:t>
      </w:r>
      <w:r w:rsidR="00B63DC5">
        <w:rPr>
          <w:rFonts w:eastAsiaTheme="minorEastAsia"/>
          <w:b/>
          <w:sz w:val="21"/>
          <w:szCs w:val="21"/>
          <w:lang w:eastAsia="zh-CN"/>
        </w:rPr>
        <w:t xml:space="preserve"> with new Capability</w:t>
      </w:r>
    </w:p>
    <w:tbl>
      <w:tblPr>
        <w:tblStyle w:val="af"/>
        <w:tblW w:w="9634" w:type="dxa"/>
        <w:tblLook w:val="04A0" w:firstRow="1" w:lastRow="0" w:firstColumn="1" w:lastColumn="0" w:noHBand="0" w:noVBand="1"/>
      </w:tblPr>
      <w:tblGrid>
        <w:gridCol w:w="1173"/>
        <w:gridCol w:w="1783"/>
        <w:gridCol w:w="1783"/>
        <w:gridCol w:w="4895"/>
      </w:tblGrid>
      <w:tr w:rsidR="001303E3" w:rsidRPr="0083161E" w:rsidTr="00237E6A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rPr>
                <w:rFonts w:ascii="Arial" w:eastAsiaTheme="minorEastAsia" w:hAnsi="Arial" w:cs="Arial"/>
                <w:b/>
              </w:rPr>
            </w:pPr>
            <w:r>
              <w:rPr>
                <w:rFonts w:ascii="Arial" w:eastAsiaTheme="minorEastAsia" w:hAnsi="Arial" w:cs="Arial"/>
                <w:b/>
              </w:rPr>
              <w:t>Scenario#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rPr>
                <w:rFonts w:ascii="Arial" w:eastAsiaTheme="minorEastAsia" w:hAnsi="Arial" w:cs="Arial"/>
                <w:b/>
                <w:i/>
                <w:iCs/>
              </w:rPr>
            </w:pPr>
            <w:r w:rsidRPr="0083161E">
              <w:rPr>
                <w:rFonts w:ascii="Arial" w:eastAsiaTheme="minorEastAsia" w:hAnsi="Arial" w:cs="Arial"/>
                <w:b/>
                <w:i/>
                <w:iCs/>
              </w:rPr>
              <w:t>intraBandENDC-Support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rPr>
                <w:rFonts w:ascii="Arial" w:eastAsiaTheme="minorEastAsia" w:hAnsi="Arial" w:cs="Arial"/>
                <w:b/>
                <w:i/>
                <w:iCs/>
              </w:rPr>
            </w:pPr>
            <w:r w:rsidRPr="0083161E">
              <w:rPr>
                <w:rFonts w:ascii="Arial" w:eastAsiaTheme="minorEastAsia" w:hAnsi="Arial" w:cs="Arial"/>
                <w:b/>
                <w:i/>
                <w:iCs/>
              </w:rPr>
              <w:t>intraBandENDC-Support-UL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rPr>
                <w:rFonts w:ascii="Arial" w:eastAsiaTheme="minorEastAsia" w:hAnsi="Arial" w:cs="Arial"/>
                <w:b/>
              </w:rPr>
            </w:pPr>
            <w:r w:rsidRPr="0083161E">
              <w:rPr>
                <w:rFonts w:ascii="Arial" w:eastAsiaTheme="minorEastAsia" w:hAnsi="Arial" w:cs="Arial"/>
                <w:b/>
              </w:rPr>
              <w:t>UE supports in DL / UL (if applicable)</w:t>
            </w:r>
          </w:p>
        </w:tc>
      </w:tr>
      <w:tr w:rsidR="001303E3" w:rsidRPr="0083161E" w:rsidTr="00237E6A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1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Absent (Contiguous)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Absent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 w:line="252" w:lineRule="auto"/>
              <w:ind w:left="152" w:hanging="152"/>
              <w:contextualSpacing w:val="0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Contiguous/Contiguous</w:t>
            </w:r>
          </w:p>
        </w:tc>
      </w:tr>
      <w:tr w:rsidR="001303E3" w:rsidRPr="0083161E" w:rsidTr="00237E6A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2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Absent (Contiguous)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Non-contiguous</w:t>
            </w:r>
            <w:r w:rsidR="00237E6A">
              <w:rPr>
                <w:rFonts w:ascii="Arial" w:eastAsiaTheme="minorEastAsia" w:hAnsi="Arial" w:cs="Arial"/>
              </w:rPr>
              <w:t xml:space="preserve"> </w:t>
            </w:r>
            <w:r w:rsidR="00237E6A">
              <w:rPr>
                <w:rFonts w:ascii="Arial" w:eastAsiaTheme="minorEastAsia" w:hAnsi="Arial" w:cs="Arial"/>
                <w:color w:val="FF0000"/>
              </w:rPr>
              <w:t>without new capability</w:t>
            </w:r>
            <w:r w:rsidR="00237E6A" w:rsidRPr="00237E6A">
              <w:rPr>
                <w:rFonts w:ascii="Arial" w:eastAsiaTheme="minorEastAsia" w:hAnsi="Arial" w:cs="Arial"/>
                <w:color w:val="FF0000"/>
              </w:rPr>
              <w:t xml:space="preserve"> 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Default="001303E3" w:rsidP="00230FDA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 w:line="252" w:lineRule="auto"/>
              <w:ind w:left="152" w:hanging="152"/>
              <w:contextualSpacing w:val="0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Contiguous/Non-contiguous</w:t>
            </w:r>
          </w:p>
          <w:p w:rsidR="001303E3" w:rsidRPr="00773AB9" w:rsidRDefault="001303E3" w:rsidP="00230FDA">
            <w:pPr>
              <w:spacing w:afterLines="50" w:after="120" w:line="252" w:lineRule="auto"/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/>
                <w:lang w:eastAsia="ja-JP"/>
              </w:rPr>
              <w:t>NOTE: “</w:t>
            </w:r>
            <w:r>
              <w:rPr>
                <w:rFonts w:ascii="Arial" w:eastAsiaTheme="minorEastAsia" w:hAnsi="Arial" w:cs="Arial" w:hint="eastAsia"/>
                <w:lang w:eastAsia="ja-JP"/>
              </w:rPr>
              <w:t>C</w:t>
            </w:r>
            <w:r>
              <w:rPr>
                <w:rFonts w:ascii="Arial" w:eastAsiaTheme="minorEastAsia" w:hAnsi="Arial" w:cs="Arial"/>
                <w:lang w:eastAsia="ja-JP"/>
              </w:rPr>
              <w:t xml:space="preserve">ase 3” in </w:t>
            </w:r>
            <w:r w:rsidRPr="002B1B6F">
              <w:rPr>
                <w:rFonts w:ascii="Arial" w:hAnsi="Arial" w:cs="Arial"/>
              </w:rPr>
              <w:t>R2-2300060</w:t>
            </w:r>
            <w:r w:rsidRPr="00CD100D">
              <w:rPr>
                <w:rFonts w:ascii="Arial" w:hAnsi="Arial" w:cs="Arial"/>
              </w:rPr>
              <w:t xml:space="preserve"> (</w:t>
            </w:r>
            <w:r w:rsidRPr="006E2EC6">
              <w:rPr>
                <w:rFonts w:ascii="Arial" w:hAnsi="Arial" w:cs="Arial"/>
                <w:bCs/>
              </w:rPr>
              <w:t>R4-2220837</w:t>
            </w:r>
            <w:r w:rsidRPr="00CD100D">
              <w:rPr>
                <w:rFonts w:ascii="Arial" w:hAnsi="Arial" w:cs="Arial"/>
                <w:bCs/>
              </w:rPr>
              <w:t>)</w:t>
            </w:r>
          </w:p>
        </w:tc>
      </w:tr>
      <w:tr w:rsidR="008D761A" w:rsidRPr="008D761A" w:rsidTr="00230FDA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E6A" w:rsidRPr="008D761A" w:rsidRDefault="00237E6A" w:rsidP="00230FDA">
            <w:pPr>
              <w:rPr>
                <w:rFonts w:ascii="Arial" w:eastAsiaTheme="minorEastAsia" w:hAnsi="Arial" w:cs="Arial"/>
                <w:color w:val="7030A0"/>
              </w:rPr>
            </w:pPr>
            <w:r w:rsidRPr="008D761A">
              <w:rPr>
                <w:rFonts w:ascii="Arial" w:eastAsiaTheme="minorEastAsia" w:hAnsi="Arial" w:cs="Arial"/>
                <w:color w:val="7030A0"/>
              </w:rPr>
              <w:t>3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E6A" w:rsidRPr="008D761A" w:rsidRDefault="00237E6A" w:rsidP="00230FDA">
            <w:pPr>
              <w:rPr>
                <w:rFonts w:ascii="Arial" w:eastAsiaTheme="minorEastAsia" w:hAnsi="Arial" w:cs="Arial"/>
                <w:color w:val="7030A0"/>
              </w:rPr>
            </w:pPr>
            <w:r w:rsidRPr="008D761A">
              <w:rPr>
                <w:rFonts w:ascii="Arial" w:eastAsiaTheme="minorEastAsia" w:hAnsi="Arial" w:cs="Arial"/>
                <w:color w:val="7030A0"/>
              </w:rPr>
              <w:t>Absent (Contiguous)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E6A" w:rsidRPr="008D761A" w:rsidRDefault="00237E6A" w:rsidP="00230FDA">
            <w:pPr>
              <w:rPr>
                <w:rFonts w:ascii="Arial" w:eastAsiaTheme="minorEastAsia" w:hAnsi="Arial" w:cs="Arial"/>
                <w:color w:val="7030A0"/>
              </w:rPr>
            </w:pPr>
            <w:r w:rsidRPr="008D761A">
              <w:rPr>
                <w:rFonts w:ascii="Arial" w:eastAsiaTheme="minorEastAsia" w:hAnsi="Arial" w:cs="Arial"/>
                <w:color w:val="7030A0"/>
              </w:rPr>
              <w:t>Non-contiguous with new capability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61A" w:rsidRPr="008D761A" w:rsidRDefault="008D761A" w:rsidP="00230FDA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 w:line="252" w:lineRule="auto"/>
              <w:ind w:left="152" w:hanging="152"/>
              <w:contextualSpacing w:val="0"/>
              <w:textAlignment w:val="auto"/>
              <w:rPr>
                <w:rFonts w:ascii="Arial" w:eastAsiaTheme="minorEastAsia" w:hAnsi="Arial" w:cs="Arial"/>
                <w:color w:val="7030A0"/>
              </w:rPr>
            </w:pPr>
            <w:r w:rsidRPr="008D761A">
              <w:rPr>
                <w:rFonts w:ascii="Arial" w:eastAsiaTheme="minorEastAsia" w:hAnsi="Arial" w:cs="Arial"/>
                <w:color w:val="7030A0"/>
              </w:rPr>
              <w:t>Contiguous/Non-contiguous requirement for the nominal spacing</w:t>
            </w:r>
            <w:r>
              <w:rPr>
                <w:rFonts w:ascii="Arial" w:eastAsiaTheme="minorEastAsia" w:hAnsi="Arial" w:cs="Arial"/>
                <w:color w:val="7030A0"/>
              </w:rPr>
              <w:t xml:space="preserve"> (Note 1)</w:t>
            </w:r>
          </w:p>
          <w:p w:rsidR="008D761A" w:rsidRPr="008D761A" w:rsidRDefault="008D761A" w:rsidP="008D761A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 w:line="252" w:lineRule="auto"/>
              <w:ind w:left="152" w:hanging="152"/>
              <w:contextualSpacing w:val="0"/>
              <w:textAlignment w:val="auto"/>
              <w:rPr>
                <w:rFonts w:ascii="Arial" w:eastAsiaTheme="minorEastAsia" w:hAnsi="Arial" w:cs="Arial"/>
                <w:color w:val="7030A0"/>
              </w:rPr>
            </w:pPr>
            <w:r w:rsidRPr="008D761A">
              <w:rPr>
                <w:rFonts w:ascii="Arial" w:eastAsiaTheme="minorEastAsia" w:hAnsi="Arial" w:cs="Arial"/>
                <w:color w:val="7030A0"/>
              </w:rPr>
              <w:t>Contiguous/Non-contiguous</w:t>
            </w:r>
          </w:p>
        </w:tc>
      </w:tr>
      <w:tr w:rsidR="00237E6A" w:rsidRPr="0083161E" w:rsidTr="00237E6A">
        <w:trPr>
          <w:trHeight w:val="765"/>
        </w:trPr>
        <w:tc>
          <w:tcPr>
            <w:tcW w:w="1173" w:type="dxa"/>
            <w:hideMark/>
          </w:tcPr>
          <w:p w:rsidR="00237E6A" w:rsidRPr="0083161E" w:rsidRDefault="00237E6A" w:rsidP="00230FDA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 xml:space="preserve">4 </w:t>
            </w:r>
            <w:r w:rsidRPr="00237E6A">
              <w:rPr>
                <w:rFonts w:ascii="Arial" w:eastAsiaTheme="minorEastAsia" w:hAnsi="Arial" w:cs="Arial"/>
                <w:color w:val="FF0000"/>
              </w:rPr>
              <w:t>(original 6)</w:t>
            </w:r>
          </w:p>
        </w:tc>
        <w:tc>
          <w:tcPr>
            <w:tcW w:w="1783" w:type="dxa"/>
            <w:hideMark/>
          </w:tcPr>
          <w:p w:rsidR="00237E6A" w:rsidRPr="0083161E" w:rsidRDefault="00237E6A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Absent (Contiguous)</w:t>
            </w:r>
          </w:p>
        </w:tc>
        <w:tc>
          <w:tcPr>
            <w:tcW w:w="1783" w:type="dxa"/>
            <w:hideMark/>
          </w:tcPr>
          <w:p w:rsidR="00237E6A" w:rsidRPr="0083161E" w:rsidRDefault="00237E6A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Both</w:t>
            </w:r>
          </w:p>
        </w:tc>
        <w:tc>
          <w:tcPr>
            <w:tcW w:w="4895" w:type="dxa"/>
            <w:hideMark/>
          </w:tcPr>
          <w:p w:rsidR="00237E6A" w:rsidRPr="0083161E" w:rsidRDefault="00237E6A" w:rsidP="00230FDA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100" w:after="240" w:line="252" w:lineRule="auto"/>
              <w:ind w:left="153" w:hanging="153"/>
              <w:contextualSpacing w:val="0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Contiguous/Contiguous</w:t>
            </w:r>
          </w:p>
          <w:p w:rsidR="00237E6A" w:rsidRDefault="00237E6A" w:rsidP="00230FDA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100" w:after="240" w:line="252" w:lineRule="auto"/>
              <w:ind w:left="153" w:hanging="153"/>
              <w:contextualSpacing w:val="0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Contiguous/Non-contiguous</w:t>
            </w:r>
          </w:p>
          <w:p w:rsidR="00237E6A" w:rsidRPr="00CA5B8E" w:rsidRDefault="00237E6A" w:rsidP="00230FDA">
            <w:pPr>
              <w:spacing w:afterLines="100" w:after="240" w:line="252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  <w:lang w:eastAsia="ja-JP"/>
              </w:rPr>
              <w:t>NOTE: “</w:t>
            </w:r>
            <w:r>
              <w:rPr>
                <w:rFonts w:ascii="Arial" w:eastAsiaTheme="minorEastAsia" w:hAnsi="Arial" w:cs="Arial" w:hint="eastAsia"/>
                <w:lang w:eastAsia="ja-JP"/>
              </w:rPr>
              <w:t>C</w:t>
            </w:r>
            <w:r>
              <w:rPr>
                <w:rFonts w:ascii="Arial" w:eastAsiaTheme="minorEastAsia" w:hAnsi="Arial" w:cs="Arial"/>
                <w:lang w:eastAsia="ja-JP"/>
              </w:rPr>
              <w:t xml:space="preserve">ase 4” in </w:t>
            </w:r>
            <w:r w:rsidRPr="002B1B6F">
              <w:rPr>
                <w:rFonts w:ascii="Arial" w:hAnsi="Arial" w:cs="Arial"/>
              </w:rPr>
              <w:t>R2-2300060</w:t>
            </w:r>
            <w:r w:rsidRPr="00CD100D">
              <w:rPr>
                <w:rFonts w:ascii="Arial" w:hAnsi="Arial" w:cs="Arial"/>
              </w:rPr>
              <w:t xml:space="preserve"> (</w:t>
            </w:r>
            <w:r w:rsidRPr="006E2EC6">
              <w:rPr>
                <w:rFonts w:ascii="Arial" w:hAnsi="Arial" w:cs="Arial"/>
                <w:bCs/>
              </w:rPr>
              <w:t>R4-2220837</w:t>
            </w:r>
            <w:r w:rsidRPr="00CD100D">
              <w:rPr>
                <w:rFonts w:ascii="Arial" w:hAnsi="Arial" w:cs="Arial"/>
                <w:bCs/>
              </w:rPr>
              <w:t>)</w:t>
            </w:r>
          </w:p>
        </w:tc>
      </w:tr>
      <w:tr w:rsidR="001303E3" w:rsidRPr="0083161E" w:rsidTr="00237E6A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237E6A" w:rsidP="00230FDA">
            <w:pPr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</w:rPr>
              <w:t xml:space="preserve">5 </w:t>
            </w:r>
            <w:r>
              <w:rPr>
                <w:rFonts w:ascii="Arial" w:eastAsiaTheme="minorEastAsia" w:hAnsi="Arial" w:cs="Arial" w:hint="eastAsia"/>
                <w:lang w:eastAsia="zh-CN"/>
              </w:rPr>
              <w:t>(</w:t>
            </w:r>
            <w:r>
              <w:rPr>
                <w:rFonts w:ascii="Arial" w:eastAsiaTheme="minorEastAsia" w:hAnsi="Arial" w:cs="Arial"/>
                <w:lang w:eastAsia="zh-CN"/>
              </w:rPr>
              <w:t>original 3)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Non-contiguous</w:t>
            </w:r>
            <w:r w:rsidR="00237E6A">
              <w:rPr>
                <w:rFonts w:ascii="Arial" w:eastAsiaTheme="minorEastAsia" w:hAnsi="Arial" w:cs="Arial"/>
              </w:rPr>
              <w:t xml:space="preserve"> </w:t>
            </w:r>
            <w:r w:rsidR="00237E6A" w:rsidRPr="00237E6A">
              <w:rPr>
                <w:rFonts w:ascii="Arial" w:eastAsiaTheme="minorEastAsia" w:hAnsi="Arial" w:cs="Arial"/>
                <w:color w:val="FF0000"/>
              </w:rPr>
              <w:t>(without new Capability)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Absent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7E6A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 w:line="252" w:lineRule="auto"/>
              <w:ind w:left="152" w:hanging="152"/>
              <w:contextualSpacing w:val="0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Non-contiguous/Non-contiguous</w:t>
            </w:r>
            <w:r w:rsidR="00237E6A">
              <w:rPr>
                <w:rFonts w:ascii="Arial" w:eastAsiaTheme="minorEastAsia" w:hAnsi="Arial" w:cs="Arial"/>
              </w:rPr>
              <w:t xml:space="preserve"> </w:t>
            </w:r>
          </w:p>
        </w:tc>
      </w:tr>
      <w:tr w:rsidR="00237E6A" w:rsidRPr="00237E6A" w:rsidTr="00237E6A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E6A" w:rsidRPr="00237E6A" w:rsidRDefault="00237E6A" w:rsidP="00230FDA">
            <w:pPr>
              <w:rPr>
                <w:rFonts w:ascii="Arial" w:eastAsiaTheme="minorEastAsia" w:hAnsi="Arial" w:cs="Arial"/>
                <w:color w:val="7030A0"/>
              </w:rPr>
            </w:pPr>
            <w:r w:rsidRPr="00237E6A">
              <w:rPr>
                <w:rFonts w:ascii="Arial" w:eastAsiaTheme="minorEastAsia" w:hAnsi="Arial" w:cs="Arial"/>
                <w:color w:val="7030A0"/>
              </w:rPr>
              <w:lastRenderedPageBreak/>
              <w:t>6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E6A" w:rsidRPr="00237E6A" w:rsidRDefault="00237E6A" w:rsidP="00230FDA">
            <w:pPr>
              <w:rPr>
                <w:rFonts w:ascii="Arial" w:eastAsiaTheme="minorEastAsia" w:hAnsi="Arial" w:cs="Arial"/>
                <w:color w:val="7030A0"/>
              </w:rPr>
            </w:pPr>
            <w:r w:rsidRPr="00237E6A">
              <w:rPr>
                <w:rFonts w:ascii="Arial" w:eastAsiaTheme="minorEastAsia" w:hAnsi="Arial" w:cs="Arial"/>
                <w:color w:val="7030A0"/>
              </w:rPr>
              <w:t>Non-contiguous (with new capability)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E6A" w:rsidRPr="00237E6A" w:rsidRDefault="00237E6A" w:rsidP="00237E6A">
            <w:pPr>
              <w:rPr>
                <w:rFonts w:ascii="Arial" w:eastAsiaTheme="minorEastAsia" w:hAnsi="Arial" w:cs="Arial"/>
                <w:color w:val="7030A0"/>
              </w:rPr>
            </w:pPr>
            <w:r w:rsidRPr="00237E6A">
              <w:rPr>
                <w:rFonts w:ascii="Arial" w:eastAsiaTheme="minorEastAsia" w:hAnsi="Arial" w:cs="Arial"/>
                <w:color w:val="7030A0"/>
              </w:rPr>
              <w:t>Contiguous</w:t>
            </w:r>
            <w:r w:rsidR="00A4351A">
              <w:rPr>
                <w:rFonts w:ascii="Arial" w:eastAsiaTheme="minorEastAsia" w:hAnsi="Arial" w:cs="Arial"/>
                <w:color w:val="7030A0"/>
              </w:rPr>
              <w:t xml:space="preserve"> (absent ?)</w:t>
            </w:r>
            <w:r w:rsidRPr="00237E6A">
              <w:rPr>
                <w:rFonts w:ascii="Arial" w:eastAsiaTheme="minorEastAsia" w:hAnsi="Arial" w:cs="Arial"/>
                <w:color w:val="7030A0"/>
              </w:rPr>
              <w:t xml:space="preserve"> 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A" w:rsidRPr="008D761A" w:rsidRDefault="008D761A" w:rsidP="008D761A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 w:line="252" w:lineRule="auto"/>
              <w:ind w:left="152" w:hanging="152"/>
              <w:contextualSpacing w:val="0"/>
              <w:textAlignment w:val="auto"/>
              <w:rPr>
                <w:rFonts w:ascii="Arial" w:eastAsiaTheme="minorEastAsia" w:hAnsi="Arial" w:cs="Arial"/>
                <w:color w:val="7030A0"/>
              </w:rPr>
            </w:pPr>
            <w:r w:rsidRPr="008D761A">
              <w:rPr>
                <w:rFonts w:ascii="Arial" w:eastAsiaTheme="minorEastAsia" w:hAnsi="Arial" w:cs="Arial"/>
                <w:color w:val="7030A0"/>
              </w:rPr>
              <w:t>Non-contiguous requirement for the nominal spacing</w:t>
            </w:r>
            <w:r>
              <w:rPr>
                <w:rFonts w:ascii="Arial" w:eastAsiaTheme="minorEastAsia" w:hAnsi="Arial" w:cs="Arial"/>
                <w:color w:val="7030A0"/>
              </w:rPr>
              <w:t xml:space="preserve">/ </w:t>
            </w:r>
            <w:r w:rsidRPr="008D761A">
              <w:rPr>
                <w:rFonts w:ascii="Arial" w:eastAsiaTheme="minorEastAsia" w:hAnsi="Arial" w:cs="Arial"/>
                <w:color w:val="7030A0"/>
              </w:rPr>
              <w:t>Contiguous</w:t>
            </w:r>
            <w:r>
              <w:rPr>
                <w:rFonts w:ascii="Arial" w:eastAsiaTheme="minorEastAsia" w:hAnsi="Arial" w:cs="Arial"/>
                <w:color w:val="7030A0"/>
              </w:rPr>
              <w:t xml:space="preserve"> (Note 1)</w:t>
            </w:r>
          </w:p>
          <w:p w:rsidR="00237E6A" w:rsidRDefault="00237E6A" w:rsidP="00237E6A">
            <w:pPr>
              <w:spacing w:afterLines="50" w:after="120" w:line="252" w:lineRule="auto"/>
              <w:rPr>
                <w:rFonts w:ascii="Arial" w:eastAsiaTheme="minorEastAsia" w:hAnsi="Arial" w:cs="Arial"/>
                <w:color w:val="7030A0"/>
                <w:lang w:eastAsia="zh-CN"/>
              </w:rPr>
            </w:pPr>
          </w:p>
          <w:p w:rsidR="008D761A" w:rsidRPr="00237E6A" w:rsidRDefault="008D761A" w:rsidP="00237E6A">
            <w:pPr>
              <w:spacing w:afterLines="50" w:after="120" w:line="252" w:lineRule="auto"/>
              <w:rPr>
                <w:rFonts w:ascii="Arial" w:eastAsiaTheme="minorEastAsia" w:hAnsi="Arial" w:cs="Arial"/>
                <w:color w:val="7030A0"/>
                <w:lang w:eastAsia="zh-CN"/>
              </w:rPr>
            </w:pPr>
          </w:p>
        </w:tc>
      </w:tr>
      <w:tr w:rsidR="008D761A" w:rsidRPr="008D761A" w:rsidTr="00237E6A">
        <w:trPr>
          <w:trHeight w:val="815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E6A" w:rsidRPr="008D761A" w:rsidRDefault="00237E6A" w:rsidP="00230FDA">
            <w:pPr>
              <w:rPr>
                <w:rFonts w:ascii="Arial" w:eastAsiaTheme="minorEastAsia" w:hAnsi="Arial" w:cs="Arial"/>
                <w:color w:val="70AD47" w:themeColor="accent6"/>
              </w:rPr>
            </w:pPr>
            <w:r w:rsidRPr="008D761A">
              <w:rPr>
                <w:rFonts w:ascii="Arial" w:eastAsiaTheme="minorEastAsia" w:hAnsi="Arial" w:cs="Arial"/>
                <w:color w:val="70AD47" w:themeColor="accent6"/>
              </w:rPr>
              <w:t>7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E6A" w:rsidRPr="008D761A" w:rsidRDefault="00237E6A" w:rsidP="00230FDA">
            <w:pPr>
              <w:rPr>
                <w:rFonts w:ascii="Arial" w:eastAsiaTheme="minorEastAsia" w:hAnsi="Arial" w:cs="Arial"/>
                <w:color w:val="70AD47" w:themeColor="accent6"/>
              </w:rPr>
            </w:pPr>
            <w:r w:rsidRPr="008D761A">
              <w:rPr>
                <w:rFonts w:ascii="Arial" w:eastAsiaTheme="minorEastAsia" w:hAnsi="Arial" w:cs="Arial"/>
                <w:color w:val="70AD47" w:themeColor="accent6"/>
              </w:rPr>
              <w:t>Non-contiguous (with new capability)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E6A" w:rsidRPr="008D761A" w:rsidRDefault="00237E6A" w:rsidP="00230FDA">
            <w:pPr>
              <w:rPr>
                <w:rFonts w:ascii="Arial" w:eastAsiaTheme="minorEastAsia" w:hAnsi="Arial" w:cs="Arial"/>
                <w:color w:val="70AD47" w:themeColor="accent6"/>
              </w:rPr>
            </w:pPr>
            <w:r w:rsidRPr="008D761A">
              <w:rPr>
                <w:rFonts w:ascii="Arial" w:eastAsiaTheme="minorEastAsia" w:hAnsi="Arial" w:cs="Arial"/>
                <w:color w:val="70AD47" w:themeColor="accent6"/>
              </w:rPr>
              <w:t>Non-contiguous (without new Capability)</w:t>
            </w:r>
          </w:p>
          <w:p w:rsidR="00237E6A" w:rsidRPr="008D761A" w:rsidRDefault="00237E6A" w:rsidP="00230FDA">
            <w:pPr>
              <w:rPr>
                <w:rFonts w:ascii="Arial" w:eastAsiaTheme="minorEastAsia" w:hAnsi="Arial" w:cs="Arial"/>
                <w:color w:val="70AD47" w:themeColor="accent6"/>
              </w:rPr>
            </w:pPr>
            <w:r w:rsidRPr="008D761A">
              <w:rPr>
                <w:rFonts w:ascii="Arial" w:eastAsiaTheme="minorEastAsia" w:hAnsi="Arial" w:cs="Arial"/>
                <w:color w:val="70AD47" w:themeColor="accent6"/>
              </w:rPr>
              <w:t>Or absent</w:t>
            </w:r>
            <w:r w:rsidR="00F765EB">
              <w:rPr>
                <w:rFonts w:ascii="Arial" w:eastAsiaTheme="minorEastAsia" w:hAnsi="Arial" w:cs="Arial"/>
                <w:color w:val="70AD47" w:themeColor="accent6"/>
              </w:rPr>
              <w:t xml:space="preserve"> 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A" w:rsidRPr="008D761A" w:rsidRDefault="008D761A" w:rsidP="00237E6A">
            <w:pPr>
              <w:spacing w:afterLines="50" w:after="120" w:line="252" w:lineRule="auto"/>
              <w:rPr>
                <w:rFonts w:ascii="Arial" w:eastAsiaTheme="minorEastAsia" w:hAnsi="Arial" w:cs="Arial"/>
                <w:color w:val="70AD47" w:themeColor="accent6"/>
                <w:lang w:eastAsia="zh-CN"/>
              </w:rPr>
            </w:pPr>
            <w:r w:rsidRPr="008D761A">
              <w:rPr>
                <w:rFonts w:ascii="Arial" w:eastAsiaTheme="minorEastAsia" w:hAnsi="Arial" w:cs="Arial"/>
                <w:color w:val="70AD47" w:themeColor="accent6"/>
                <w:lang w:eastAsia="zh-CN"/>
              </w:rPr>
              <w:t>Non</w:t>
            </w:r>
            <w:r w:rsidR="00237E6A" w:rsidRPr="008D761A">
              <w:rPr>
                <w:rFonts w:ascii="Arial" w:eastAsiaTheme="minorEastAsia" w:hAnsi="Arial" w:cs="Arial"/>
                <w:color w:val="70AD47" w:themeColor="accent6"/>
                <w:lang w:eastAsia="zh-CN"/>
              </w:rPr>
              <w:t xml:space="preserve">-contiguous requirement for the </w:t>
            </w:r>
            <w:r w:rsidR="00206626">
              <w:rPr>
                <w:rFonts w:ascii="Arial" w:eastAsiaTheme="minorEastAsia" w:hAnsi="Arial" w:cs="Arial"/>
                <w:color w:val="70AD47" w:themeColor="accent6"/>
                <w:lang w:eastAsia="zh-CN"/>
              </w:rPr>
              <w:t xml:space="preserve">nominal </w:t>
            </w:r>
            <w:r w:rsidR="00237E6A" w:rsidRPr="008D761A">
              <w:rPr>
                <w:rFonts w:ascii="Arial" w:eastAsiaTheme="minorEastAsia" w:hAnsi="Arial" w:cs="Arial"/>
                <w:color w:val="70AD47" w:themeColor="accent6"/>
                <w:lang w:eastAsia="zh-CN"/>
              </w:rPr>
              <w:t xml:space="preserve">spacing </w:t>
            </w:r>
            <w:r w:rsidRPr="008D761A">
              <w:rPr>
                <w:rFonts w:ascii="Arial" w:eastAsiaTheme="minorEastAsia" w:hAnsi="Arial" w:cs="Arial"/>
                <w:color w:val="70AD47" w:themeColor="accent6"/>
                <w:lang w:eastAsia="zh-CN"/>
              </w:rPr>
              <w:t>/ non-contiguous</w:t>
            </w:r>
            <w:r w:rsidR="004B27FD">
              <w:rPr>
                <w:rFonts w:ascii="Arial" w:eastAsiaTheme="minorEastAsia" w:hAnsi="Arial" w:cs="Arial"/>
                <w:color w:val="70AD47" w:themeColor="accent6"/>
                <w:lang w:eastAsia="zh-CN"/>
              </w:rPr>
              <w:t xml:space="preserve"> (Note 2)</w:t>
            </w:r>
          </w:p>
          <w:p w:rsidR="008D761A" w:rsidRPr="008D761A" w:rsidRDefault="008D761A" w:rsidP="00237E6A">
            <w:pPr>
              <w:spacing w:afterLines="50" w:after="120" w:line="252" w:lineRule="auto"/>
              <w:rPr>
                <w:rFonts w:ascii="Arial" w:eastAsiaTheme="minorEastAsia" w:hAnsi="Arial" w:cs="Arial"/>
                <w:color w:val="70AD47" w:themeColor="accent6"/>
              </w:rPr>
            </w:pPr>
            <w:r w:rsidRPr="008D761A">
              <w:rPr>
                <w:rFonts w:ascii="Arial" w:eastAsiaTheme="minorEastAsia" w:hAnsi="Arial" w:cs="Arial"/>
                <w:color w:val="70AD47" w:themeColor="accent6"/>
              </w:rPr>
              <w:t xml:space="preserve">Non-contiguous/Non-contiguous </w:t>
            </w:r>
          </w:p>
        </w:tc>
      </w:tr>
      <w:tr w:rsidR="008D761A" w:rsidRPr="008D761A" w:rsidTr="00230FDA">
        <w:trPr>
          <w:trHeight w:val="815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E6A" w:rsidRPr="008D761A" w:rsidRDefault="00237E6A" w:rsidP="00230FDA">
            <w:pPr>
              <w:rPr>
                <w:rFonts w:ascii="Arial" w:eastAsiaTheme="minorEastAsia" w:hAnsi="Arial" w:cs="Arial"/>
                <w:color w:val="70AD47" w:themeColor="accent6"/>
              </w:rPr>
            </w:pPr>
            <w:r w:rsidRPr="008D761A">
              <w:rPr>
                <w:rFonts w:ascii="Arial" w:eastAsiaTheme="minorEastAsia" w:hAnsi="Arial" w:cs="Arial"/>
                <w:color w:val="70AD47" w:themeColor="accent6"/>
              </w:rPr>
              <w:t>8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E6A" w:rsidRPr="008D761A" w:rsidRDefault="00237E6A" w:rsidP="00230FDA">
            <w:pPr>
              <w:rPr>
                <w:rFonts w:ascii="Arial" w:eastAsiaTheme="minorEastAsia" w:hAnsi="Arial" w:cs="Arial"/>
                <w:color w:val="70AD47" w:themeColor="accent6"/>
              </w:rPr>
            </w:pPr>
            <w:r w:rsidRPr="008D761A">
              <w:rPr>
                <w:rFonts w:ascii="Arial" w:eastAsiaTheme="minorEastAsia" w:hAnsi="Arial" w:cs="Arial"/>
                <w:color w:val="70AD47" w:themeColor="accent6"/>
              </w:rPr>
              <w:t>Non-contiguous (with new capability)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E6A" w:rsidRPr="008D761A" w:rsidRDefault="00237E6A" w:rsidP="00237E6A">
            <w:pPr>
              <w:rPr>
                <w:rFonts w:ascii="Arial" w:eastAsiaTheme="minorEastAsia" w:hAnsi="Arial" w:cs="Arial"/>
                <w:color w:val="70AD47" w:themeColor="accent6"/>
              </w:rPr>
            </w:pPr>
            <w:r w:rsidRPr="008D761A">
              <w:rPr>
                <w:rFonts w:ascii="Arial" w:eastAsiaTheme="minorEastAsia" w:hAnsi="Arial" w:cs="Arial"/>
                <w:color w:val="70AD47" w:themeColor="accent6"/>
              </w:rPr>
              <w:t>Non-contiguous (with new Capability)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A" w:rsidRPr="008D761A" w:rsidRDefault="008D761A" w:rsidP="008D761A">
            <w:pPr>
              <w:spacing w:afterLines="50" w:after="120"/>
              <w:rPr>
                <w:rFonts w:ascii="Arial" w:eastAsiaTheme="minorEastAsia" w:hAnsi="Arial" w:cs="Arial"/>
                <w:color w:val="70AD47" w:themeColor="accent6"/>
              </w:rPr>
            </w:pPr>
            <w:r w:rsidRPr="008D761A">
              <w:rPr>
                <w:rFonts w:ascii="Arial" w:eastAsiaTheme="minorEastAsia" w:hAnsi="Arial" w:cs="Arial"/>
                <w:color w:val="70AD47" w:themeColor="accent6"/>
              </w:rPr>
              <w:t>non-contiguous requirements for the nominal spacing/ non-contiguous requirements for the nominal spacing</w:t>
            </w:r>
          </w:p>
          <w:p w:rsidR="008D761A" w:rsidRPr="008D761A" w:rsidRDefault="008D761A" w:rsidP="008D761A">
            <w:pPr>
              <w:spacing w:afterLines="50" w:after="120"/>
              <w:rPr>
                <w:rFonts w:ascii="Arial" w:eastAsiaTheme="minorEastAsia" w:hAnsi="Arial" w:cs="Arial"/>
                <w:color w:val="70AD47" w:themeColor="accent6"/>
              </w:rPr>
            </w:pPr>
            <w:r w:rsidRPr="008D761A">
              <w:rPr>
                <w:rFonts w:ascii="Arial" w:eastAsiaTheme="minorEastAsia" w:hAnsi="Arial" w:cs="Arial"/>
                <w:color w:val="70AD47" w:themeColor="accent6"/>
              </w:rPr>
              <w:t>non-contiguous requirements for the nominal spacing/ non-contiguous</w:t>
            </w:r>
            <w:r w:rsidR="004B27FD">
              <w:rPr>
                <w:rFonts w:ascii="Arial" w:eastAsiaTheme="minorEastAsia" w:hAnsi="Arial" w:cs="Arial"/>
                <w:color w:val="70AD47" w:themeColor="accent6"/>
              </w:rPr>
              <w:t xml:space="preserve"> (Note 2)</w:t>
            </w:r>
          </w:p>
          <w:p w:rsidR="00237E6A" w:rsidRPr="008D761A" w:rsidRDefault="008D761A" w:rsidP="00237E6A">
            <w:pPr>
              <w:spacing w:afterLines="50" w:after="120" w:line="252" w:lineRule="auto"/>
              <w:rPr>
                <w:rFonts w:ascii="Arial" w:eastAsiaTheme="minorEastAsia" w:hAnsi="Arial" w:cs="Arial"/>
                <w:color w:val="70AD47" w:themeColor="accent6"/>
              </w:rPr>
            </w:pPr>
            <w:r w:rsidRPr="008D761A">
              <w:rPr>
                <w:rFonts w:ascii="Arial" w:eastAsiaTheme="minorEastAsia" w:hAnsi="Arial" w:cs="Arial"/>
                <w:color w:val="70AD47" w:themeColor="accent6"/>
              </w:rPr>
              <w:t xml:space="preserve">non-contiguous/ non-contiguous </w:t>
            </w:r>
          </w:p>
        </w:tc>
      </w:tr>
      <w:tr w:rsidR="008D761A" w:rsidRPr="008D761A" w:rsidTr="00237E6A">
        <w:trPr>
          <w:trHeight w:val="815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E6A" w:rsidRPr="008D761A" w:rsidRDefault="00237E6A" w:rsidP="00230FDA">
            <w:pPr>
              <w:rPr>
                <w:rFonts w:ascii="Arial" w:eastAsiaTheme="minorEastAsia" w:hAnsi="Arial" w:cs="Arial"/>
                <w:color w:val="7030A0"/>
              </w:rPr>
            </w:pPr>
            <w:r w:rsidRPr="008D761A">
              <w:rPr>
                <w:rFonts w:ascii="Arial" w:eastAsiaTheme="minorEastAsia" w:hAnsi="Arial" w:cs="Arial"/>
                <w:color w:val="7030A0"/>
              </w:rPr>
              <w:t>9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E6A" w:rsidRPr="008D761A" w:rsidRDefault="00237E6A" w:rsidP="00230FDA">
            <w:pPr>
              <w:rPr>
                <w:rFonts w:ascii="Arial" w:eastAsiaTheme="minorEastAsia" w:hAnsi="Arial" w:cs="Arial"/>
                <w:color w:val="7030A0"/>
              </w:rPr>
            </w:pPr>
            <w:r w:rsidRPr="008D761A">
              <w:rPr>
                <w:rFonts w:ascii="Arial" w:eastAsiaTheme="minorEastAsia" w:hAnsi="Arial" w:cs="Arial"/>
                <w:color w:val="7030A0"/>
              </w:rPr>
              <w:t>Non-contiguous (with new capability)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E6A" w:rsidRPr="008D761A" w:rsidRDefault="00237E6A" w:rsidP="00230FDA">
            <w:pPr>
              <w:rPr>
                <w:rFonts w:ascii="Arial" w:eastAsiaTheme="minorEastAsia" w:hAnsi="Arial" w:cs="Arial"/>
                <w:color w:val="7030A0"/>
              </w:rPr>
            </w:pPr>
            <w:r w:rsidRPr="008D761A">
              <w:rPr>
                <w:rFonts w:ascii="Arial" w:eastAsiaTheme="minorEastAsia" w:hAnsi="Arial" w:cs="Arial"/>
                <w:color w:val="7030A0"/>
              </w:rPr>
              <w:t>Both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A" w:rsidRPr="008D761A" w:rsidRDefault="008D761A" w:rsidP="008D761A">
            <w:pPr>
              <w:spacing w:afterLines="50" w:after="120"/>
              <w:rPr>
                <w:rFonts w:ascii="Arial" w:eastAsiaTheme="minorEastAsia" w:hAnsi="Arial" w:cs="Arial"/>
                <w:color w:val="7030A0"/>
              </w:rPr>
            </w:pPr>
            <w:r w:rsidRPr="008D761A">
              <w:rPr>
                <w:rFonts w:ascii="Arial" w:eastAsiaTheme="minorEastAsia" w:hAnsi="Arial" w:cs="Arial"/>
                <w:color w:val="7030A0"/>
              </w:rPr>
              <w:t>non-contiguous requirements for the nominal spacing/ contiguous</w:t>
            </w:r>
            <w:r w:rsidR="00F765EB">
              <w:rPr>
                <w:rFonts w:ascii="Arial" w:eastAsiaTheme="minorEastAsia" w:hAnsi="Arial" w:cs="Arial"/>
                <w:color w:val="7030A0"/>
              </w:rPr>
              <w:t xml:space="preserve"> (Note </w:t>
            </w:r>
            <w:r w:rsidR="004B27FD">
              <w:rPr>
                <w:rFonts w:ascii="Arial" w:eastAsiaTheme="minorEastAsia" w:hAnsi="Arial" w:cs="Arial"/>
                <w:color w:val="7030A0"/>
              </w:rPr>
              <w:t>1</w:t>
            </w:r>
            <w:r w:rsidRPr="008D761A">
              <w:rPr>
                <w:rFonts w:ascii="Arial" w:eastAsiaTheme="minorEastAsia" w:hAnsi="Arial" w:cs="Arial"/>
                <w:color w:val="7030A0"/>
              </w:rPr>
              <w:t xml:space="preserve">) </w:t>
            </w:r>
          </w:p>
          <w:p w:rsidR="008D761A" w:rsidRPr="008D761A" w:rsidRDefault="008D761A" w:rsidP="008D761A">
            <w:pPr>
              <w:spacing w:afterLines="50" w:after="120"/>
              <w:rPr>
                <w:rFonts w:ascii="Arial" w:eastAsiaTheme="minorEastAsia" w:hAnsi="Arial" w:cs="Arial"/>
                <w:color w:val="7030A0"/>
              </w:rPr>
            </w:pPr>
            <w:r w:rsidRPr="008D761A">
              <w:rPr>
                <w:rFonts w:ascii="Arial" w:eastAsiaTheme="minorEastAsia" w:hAnsi="Arial" w:cs="Arial"/>
                <w:color w:val="7030A0"/>
              </w:rPr>
              <w:t xml:space="preserve">non-contiguous requirements for the nominal spacing/ non-contiguous </w:t>
            </w:r>
          </w:p>
          <w:p w:rsidR="00237E6A" w:rsidRPr="008D761A" w:rsidRDefault="008D761A" w:rsidP="008D761A">
            <w:pPr>
              <w:spacing w:afterLines="50" w:after="120" w:line="252" w:lineRule="auto"/>
              <w:rPr>
                <w:rFonts w:ascii="Arial" w:eastAsiaTheme="minorEastAsia" w:hAnsi="Arial" w:cs="Arial"/>
                <w:color w:val="7030A0"/>
              </w:rPr>
            </w:pPr>
            <w:r w:rsidRPr="008D761A">
              <w:rPr>
                <w:rFonts w:ascii="Arial" w:eastAsiaTheme="minorEastAsia" w:hAnsi="Arial" w:cs="Arial"/>
                <w:color w:val="7030A0"/>
              </w:rPr>
              <w:t>non-contiguous/ non-contiguous</w:t>
            </w:r>
          </w:p>
        </w:tc>
      </w:tr>
      <w:tr w:rsidR="001303E3" w:rsidRPr="0083161E" w:rsidTr="00237E6A">
        <w:trPr>
          <w:trHeight w:val="815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237E6A" w:rsidP="00230FDA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 xml:space="preserve">10 (original </w:t>
            </w:r>
            <w:r w:rsidR="001303E3">
              <w:rPr>
                <w:rFonts w:ascii="Arial" w:eastAsiaTheme="minorEastAsia" w:hAnsi="Arial" w:cs="Arial"/>
              </w:rPr>
              <w:t>4</w:t>
            </w:r>
            <w:r>
              <w:rPr>
                <w:rFonts w:ascii="Arial" w:eastAsiaTheme="minorEastAsia" w:hAnsi="Arial" w:cs="Arial"/>
              </w:rPr>
              <w:t>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Both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Absent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 w:line="252" w:lineRule="auto"/>
              <w:ind w:left="152" w:hanging="152"/>
              <w:contextualSpacing w:val="0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Contiguous/contiguous</w:t>
            </w:r>
          </w:p>
          <w:p w:rsidR="001303E3" w:rsidRPr="0083161E" w:rsidRDefault="001303E3" w:rsidP="00230FDA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 w:line="252" w:lineRule="auto"/>
              <w:ind w:left="152" w:hanging="152"/>
              <w:contextualSpacing w:val="0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Non-contiguous/Non-contiguous</w:t>
            </w:r>
          </w:p>
        </w:tc>
      </w:tr>
      <w:tr w:rsidR="001303E3" w:rsidRPr="0083161E" w:rsidTr="00237E6A">
        <w:trPr>
          <w:trHeight w:val="919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237E6A" w:rsidP="00230FDA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 xml:space="preserve">11 (original </w:t>
            </w:r>
            <w:r w:rsidR="001303E3">
              <w:rPr>
                <w:rFonts w:ascii="Arial" w:eastAsiaTheme="minorEastAsia" w:hAnsi="Arial" w:cs="Arial"/>
              </w:rPr>
              <w:t>5</w:t>
            </w:r>
            <w:r>
              <w:rPr>
                <w:rFonts w:ascii="Arial" w:eastAsiaTheme="minorEastAsia" w:hAnsi="Arial" w:cs="Arial"/>
              </w:rPr>
              <w:t>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Both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Non-contiguous</w:t>
            </w:r>
            <w:r w:rsidR="00237E6A">
              <w:rPr>
                <w:rFonts w:ascii="Arial" w:eastAsiaTheme="minorEastAsia" w:hAnsi="Arial" w:cs="Arial"/>
              </w:rPr>
              <w:t xml:space="preserve"> </w:t>
            </w:r>
            <w:r w:rsidR="00237E6A" w:rsidRPr="00237E6A">
              <w:rPr>
                <w:rFonts w:ascii="Arial" w:eastAsiaTheme="minorEastAsia" w:hAnsi="Arial" w:cs="Arial"/>
                <w:color w:val="FF0000"/>
              </w:rPr>
              <w:t>(without new capability)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 w:line="252" w:lineRule="auto"/>
              <w:ind w:left="152" w:hanging="152"/>
              <w:contextualSpacing w:val="0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Contiguous/Non-contiguous</w:t>
            </w:r>
          </w:p>
          <w:p w:rsidR="001303E3" w:rsidRPr="0083161E" w:rsidRDefault="001303E3" w:rsidP="00230FDA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 w:line="252" w:lineRule="auto"/>
              <w:ind w:left="152" w:hanging="152"/>
              <w:contextualSpacing w:val="0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Non-contiguous/Non-contiguous</w:t>
            </w:r>
          </w:p>
        </w:tc>
      </w:tr>
      <w:tr w:rsidR="001303E3" w:rsidRPr="0083161E" w:rsidTr="00237E6A">
        <w:trPr>
          <w:trHeight w:val="111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237E6A" w:rsidP="00230FDA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 xml:space="preserve">12 (original </w:t>
            </w:r>
            <w:r w:rsidR="001303E3">
              <w:rPr>
                <w:rFonts w:ascii="Arial" w:eastAsiaTheme="minorEastAsia" w:hAnsi="Arial" w:cs="Arial"/>
              </w:rPr>
              <w:t>7</w:t>
            </w:r>
            <w:r>
              <w:rPr>
                <w:rFonts w:ascii="Arial" w:eastAsiaTheme="minorEastAsia" w:hAnsi="Arial" w:cs="Arial"/>
              </w:rPr>
              <w:t>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Both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Both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3E3" w:rsidRPr="0083161E" w:rsidRDefault="001303E3" w:rsidP="00230FDA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/>
              <w:ind w:left="153" w:hanging="153"/>
              <w:contextualSpacing w:val="0"/>
              <w:jc w:val="both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Contiguous/Contiguous</w:t>
            </w:r>
          </w:p>
          <w:p w:rsidR="001303E3" w:rsidRPr="0083161E" w:rsidRDefault="001303E3" w:rsidP="00230FDA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/>
              <w:ind w:left="153" w:hanging="153"/>
              <w:contextualSpacing w:val="0"/>
              <w:jc w:val="both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Non-contiguous/Non-contiguous</w:t>
            </w:r>
          </w:p>
          <w:p w:rsidR="001303E3" w:rsidRPr="0083161E" w:rsidRDefault="001303E3" w:rsidP="00230FDA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/>
              <w:ind w:left="153" w:hanging="153"/>
              <w:contextualSpacing w:val="0"/>
              <w:jc w:val="both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Contiguous/Non-contiguous</w:t>
            </w:r>
          </w:p>
        </w:tc>
      </w:tr>
      <w:tr w:rsidR="008D761A" w:rsidRPr="008D761A" w:rsidTr="00237E6A">
        <w:trPr>
          <w:trHeight w:val="111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E6A" w:rsidRPr="008D761A" w:rsidRDefault="00237E6A" w:rsidP="00230FDA">
            <w:pPr>
              <w:rPr>
                <w:rFonts w:ascii="Arial" w:eastAsiaTheme="minorEastAsia" w:hAnsi="Arial" w:cs="Arial"/>
                <w:color w:val="7030A0"/>
              </w:rPr>
            </w:pPr>
            <w:r w:rsidRPr="008D761A">
              <w:rPr>
                <w:rFonts w:ascii="Arial" w:eastAsiaTheme="minorEastAsia" w:hAnsi="Arial" w:cs="Arial"/>
                <w:color w:val="7030A0"/>
              </w:rPr>
              <w:t>13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E6A" w:rsidRPr="008D761A" w:rsidRDefault="00237E6A" w:rsidP="00230FDA">
            <w:pPr>
              <w:rPr>
                <w:rFonts w:ascii="Arial" w:eastAsiaTheme="minorEastAsia" w:hAnsi="Arial" w:cs="Arial"/>
                <w:color w:val="7030A0"/>
              </w:rPr>
            </w:pPr>
            <w:r w:rsidRPr="008D761A">
              <w:rPr>
                <w:rFonts w:ascii="Arial" w:eastAsiaTheme="minorEastAsia" w:hAnsi="Arial" w:cs="Arial"/>
                <w:color w:val="7030A0"/>
              </w:rPr>
              <w:t>Both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E6A" w:rsidRPr="008D761A" w:rsidRDefault="00237E6A" w:rsidP="00230FDA">
            <w:pPr>
              <w:rPr>
                <w:rFonts w:ascii="Arial" w:eastAsiaTheme="minorEastAsia" w:hAnsi="Arial" w:cs="Arial"/>
                <w:color w:val="7030A0"/>
              </w:rPr>
            </w:pPr>
            <w:r w:rsidRPr="008D761A">
              <w:rPr>
                <w:rFonts w:ascii="Arial" w:eastAsiaTheme="minorEastAsia" w:hAnsi="Arial" w:cs="Arial"/>
                <w:color w:val="7030A0"/>
              </w:rPr>
              <w:t>Non-contiguous (with new capability)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A" w:rsidRPr="008D761A" w:rsidRDefault="008D761A" w:rsidP="008D761A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/>
              <w:ind w:left="153" w:hanging="153"/>
              <w:contextualSpacing w:val="0"/>
              <w:jc w:val="both"/>
              <w:textAlignment w:val="auto"/>
              <w:rPr>
                <w:rFonts w:ascii="Arial" w:eastAsiaTheme="minorEastAsia" w:hAnsi="Arial" w:cs="Arial"/>
                <w:color w:val="7030A0"/>
              </w:rPr>
            </w:pPr>
            <w:r w:rsidRPr="008D761A">
              <w:rPr>
                <w:rFonts w:ascii="Arial" w:eastAsiaTheme="minorEastAsia" w:hAnsi="Arial" w:cs="Arial"/>
                <w:color w:val="7030A0"/>
              </w:rPr>
              <w:t>Contiguous/ non-contiguous requirements for the nominal spacing (Note</w:t>
            </w:r>
            <w:r w:rsidR="004B27FD">
              <w:rPr>
                <w:rFonts w:ascii="Arial" w:eastAsiaTheme="minorEastAsia" w:hAnsi="Arial" w:cs="Arial"/>
                <w:color w:val="7030A0"/>
              </w:rPr>
              <w:t xml:space="preserve"> 1</w:t>
            </w:r>
            <w:r w:rsidRPr="008D761A">
              <w:rPr>
                <w:rFonts w:ascii="Arial" w:eastAsiaTheme="minorEastAsia" w:hAnsi="Arial" w:cs="Arial"/>
                <w:color w:val="7030A0"/>
              </w:rPr>
              <w:t>)</w:t>
            </w:r>
          </w:p>
          <w:p w:rsidR="008D761A" w:rsidRPr="008D761A" w:rsidRDefault="008D761A" w:rsidP="008D761A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/>
              <w:ind w:left="153" w:hanging="153"/>
              <w:contextualSpacing w:val="0"/>
              <w:jc w:val="both"/>
              <w:textAlignment w:val="auto"/>
              <w:rPr>
                <w:rFonts w:ascii="Arial" w:eastAsiaTheme="minorEastAsia" w:hAnsi="Arial" w:cs="Arial"/>
                <w:color w:val="7030A0"/>
              </w:rPr>
            </w:pPr>
            <w:r w:rsidRPr="008D761A">
              <w:rPr>
                <w:rFonts w:ascii="Arial" w:eastAsiaTheme="minorEastAsia" w:hAnsi="Arial" w:cs="Arial"/>
                <w:color w:val="7030A0"/>
              </w:rPr>
              <w:t xml:space="preserve">Non-contiguous/Non-contiguous </w:t>
            </w:r>
          </w:p>
          <w:p w:rsidR="00237E6A" w:rsidRPr="008D761A" w:rsidRDefault="008D761A" w:rsidP="008D761A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/>
              <w:ind w:left="153" w:hanging="153"/>
              <w:contextualSpacing w:val="0"/>
              <w:jc w:val="both"/>
              <w:textAlignment w:val="auto"/>
              <w:rPr>
                <w:rFonts w:ascii="Arial" w:eastAsiaTheme="minorEastAsia" w:hAnsi="Arial" w:cs="Arial"/>
                <w:color w:val="7030A0"/>
              </w:rPr>
            </w:pPr>
            <w:r w:rsidRPr="008D761A">
              <w:rPr>
                <w:rFonts w:ascii="Arial" w:eastAsiaTheme="minorEastAsia" w:hAnsi="Arial" w:cs="Arial"/>
                <w:color w:val="7030A0"/>
              </w:rPr>
              <w:t xml:space="preserve">Contiguous/Non-contiguous </w:t>
            </w:r>
          </w:p>
        </w:tc>
      </w:tr>
      <w:tr w:rsidR="008D761A" w:rsidRPr="008D761A" w:rsidTr="008D761A">
        <w:trPr>
          <w:trHeight w:val="633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1A" w:rsidRDefault="00F765EB" w:rsidP="004B27FD">
            <w:pPr>
              <w:spacing w:afterLines="50" w:after="120"/>
              <w:rPr>
                <w:rFonts w:eastAsiaTheme="minorEastAsia"/>
                <w:sz w:val="21"/>
                <w:szCs w:val="21"/>
                <w:lang w:eastAsia="ja-JP"/>
              </w:rPr>
            </w:pPr>
            <w:r>
              <w:rPr>
                <w:rFonts w:eastAsiaTheme="minorEastAsia"/>
                <w:sz w:val="21"/>
                <w:szCs w:val="21"/>
                <w:lang w:eastAsia="ja-JP"/>
              </w:rPr>
              <w:t xml:space="preserve">Note </w:t>
            </w:r>
            <w:r w:rsidR="004B27FD">
              <w:rPr>
                <w:rFonts w:eastAsiaTheme="minorEastAsia"/>
                <w:sz w:val="21"/>
                <w:szCs w:val="21"/>
                <w:lang w:eastAsia="ja-JP"/>
              </w:rPr>
              <w:t>1</w:t>
            </w:r>
            <w:r w:rsidR="008D761A" w:rsidRPr="008D761A">
              <w:rPr>
                <w:rFonts w:eastAsiaTheme="minorEastAsia"/>
                <w:sz w:val="21"/>
                <w:szCs w:val="21"/>
                <w:lang w:eastAsia="ja-JP"/>
              </w:rPr>
              <w:t>: We need to discuss whether it’s allowed to adopt different requirements for DL and UL for the nominal spacing case.</w:t>
            </w:r>
          </w:p>
          <w:p w:rsidR="004B27FD" w:rsidRPr="008D761A" w:rsidRDefault="004B27FD" w:rsidP="004B27FD">
            <w:pPr>
              <w:spacing w:afterLines="50" w:after="120"/>
              <w:rPr>
                <w:rFonts w:ascii="Arial" w:eastAsiaTheme="minorEastAsia" w:hAnsi="Arial" w:cs="Arial"/>
                <w:color w:val="7030A0"/>
              </w:rPr>
            </w:pPr>
            <w:r>
              <w:rPr>
                <w:rFonts w:eastAsiaTheme="minorEastAsia"/>
                <w:sz w:val="21"/>
                <w:szCs w:val="21"/>
                <w:lang w:eastAsia="ja-JP"/>
              </w:rPr>
              <w:t>Note 2: We need to discuss whether it’s allowed to support nominal spacing with non-contiguous requirement on the DL but doesn’t support nominal spacing on the UL</w:t>
            </w:r>
          </w:p>
        </w:tc>
      </w:tr>
    </w:tbl>
    <w:p w:rsidR="008D761A" w:rsidRDefault="008D761A" w:rsidP="001303E3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>As Note1 described, for the case 3/6/9/13, different requirements would be adopted for the DL and U</w:t>
      </w:r>
      <w:r w:rsidR="00F765EB">
        <w:rPr>
          <w:rFonts w:eastAsiaTheme="minorEastAsia"/>
          <w:sz w:val="21"/>
          <w:szCs w:val="21"/>
          <w:lang w:eastAsia="ja-JP"/>
        </w:rPr>
        <w:t>L on the nominal spacing case. Thus, we first need to confirm whether it’s allowed.</w:t>
      </w:r>
    </w:p>
    <w:p w:rsidR="00F765EB" w:rsidRDefault="00F765EB" w:rsidP="00F765EB">
      <w:pPr>
        <w:rPr>
          <w:rFonts w:eastAsiaTheme="minorEastAsia"/>
          <w:b/>
          <w:sz w:val="21"/>
          <w:szCs w:val="21"/>
          <w:lang w:eastAsia="zh-CN"/>
        </w:rPr>
      </w:pPr>
      <w:r w:rsidRPr="00123685">
        <w:rPr>
          <w:rFonts w:eastAsiaTheme="minorEastAsia"/>
          <w:b/>
          <w:sz w:val="21"/>
          <w:szCs w:val="21"/>
          <w:lang w:eastAsia="zh-CN"/>
        </w:rPr>
        <w:lastRenderedPageBreak/>
        <w:t xml:space="preserve">Proposal </w:t>
      </w:r>
      <w:r>
        <w:rPr>
          <w:rFonts w:eastAsiaTheme="minorEastAsia"/>
          <w:b/>
          <w:sz w:val="21"/>
          <w:szCs w:val="21"/>
          <w:lang w:eastAsia="zh-CN"/>
        </w:rPr>
        <w:t>3</w:t>
      </w:r>
      <w:r w:rsidRPr="00123685">
        <w:rPr>
          <w:rFonts w:eastAsiaTheme="minorEastAsia"/>
          <w:b/>
          <w:sz w:val="21"/>
          <w:szCs w:val="21"/>
          <w:lang w:eastAsia="zh-CN"/>
        </w:rPr>
        <w:t xml:space="preserve">: RAN2 to confirm </w:t>
      </w:r>
      <w:r w:rsidRPr="00F765EB">
        <w:rPr>
          <w:rFonts w:eastAsiaTheme="minorEastAsia"/>
          <w:b/>
          <w:sz w:val="21"/>
          <w:szCs w:val="21"/>
          <w:lang w:eastAsia="zh-CN"/>
        </w:rPr>
        <w:t xml:space="preserve">whether it’s allowed to </w:t>
      </w:r>
      <w:r w:rsidR="00230FDA">
        <w:rPr>
          <w:rFonts w:eastAsiaTheme="minorEastAsia"/>
          <w:b/>
          <w:sz w:val="21"/>
          <w:szCs w:val="21"/>
          <w:lang w:eastAsia="zh-CN"/>
        </w:rPr>
        <w:t>report</w:t>
      </w:r>
      <w:r w:rsidRPr="00F765EB">
        <w:rPr>
          <w:rFonts w:eastAsiaTheme="minorEastAsia"/>
          <w:b/>
          <w:sz w:val="21"/>
          <w:szCs w:val="21"/>
          <w:lang w:eastAsia="zh-CN"/>
        </w:rPr>
        <w:t xml:space="preserve"> different requirements for DL and UL for the nominal spacing case</w:t>
      </w:r>
      <w:r w:rsidR="00230FDA">
        <w:rPr>
          <w:rFonts w:eastAsiaTheme="minorEastAsia"/>
          <w:b/>
          <w:sz w:val="21"/>
          <w:szCs w:val="21"/>
          <w:lang w:eastAsia="zh-CN"/>
        </w:rPr>
        <w:t xml:space="preserve"> (i.e. DL non-contiguous requirements and UL with contiguous requirements and vice visa)</w:t>
      </w:r>
      <w:r w:rsidR="00B63DC5">
        <w:rPr>
          <w:rFonts w:eastAsiaTheme="minorEastAsia"/>
          <w:b/>
          <w:sz w:val="21"/>
          <w:szCs w:val="21"/>
          <w:lang w:eastAsia="zh-CN"/>
        </w:rPr>
        <w:t>.</w:t>
      </w:r>
    </w:p>
    <w:p w:rsidR="00F765EB" w:rsidRDefault="00F765EB" w:rsidP="00F765EB">
      <w:pPr>
        <w:rPr>
          <w:rFonts w:eastAsiaTheme="minorEastAsia"/>
          <w:sz w:val="21"/>
          <w:szCs w:val="21"/>
          <w:lang w:eastAsia="zh-CN"/>
        </w:rPr>
      </w:pPr>
      <w:r w:rsidRPr="00F765EB">
        <w:rPr>
          <w:rFonts w:eastAsiaTheme="minorEastAsia"/>
          <w:sz w:val="21"/>
          <w:szCs w:val="21"/>
          <w:lang w:eastAsia="zh-CN"/>
        </w:rPr>
        <w:t xml:space="preserve">If not allowed, then the </w:t>
      </w:r>
      <w:r>
        <w:rPr>
          <w:rFonts w:eastAsiaTheme="minorEastAsia"/>
          <w:sz w:val="21"/>
          <w:szCs w:val="21"/>
          <w:lang w:eastAsia="zh-CN"/>
        </w:rPr>
        <w:t>case 3/9/13 would be the same as the case 1/7/11 respectively, while the case 6 is disabled.</w:t>
      </w:r>
    </w:p>
    <w:p w:rsidR="00F765EB" w:rsidRDefault="00A4351A" w:rsidP="00F765EB">
      <w:pPr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 xml:space="preserve">If allowed, there would be some signalling issue for the case 6, the current signalling can’t indicate contiguous case explicitly </w:t>
      </w:r>
      <w:r w:rsidR="00206626">
        <w:rPr>
          <w:rFonts w:eastAsiaTheme="minorEastAsia"/>
          <w:sz w:val="21"/>
          <w:szCs w:val="21"/>
          <w:lang w:eastAsia="zh-CN"/>
        </w:rPr>
        <w:t>but</w:t>
      </w:r>
      <w:r>
        <w:rPr>
          <w:rFonts w:eastAsiaTheme="minorEastAsia"/>
          <w:sz w:val="21"/>
          <w:szCs w:val="21"/>
          <w:lang w:eastAsia="zh-CN"/>
        </w:rPr>
        <w:t xml:space="preserve"> the absent would means the same capability as the DL.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4351A" w:rsidTr="00A4351A">
        <w:tc>
          <w:tcPr>
            <w:tcW w:w="9350" w:type="dxa"/>
          </w:tcPr>
          <w:p w:rsidR="00A4351A" w:rsidRDefault="00A4351A" w:rsidP="00A4351A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ascii="Courier" w:hAnsi="Courier"/>
                <w:color w:val="000000"/>
                <w:sz w:val="16"/>
                <w:szCs w:val="16"/>
              </w:rPr>
              <w:t xml:space="preserve">intraBandENDC-Support-UL </w:t>
            </w:r>
            <w:r>
              <w:rPr>
                <w:rFonts w:ascii="Courier" w:hAnsi="Courier"/>
                <w:color w:val="9A3365"/>
                <w:sz w:val="16"/>
                <w:szCs w:val="16"/>
              </w:rPr>
              <w:t>ENUMERATED</w:t>
            </w:r>
            <w:r>
              <w:rPr>
                <w:rFonts w:ascii="Courier" w:hAnsi="Courier"/>
                <w:color w:val="000000"/>
                <w:sz w:val="16"/>
                <w:szCs w:val="16"/>
              </w:rPr>
              <w:t xml:space="preserve"> {non-contiguous, both} </w:t>
            </w:r>
            <w:r>
              <w:rPr>
                <w:rFonts w:ascii="Courier" w:hAnsi="Courier"/>
                <w:color w:val="9A3365"/>
                <w:sz w:val="16"/>
                <w:szCs w:val="16"/>
              </w:rPr>
              <w:t>OPTIONAL</w:t>
            </w:r>
          </w:p>
        </w:tc>
      </w:tr>
    </w:tbl>
    <w:p w:rsidR="00A4351A" w:rsidRDefault="00A4351A" w:rsidP="00F765EB">
      <w:pPr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>Thus, from the signalling aspect, at least the case 6 can’t be supported.</w:t>
      </w:r>
    </w:p>
    <w:p w:rsidR="00A4351A" w:rsidRDefault="00A4351A" w:rsidP="00F765EB">
      <w:pPr>
        <w:rPr>
          <w:rFonts w:eastAsiaTheme="minorEastAsia"/>
          <w:b/>
          <w:sz w:val="21"/>
          <w:szCs w:val="21"/>
          <w:lang w:eastAsia="zh-CN"/>
        </w:rPr>
      </w:pPr>
      <w:r w:rsidRPr="00A4351A">
        <w:rPr>
          <w:rFonts w:eastAsiaTheme="minorEastAsia"/>
          <w:b/>
          <w:sz w:val="21"/>
          <w:szCs w:val="21"/>
          <w:lang w:eastAsia="zh-CN"/>
        </w:rPr>
        <w:t>Observation 4: From the signalling aspect, the case 6 is unable to be supported.</w:t>
      </w:r>
    </w:p>
    <w:p w:rsidR="00230FDA" w:rsidRPr="00230FDA" w:rsidRDefault="00230FDA" w:rsidP="00230FDA">
      <w:pPr>
        <w:rPr>
          <w:rFonts w:eastAsiaTheme="minorEastAsia"/>
          <w:sz w:val="21"/>
          <w:szCs w:val="21"/>
          <w:lang w:eastAsia="zh-CN"/>
        </w:rPr>
      </w:pPr>
      <w:r w:rsidRPr="00230FDA">
        <w:rPr>
          <w:rFonts w:eastAsiaTheme="minorEastAsia"/>
          <w:sz w:val="21"/>
          <w:szCs w:val="21"/>
          <w:lang w:eastAsia="zh-CN"/>
        </w:rPr>
        <w:t xml:space="preserve">Based on </w:t>
      </w:r>
      <w:r>
        <w:rPr>
          <w:rFonts w:eastAsiaTheme="minorEastAsia"/>
          <w:sz w:val="21"/>
          <w:szCs w:val="21"/>
          <w:lang w:eastAsia="zh-CN"/>
        </w:rPr>
        <w:t xml:space="preserve">the observation 4, to simplify the discussion, we prefer not to support the UE to </w:t>
      </w:r>
      <w:r w:rsidRPr="00230FDA">
        <w:rPr>
          <w:rFonts w:eastAsiaTheme="minorEastAsia"/>
          <w:sz w:val="21"/>
          <w:szCs w:val="21"/>
          <w:lang w:eastAsia="zh-CN"/>
        </w:rPr>
        <w:t>report different requirements for DL and UL for the nominal spacing case</w:t>
      </w:r>
      <w:r>
        <w:rPr>
          <w:rFonts w:eastAsiaTheme="minorEastAsia"/>
          <w:sz w:val="21"/>
          <w:szCs w:val="21"/>
          <w:lang w:eastAsia="zh-CN"/>
        </w:rPr>
        <w:t xml:space="preserve"> if there is no practical use case.</w:t>
      </w:r>
    </w:p>
    <w:p w:rsidR="00230FDA" w:rsidRPr="00230FDA" w:rsidRDefault="00230FDA" w:rsidP="00230FDA">
      <w:pPr>
        <w:rPr>
          <w:rFonts w:eastAsiaTheme="minorEastAsia"/>
          <w:b/>
          <w:sz w:val="21"/>
          <w:szCs w:val="21"/>
          <w:lang w:eastAsia="zh-CN"/>
        </w:rPr>
      </w:pPr>
      <w:r w:rsidRPr="00230FDA">
        <w:rPr>
          <w:rFonts w:eastAsiaTheme="minorEastAsia"/>
          <w:b/>
          <w:sz w:val="21"/>
          <w:szCs w:val="21"/>
          <w:lang w:eastAsia="zh-CN"/>
        </w:rPr>
        <w:t>Proposal 3a: Not to support the UE to report different requirements for DL and UL for the nominal spacing case</w:t>
      </w:r>
      <w:r>
        <w:rPr>
          <w:rFonts w:eastAsiaTheme="minorEastAsia"/>
          <w:b/>
          <w:sz w:val="21"/>
          <w:szCs w:val="21"/>
          <w:lang w:eastAsia="zh-CN"/>
        </w:rPr>
        <w:t xml:space="preserve"> (i.e. DL non-contiguous requirements and UL with contiguous requirements and vice visa)</w:t>
      </w:r>
      <w:r w:rsidRPr="00230FDA">
        <w:rPr>
          <w:rFonts w:eastAsiaTheme="minorEastAsia"/>
          <w:b/>
          <w:sz w:val="21"/>
          <w:szCs w:val="21"/>
          <w:lang w:eastAsia="zh-CN"/>
        </w:rPr>
        <w:t xml:space="preserve"> if there is no practical use case</w:t>
      </w:r>
      <w:r w:rsidR="00206626">
        <w:rPr>
          <w:rFonts w:eastAsiaTheme="minorEastAsia"/>
          <w:b/>
          <w:sz w:val="21"/>
          <w:szCs w:val="21"/>
          <w:lang w:eastAsia="zh-CN"/>
        </w:rPr>
        <w:t>.</w:t>
      </w:r>
      <w:r>
        <w:rPr>
          <w:rFonts w:eastAsiaTheme="minorEastAsia"/>
          <w:b/>
          <w:sz w:val="21"/>
          <w:szCs w:val="21"/>
          <w:lang w:eastAsia="zh-CN"/>
        </w:rPr>
        <w:t xml:space="preserve"> </w:t>
      </w:r>
    </w:p>
    <w:p w:rsidR="00230FDA" w:rsidRDefault="00230FDA" w:rsidP="00F765EB">
      <w:pPr>
        <w:rPr>
          <w:rFonts w:eastAsiaTheme="minorEastAsia"/>
          <w:sz w:val="21"/>
          <w:szCs w:val="21"/>
          <w:lang w:eastAsia="zh-CN"/>
        </w:rPr>
      </w:pPr>
      <w:r w:rsidRPr="00230FDA">
        <w:rPr>
          <w:rFonts w:eastAsiaTheme="minorEastAsia"/>
          <w:sz w:val="21"/>
          <w:szCs w:val="21"/>
          <w:lang w:eastAsia="zh-CN"/>
        </w:rPr>
        <w:t xml:space="preserve">For the Note 2, </w:t>
      </w:r>
      <w:r>
        <w:rPr>
          <w:rFonts w:eastAsiaTheme="minorEastAsia"/>
          <w:sz w:val="21"/>
          <w:szCs w:val="21"/>
          <w:lang w:eastAsia="zh-CN"/>
        </w:rPr>
        <w:t>it means that the UE can support the DL with non-contiguous requirement for the nominal spacing but doesn’t support UL with nominal spacing. For such kind of case, it seems reasonable thus the case 7/8 shall be kept and the table can be further updated as below:</w:t>
      </w:r>
    </w:p>
    <w:p w:rsidR="00230FDA" w:rsidRPr="001303E3" w:rsidRDefault="00230FDA" w:rsidP="00230FDA">
      <w:pPr>
        <w:jc w:val="center"/>
        <w:rPr>
          <w:rFonts w:eastAsiaTheme="minorEastAsia"/>
          <w:b/>
          <w:sz w:val="21"/>
          <w:szCs w:val="21"/>
          <w:lang w:eastAsia="zh-CN"/>
        </w:rPr>
      </w:pPr>
      <w:r w:rsidRPr="001303E3">
        <w:rPr>
          <w:rFonts w:eastAsiaTheme="minorEastAsia"/>
          <w:b/>
          <w:sz w:val="21"/>
          <w:szCs w:val="21"/>
          <w:lang w:eastAsia="zh-CN"/>
        </w:rPr>
        <w:t xml:space="preserve">Table </w:t>
      </w:r>
      <w:r w:rsidR="00B63DC5">
        <w:rPr>
          <w:rFonts w:eastAsiaTheme="minorEastAsia"/>
          <w:b/>
          <w:sz w:val="21"/>
          <w:szCs w:val="21"/>
          <w:lang w:eastAsia="zh-CN"/>
        </w:rPr>
        <w:t>4</w:t>
      </w:r>
      <w:r>
        <w:rPr>
          <w:rFonts w:eastAsiaTheme="minorEastAsia"/>
          <w:b/>
          <w:sz w:val="21"/>
          <w:szCs w:val="21"/>
          <w:lang w:eastAsia="zh-CN"/>
        </w:rPr>
        <w:t xml:space="preserve">: </w:t>
      </w:r>
      <w:r w:rsidRPr="001303E3">
        <w:rPr>
          <w:rFonts w:eastAsiaTheme="minorEastAsia"/>
          <w:b/>
          <w:sz w:val="21"/>
          <w:szCs w:val="21"/>
          <w:lang w:eastAsia="zh-CN"/>
        </w:rPr>
        <w:t>intrabandENDC-Support for DL and UL case</w:t>
      </w:r>
      <w:r w:rsidR="00B63DC5">
        <w:rPr>
          <w:rFonts w:eastAsiaTheme="minorEastAsia"/>
          <w:b/>
          <w:sz w:val="21"/>
          <w:szCs w:val="21"/>
          <w:lang w:eastAsia="zh-CN"/>
        </w:rPr>
        <w:t xml:space="preserve"> with new Capability updated</w:t>
      </w:r>
    </w:p>
    <w:tbl>
      <w:tblPr>
        <w:tblStyle w:val="af"/>
        <w:tblW w:w="9634" w:type="dxa"/>
        <w:tblLook w:val="04A0" w:firstRow="1" w:lastRow="0" w:firstColumn="1" w:lastColumn="0" w:noHBand="0" w:noVBand="1"/>
      </w:tblPr>
      <w:tblGrid>
        <w:gridCol w:w="1173"/>
        <w:gridCol w:w="1783"/>
        <w:gridCol w:w="1783"/>
        <w:gridCol w:w="4895"/>
      </w:tblGrid>
      <w:tr w:rsidR="00230FDA" w:rsidRPr="0083161E" w:rsidTr="00230FDA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FDA" w:rsidRPr="0083161E" w:rsidRDefault="00230FDA" w:rsidP="00230FDA">
            <w:pPr>
              <w:rPr>
                <w:rFonts w:ascii="Arial" w:eastAsiaTheme="minorEastAsia" w:hAnsi="Arial" w:cs="Arial"/>
                <w:b/>
              </w:rPr>
            </w:pPr>
            <w:r>
              <w:rPr>
                <w:rFonts w:ascii="Arial" w:eastAsiaTheme="minorEastAsia" w:hAnsi="Arial" w:cs="Arial"/>
                <w:b/>
              </w:rPr>
              <w:t>Scenario#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FDA" w:rsidRPr="0083161E" w:rsidRDefault="00230FDA" w:rsidP="00230FDA">
            <w:pPr>
              <w:rPr>
                <w:rFonts w:ascii="Arial" w:eastAsiaTheme="minorEastAsia" w:hAnsi="Arial" w:cs="Arial"/>
                <w:b/>
                <w:i/>
                <w:iCs/>
              </w:rPr>
            </w:pPr>
            <w:r w:rsidRPr="0083161E">
              <w:rPr>
                <w:rFonts w:ascii="Arial" w:eastAsiaTheme="minorEastAsia" w:hAnsi="Arial" w:cs="Arial"/>
                <w:b/>
                <w:i/>
                <w:iCs/>
              </w:rPr>
              <w:t>intraBandENDC-Support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FDA" w:rsidRPr="0083161E" w:rsidRDefault="00230FDA" w:rsidP="00230FDA">
            <w:pPr>
              <w:rPr>
                <w:rFonts w:ascii="Arial" w:eastAsiaTheme="minorEastAsia" w:hAnsi="Arial" w:cs="Arial"/>
                <w:b/>
                <w:i/>
                <w:iCs/>
              </w:rPr>
            </w:pPr>
            <w:r w:rsidRPr="0083161E">
              <w:rPr>
                <w:rFonts w:ascii="Arial" w:eastAsiaTheme="minorEastAsia" w:hAnsi="Arial" w:cs="Arial"/>
                <w:b/>
                <w:i/>
                <w:iCs/>
              </w:rPr>
              <w:t>intraBandENDC-Support-UL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FDA" w:rsidRPr="0083161E" w:rsidRDefault="00230FDA" w:rsidP="00230FDA">
            <w:pPr>
              <w:rPr>
                <w:rFonts w:ascii="Arial" w:eastAsiaTheme="minorEastAsia" w:hAnsi="Arial" w:cs="Arial"/>
                <w:b/>
              </w:rPr>
            </w:pPr>
            <w:r w:rsidRPr="0083161E">
              <w:rPr>
                <w:rFonts w:ascii="Arial" w:eastAsiaTheme="minorEastAsia" w:hAnsi="Arial" w:cs="Arial"/>
                <w:b/>
              </w:rPr>
              <w:t>UE supports in DL / UL (if applicable)</w:t>
            </w:r>
          </w:p>
        </w:tc>
      </w:tr>
      <w:tr w:rsidR="00230FDA" w:rsidRPr="0083161E" w:rsidTr="00230FDA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FDA" w:rsidRPr="0083161E" w:rsidRDefault="00230FDA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1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FDA" w:rsidRPr="0083161E" w:rsidRDefault="00230FDA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Absent (Contiguous)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FDA" w:rsidRPr="0083161E" w:rsidRDefault="00230FDA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Absent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FDA" w:rsidRPr="0083161E" w:rsidRDefault="00230FDA" w:rsidP="00230FDA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 w:line="252" w:lineRule="auto"/>
              <w:ind w:left="152" w:hanging="152"/>
              <w:contextualSpacing w:val="0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Contiguous/Contiguous</w:t>
            </w:r>
          </w:p>
        </w:tc>
      </w:tr>
      <w:tr w:rsidR="00230FDA" w:rsidRPr="0083161E" w:rsidTr="00230FDA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FDA" w:rsidRPr="0083161E" w:rsidRDefault="00230FDA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2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FDA" w:rsidRPr="0083161E" w:rsidRDefault="00230FDA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Absent (Contiguous)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FDA" w:rsidRPr="0083161E" w:rsidRDefault="00230FDA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Non-contiguous</w:t>
            </w:r>
            <w:r>
              <w:rPr>
                <w:rFonts w:ascii="Arial" w:eastAsiaTheme="minorEastAsia" w:hAnsi="Arial" w:cs="Arial"/>
              </w:rPr>
              <w:t xml:space="preserve"> </w:t>
            </w:r>
            <w:r>
              <w:rPr>
                <w:rFonts w:ascii="Arial" w:eastAsiaTheme="minorEastAsia" w:hAnsi="Arial" w:cs="Arial"/>
                <w:color w:val="FF0000"/>
              </w:rPr>
              <w:t>without new capability</w:t>
            </w:r>
            <w:r w:rsidRPr="00237E6A">
              <w:rPr>
                <w:rFonts w:ascii="Arial" w:eastAsiaTheme="minorEastAsia" w:hAnsi="Arial" w:cs="Arial"/>
                <w:color w:val="FF0000"/>
              </w:rPr>
              <w:t xml:space="preserve"> 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FDA" w:rsidRDefault="00230FDA" w:rsidP="00230FDA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 w:line="252" w:lineRule="auto"/>
              <w:ind w:left="152" w:hanging="152"/>
              <w:contextualSpacing w:val="0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Contiguous/Non-contiguous</w:t>
            </w:r>
          </w:p>
          <w:p w:rsidR="00230FDA" w:rsidRPr="00773AB9" w:rsidRDefault="00230FDA" w:rsidP="00230FDA">
            <w:pPr>
              <w:spacing w:afterLines="50" w:after="120" w:line="252" w:lineRule="auto"/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/>
                <w:lang w:eastAsia="ja-JP"/>
              </w:rPr>
              <w:t>NOTE: “</w:t>
            </w:r>
            <w:r>
              <w:rPr>
                <w:rFonts w:ascii="Arial" w:eastAsiaTheme="minorEastAsia" w:hAnsi="Arial" w:cs="Arial" w:hint="eastAsia"/>
                <w:lang w:eastAsia="ja-JP"/>
              </w:rPr>
              <w:t>C</w:t>
            </w:r>
            <w:r>
              <w:rPr>
                <w:rFonts w:ascii="Arial" w:eastAsiaTheme="minorEastAsia" w:hAnsi="Arial" w:cs="Arial"/>
                <w:lang w:eastAsia="ja-JP"/>
              </w:rPr>
              <w:t xml:space="preserve">ase 3” in </w:t>
            </w:r>
            <w:r w:rsidRPr="002B1B6F">
              <w:rPr>
                <w:rFonts w:ascii="Arial" w:hAnsi="Arial" w:cs="Arial"/>
              </w:rPr>
              <w:t>R2-2300060</w:t>
            </w:r>
            <w:r w:rsidRPr="00CD100D">
              <w:rPr>
                <w:rFonts w:ascii="Arial" w:hAnsi="Arial" w:cs="Arial"/>
              </w:rPr>
              <w:t xml:space="preserve"> (</w:t>
            </w:r>
            <w:r w:rsidRPr="006E2EC6">
              <w:rPr>
                <w:rFonts w:ascii="Arial" w:hAnsi="Arial" w:cs="Arial"/>
                <w:bCs/>
              </w:rPr>
              <w:t>R4-2220837</w:t>
            </w:r>
            <w:r w:rsidRPr="00CD100D">
              <w:rPr>
                <w:rFonts w:ascii="Arial" w:hAnsi="Arial" w:cs="Arial"/>
                <w:bCs/>
              </w:rPr>
              <w:t>)</w:t>
            </w:r>
          </w:p>
        </w:tc>
      </w:tr>
      <w:tr w:rsidR="00230FDA" w:rsidRPr="0083161E" w:rsidTr="00230FDA">
        <w:trPr>
          <w:trHeight w:val="765"/>
        </w:trPr>
        <w:tc>
          <w:tcPr>
            <w:tcW w:w="1173" w:type="dxa"/>
            <w:hideMark/>
          </w:tcPr>
          <w:p w:rsidR="00230FDA" w:rsidRPr="0083161E" w:rsidRDefault="00230FDA" w:rsidP="00230FDA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 xml:space="preserve">3 </w:t>
            </w:r>
            <w:r w:rsidRPr="00237E6A">
              <w:rPr>
                <w:rFonts w:ascii="Arial" w:eastAsiaTheme="minorEastAsia" w:hAnsi="Arial" w:cs="Arial"/>
                <w:color w:val="FF0000"/>
              </w:rPr>
              <w:t>(original 6)</w:t>
            </w:r>
          </w:p>
        </w:tc>
        <w:tc>
          <w:tcPr>
            <w:tcW w:w="1783" w:type="dxa"/>
            <w:hideMark/>
          </w:tcPr>
          <w:p w:rsidR="00230FDA" w:rsidRPr="0083161E" w:rsidRDefault="00230FDA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Absent (Contiguous)</w:t>
            </w:r>
          </w:p>
        </w:tc>
        <w:tc>
          <w:tcPr>
            <w:tcW w:w="1783" w:type="dxa"/>
            <w:hideMark/>
          </w:tcPr>
          <w:p w:rsidR="00230FDA" w:rsidRPr="0083161E" w:rsidRDefault="00230FDA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Both</w:t>
            </w:r>
          </w:p>
        </w:tc>
        <w:tc>
          <w:tcPr>
            <w:tcW w:w="4895" w:type="dxa"/>
            <w:hideMark/>
          </w:tcPr>
          <w:p w:rsidR="00230FDA" w:rsidRPr="0083161E" w:rsidRDefault="00230FDA" w:rsidP="00230FDA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100" w:after="240" w:line="252" w:lineRule="auto"/>
              <w:ind w:left="153" w:hanging="153"/>
              <w:contextualSpacing w:val="0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Contiguous/Contiguous</w:t>
            </w:r>
          </w:p>
          <w:p w:rsidR="00230FDA" w:rsidRDefault="00230FDA" w:rsidP="00230FDA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100" w:after="240" w:line="252" w:lineRule="auto"/>
              <w:ind w:left="153" w:hanging="153"/>
              <w:contextualSpacing w:val="0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Contiguous/Non-contiguous</w:t>
            </w:r>
          </w:p>
          <w:p w:rsidR="00230FDA" w:rsidRPr="00CA5B8E" w:rsidRDefault="00230FDA" w:rsidP="00230FDA">
            <w:pPr>
              <w:spacing w:afterLines="100" w:after="240" w:line="252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  <w:lang w:eastAsia="ja-JP"/>
              </w:rPr>
              <w:t>NOTE: “</w:t>
            </w:r>
            <w:r>
              <w:rPr>
                <w:rFonts w:ascii="Arial" w:eastAsiaTheme="minorEastAsia" w:hAnsi="Arial" w:cs="Arial" w:hint="eastAsia"/>
                <w:lang w:eastAsia="ja-JP"/>
              </w:rPr>
              <w:t>C</w:t>
            </w:r>
            <w:r>
              <w:rPr>
                <w:rFonts w:ascii="Arial" w:eastAsiaTheme="minorEastAsia" w:hAnsi="Arial" w:cs="Arial"/>
                <w:lang w:eastAsia="ja-JP"/>
              </w:rPr>
              <w:t xml:space="preserve">ase 4” in </w:t>
            </w:r>
            <w:r w:rsidRPr="002B1B6F">
              <w:rPr>
                <w:rFonts w:ascii="Arial" w:hAnsi="Arial" w:cs="Arial"/>
              </w:rPr>
              <w:t>R2-2300060</w:t>
            </w:r>
            <w:r w:rsidRPr="00CD100D">
              <w:rPr>
                <w:rFonts w:ascii="Arial" w:hAnsi="Arial" w:cs="Arial"/>
              </w:rPr>
              <w:t xml:space="preserve"> (</w:t>
            </w:r>
            <w:r w:rsidRPr="006E2EC6">
              <w:rPr>
                <w:rFonts w:ascii="Arial" w:hAnsi="Arial" w:cs="Arial"/>
                <w:bCs/>
              </w:rPr>
              <w:t>R4-2220837</w:t>
            </w:r>
            <w:r w:rsidRPr="00CD100D">
              <w:rPr>
                <w:rFonts w:ascii="Arial" w:hAnsi="Arial" w:cs="Arial"/>
                <w:bCs/>
              </w:rPr>
              <w:t>)</w:t>
            </w:r>
          </w:p>
        </w:tc>
      </w:tr>
      <w:tr w:rsidR="00230FDA" w:rsidRPr="0083161E" w:rsidTr="00230FDA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FDA" w:rsidRPr="0083161E" w:rsidRDefault="00230FDA" w:rsidP="00230FDA">
            <w:pPr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</w:rPr>
              <w:t xml:space="preserve">4 </w:t>
            </w:r>
            <w:r>
              <w:rPr>
                <w:rFonts w:ascii="Arial" w:eastAsiaTheme="minorEastAsia" w:hAnsi="Arial" w:cs="Arial" w:hint="eastAsia"/>
                <w:lang w:eastAsia="zh-CN"/>
              </w:rPr>
              <w:t>(</w:t>
            </w:r>
            <w:r>
              <w:rPr>
                <w:rFonts w:ascii="Arial" w:eastAsiaTheme="minorEastAsia" w:hAnsi="Arial" w:cs="Arial"/>
                <w:lang w:eastAsia="zh-CN"/>
              </w:rPr>
              <w:t>original 3)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FDA" w:rsidRPr="0083161E" w:rsidRDefault="00230FDA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Non-contiguous</w:t>
            </w:r>
            <w:r>
              <w:rPr>
                <w:rFonts w:ascii="Arial" w:eastAsiaTheme="minorEastAsia" w:hAnsi="Arial" w:cs="Arial"/>
              </w:rPr>
              <w:t xml:space="preserve"> </w:t>
            </w:r>
            <w:r w:rsidRPr="00237E6A">
              <w:rPr>
                <w:rFonts w:ascii="Arial" w:eastAsiaTheme="minorEastAsia" w:hAnsi="Arial" w:cs="Arial"/>
                <w:color w:val="FF0000"/>
              </w:rPr>
              <w:t>(without new Capability)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FDA" w:rsidRPr="0083161E" w:rsidRDefault="00230FDA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Absent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FDA" w:rsidRPr="0083161E" w:rsidRDefault="00230FDA" w:rsidP="00230FDA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 w:line="252" w:lineRule="auto"/>
              <w:ind w:left="152" w:hanging="152"/>
              <w:contextualSpacing w:val="0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Non-contiguous/Non-contiguous</w:t>
            </w:r>
            <w:r>
              <w:rPr>
                <w:rFonts w:ascii="Arial" w:eastAsiaTheme="minorEastAsia" w:hAnsi="Arial" w:cs="Arial"/>
              </w:rPr>
              <w:t xml:space="preserve"> </w:t>
            </w:r>
          </w:p>
        </w:tc>
      </w:tr>
      <w:tr w:rsidR="00230FDA" w:rsidRPr="008D761A" w:rsidTr="00230FDA">
        <w:trPr>
          <w:trHeight w:val="815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DA" w:rsidRPr="008D761A" w:rsidRDefault="00230FDA" w:rsidP="00230FDA">
            <w:pPr>
              <w:rPr>
                <w:rFonts w:ascii="Arial" w:eastAsiaTheme="minorEastAsia" w:hAnsi="Arial" w:cs="Arial"/>
                <w:color w:val="70AD47" w:themeColor="accent6"/>
              </w:rPr>
            </w:pPr>
            <w:r>
              <w:rPr>
                <w:rFonts w:ascii="Arial" w:eastAsiaTheme="minorEastAsia" w:hAnsi="Arial" w:cs="Arial"/>
                <w:color w:val="70AD47" w:themeColor="accent6"/>
              </w:rPr>
              <w:t>5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DA" w:rsidRPr="008D761A" w:rsidRDefault="00230FDA" w:rsidP="00230FDA">
            <w:pPr>
              <w:rPr>
                <w:rFonts w:ascii="Arial" w:eastAsiaTheme="minorEastAsia" w:hAnsi="Arial" w:cs="Arial"/>
                <w:color w:val="70AD47" w:themeColor="accent6"/>
              </w:rPr>
            </w:pPr>
            <w:r w:rsidRPr="008D761A">
              <w:rPr>
                <w:rFonts w:ascii="Arial" w:eastAsiaTheme="minorEastAsia" w:hAnsi="Arial" w:cs="Arial"/>
                <w:color w:val="70AD47" w:themeColor="accent6"/>
              </w:rPr>
              <w:t>Non-contiguous (with new capability)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DA" w:rsidRPr="008D761A" w:rsidRDefault="00230FDA" w:rsidP="00230FDA">
            <w:pPr>
              <w:rPr>
                <w:rFonts w:ascii="Arial" w:eastAsiaTheme="minorEastAsia" w:hAnsi="Arial" w:cs="Arial"/>
                <w:color w:val="70AD47" w:themeColor="accent6"/>
              </w:rPr>
            </w:pPr>
            <w:r w:rsidRPr="008D761A">
              <w:rPr>
                <w:rFonts w:ascii="Arial" w:eastAsiaTheme="minorEastAsia" w:hAnsi="Arial" w:cs="Arial"/>
                <w:color w:val="70AD47" w:themeColor="accent6"/>
              </w:rPr>
              <w:t>absent</w:t>
            </w:r>
            <w:r>
              <w:rPr>
                <w:rFonts w:ascii="Arial" w:eastAsiaTheme="minorEastAsia" w:hAnsi="Arial" w:cs="Arial"/>
                <w:color w:val="70AD47" w:themeColor="accent6"/>
              </w:rPr>
              <w:t xml:space="preserve"> 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DA" w:rsidRPr="00230FDA" w:rsidRDefault="00230FDA" w:rsidP="00230FDA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 w:line="252" w:lineRule="auto"/>
              <w:ind w:left="152" w:hanging="152"/>
              <w:contextualSpacing w:val="0"/>
              <w:textAlignment w:val="auto"/>
              <w:rPr>
                <w:rFonts w:ascii="Arial" w:eastAsiaTheme="minorEastAsia" w:hAnsi="Arial" w:cs="Arial"/>
                <w:color w:val="70AD47" w:themeColor="accent6"/>
              </w:rPr>
            </w:pPr>
            <w:r w:rsidRPr="00230FDA">
              <w:rPr>
                <w:rFonts w:ascii="Arial" w:eastAsiaTheme="minorEastAsia" w:hAnsi="Arial" w:cs="Arial"/>
                <w:color w:val="92D050"/>
              </w:rPr>
              <w:t xml:space="preserve">Non-contiguous requirement for the spacing / non-contiguous </w:t>
            </w:r>
          </w:p>
          <w:p w:rsidR="00230FDA" w:rsidRPr="008D761A" w:rsidRDefault="00230FDA" w:rsidP="00230FDA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 w:line="252" w:lineRule="auto"/>
              <w:ind w:left="152" w:hanging="152"/>
              <w:contextualSpacing w:val="0"/>
              <w:textAlignment w:val="auto"/>
              <w:rPr>
                <w:rFonts w:ascii="Arial" w:eastAsiaTheme="minorEastAsia" w:hAnsi="Arial" w:cs="Arial"/>
                <w:color w:val="70AD47" w:themeColor="accent6"/>
              </w:rPr>
            </w:pPr>
            <w:r w:rsidRPr="00230FDA">
              <w:rPr>
                <w:rFonts w:ascii="Arial" w:eastAsiaTheme="minorEastAsia" w:hAnsi="Arial" w:cs="Arial"/>
                <w:color w:val="92D050"/>
              </w:rPr>
              <w:t xml:space="preserve">Non-contiguous/Non-contiguous </w:t>
            </w:r>
          </w:p>
        </w:tc>
      </w:tr>
      <w:tr w:rsidR="00230FDA" w:rsidRPr="008D761A" w:rsidTr="00230FDA">
        <w:trPr>
          <w:trHeight w:val="815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DA" w:rsidRPr="008D761A" w:rsidRDefault="00230FDA" w:rsidP="00230FDA">
            <w:pPr>
              <w:rPr>
                <w:rFonts w:ascii="Arial" w:eastAsiaTheme="minorEastAsia" w:hAnsi="Arial" w:cs="Arial"/>
                <w:color w:val="70AD47" w:themeColor="accent6"/>
              </w:rPr>
            </w:pPr>
            <w:r>
              <w:rPr>
                <w:rFonts w:ascii="Arial" w:eastAsiaTheme="minorEastAsia" w:hAnsi="Arial" w:cs="Arial"/>
                <w:color w:val="70AD47" w:themeColor="accent6"/>
              </w:rPr>
              <w:lastRenderedPageBreak/>
              <w:t>6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DA" w:rsidRPr="008D761A" w:rsidRDefault="00230FDA" w:rsidP="00230FDA">
            <w:pPr>
              <w:rPr>
                <w:rFonts w:ascii="Arial" w:eastAsiaTheme="minorEastAsia" w:hAnsi="Arial" w:cs="Arial"/>
                <w:color w:val="70AD47" w:themeColor="accent6"/>
              </w:rPr>
            </w:pPr>
            <w:r w:rsidRPr="008D761A">
              <w:rPr>
                <w:rFonts w:ascii="Arial" w:eastAsiaTheme="minorEastAsia" w:hAnsi="Arial" w:cs="Arial"/>
                <w:color w:val="70AD47" w:themeColor="accent6"/>
              </w:rPr>
              <w:t>Non-contiguous (with new capability)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DA" w:rsidRPr="008D761A" w:rsidRDefault="00230FDA" w:rsidP="00230FDA">
            <w:pPr>
              <w:rPr>
                <w:rFonts w:ascii="Arial" w:eastAsiaTheme="minorEastAsia" w:hAnsi="Arial" w:cs="Arial"/>
                <w:color w:val="70AD47" w:themeColor="accent6"/>
              </w:rPr>
            </w:pPr>
            <w:r w:rsidRPr="008D761A">
              <w:rPr>
                <w:rFonts w:ascii="Arial" w:eastAsiaTheme="minorEastAsia" w:hAnsi="Arial" w:cs="Arial"/>
                <w:color w:val="70AD47" w:themeColor="accent6"/>
              </w:rPr>
              <w:t>Non-contiguous (with new Capability)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DA" w:rsidRPr="00230FDA" w:rsidRDefault="00230FDA" w:rsidP="00230FDA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 w:line="252" w:lineRule="auto"/>
              <w:ind w:left="152" w:hanging="152"/>
              <w:contextualSpacing w:val="0"/>
              <w:textAlignment w:val="auto"/>
              <w:rPr>
                <w:rFonts w:ascii="Arial" w:eastAsiaTheme="minorEastAsia" w:hAnsi="Arial" w:cs="Arial"/>
                <w:color w:val="92D050"/>
              </w:rPr>
            </w:pPr>
            <w:r w:rsidRPr="00230FDA">
              <w:rPr>
                <w:rFonts w:ascii="Arial" w:eastAsiaTheme="minorEastAsia" w:hAnsi="Arial" w:cs="Arial"/>
                <w:color w:val="92D050"/>
              </w:rPr>
              <w:t>non-contiguous requirements for the nominal spacing/ non-contiguous requirements for the nominal spacing</w:t>
            </w:r>
          </w:p>
          <w:p w:rsidR="00230FDA" w:rsidRPr="00230FDA" w:rsidRDefault="00230FDA" w:rsidP="00230FDA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 w:line="252" w:lineRule="auto"/>
              <w:ind w:left="152" w:hanging="152"/>
              <w:contextualSpacing w:val="0"/>
              <w:textAlignment w:val="auto"/>
              <w:rPr>
                <w:rFonts w:ascii="Arial" w:eastAsiaTheme="minorEastAsia" w:hAnsi="Arial" w:cs="Arial"/>
                <w:color w:val="92D050"/>
              </w:rPr>
            </w:pPr>
            <w:r w:rsidRPr="00230FDA">
              <w:rPr>
                <w:rFonts w:ascii="Arial" w:eastAsiaTheme="minorEastAsia" w:hAnsi="Arial" w:cs="Arial"/>
                <w:color w:val="92D050"/>
              </w:rPr>
              <w:t xml:space="preserve">non-contiguous requirements for the nominal spacing/ non-contiguous </w:t>
            </w:r>
          </w:p>
          <w:p w:rsidR="00230FDA" w:rsidRPr="008D761A" w:rsidRDefault="00230FDA" w:rsidP="00230FDA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 w:line="252" w:lineRule="auto"/>
              <w:ind w:left="152" w:hanging="152"/>
              <w:contextualSpacing w:val="0"/>
              <w:textAlignment w:val="auto"/>
              <w:rPr>
                <w:rFonts w:ascii="Arial" w:eastAsiaTheme="minorEastAsia" w:hAnsi="Arial" w:cs="Arial"/>
                <w:color w:val="70AD47" w:themeColor="accent6"/>
              </w:rPr>
            </w:pPr>
            <w:r w:rsidRPr="00230FDA">
              <w:rPr>
                <w:rFonts w:ascii="Arial" w:eastAsiaTheme="minorEastAsia" w:hAnsi="Arial" w:cs="Arial"/>
                <w:color w:val="92D050"/>
              </w:rPr>
              <w:t xml:space="preserve">non-contiguous/ non-contiguous </w:t>
            </w:r>
          </w:p>
        </w:tc>
      </w:tr>
      <w:tr w:rsidR="00230FDA" w:rsidRPr="0083161E" w:rsidTr="00230FDA">
        <w:trPr>
          <w:trHeight w:val="815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FDA" w:rsidRPr="0083161E" w:rsidRDefault="00230FDA" w:rsidP="00230FDA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7 (original 4)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FDA" w:rsidRPr="0083161E" w:rsidRDefault="00230FDA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Both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FDA" w:rsidRPr="0083161E" w:rsidRDefault="00230FDA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Absent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FDA" w:rsidRPr="0083161E" w:rsidRDefault="00230FDA" w:rsidP="00230FDA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 w:line="252" w:lineRule="auto"/>
              <w:ind w:left="152" w:hanging="152"/>
              <w:contextualSpacing w:val="0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Contiguous/contiguous</w:t>
            </w:r>
          </w:p>
          <w:p w:rsidR="00230FDA" w:rsidRPr="0083161E" w:rsidRDefault="00230FDA" w:rsidP="00230FDA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 w:line="252" w:lineRule="auto"/>
              <w:ind w:left="152" w:hanging="152"/>
              <w:contextualSpacing w:val="0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Non-contiguous/Non-contiguous</w:t>
            </w:r>
          </w:p>
        </w:tc>
      </w:tr>
      <w:tr w:rsidR="00230FDA" w:rsidRPr="0083161E" w:rsidTr="00230FDA">
        <w:trPr>
          <w:trHeight w:val="919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FDA" w:rsidRPr="0083161E" w:rsidRDefault="00230FDA" w:rsidP="00230FDA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8 (original 5)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FDA" w:rsidRPr="0083161E" w:rsidRDefault="00230FDA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Both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FDA" w:rsidRPr="0083161E" w:rsidRDefault="00230FDA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Non-contiguous</w:t>
            </w:r>
            <w:r>
              <w:rPr>
                <w:rFonts w:ascii="Arial" w:eastAsiaTheme="minorEastAsia" w:hAnsi="Arial" w:cs="Arial"/>
              </w:rPr>
              <w:t xml:space="preserve"> </w:t>
            </w:r>
            <w:r w:rsidRPr="00237E6A">
              <w:rPr>
                <w:rFonts w:ascii="Arial" w:eastAsiaTheme="minorEastAsia" w:hAnsi="Arial" w:cs="Arial"/>
                <w:color w:val="FF0000"/>
              </w:rPr>
              <w:t>(without new capability)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FDA" w:rsidRPr="0083161E" w:rsidRDefault="00230FDA" w:rsidP="00230FDA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 w:line="252" w:lineRule="auto"/>
              <w:ind w:left="152" w:hanging="152"/>
              <w:contextualSpacing w:val="0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Contiguous/Non-contiguous</w:t>
            </w:r>
          </w:p>
          <w:p w:rsidR="00230FDA" w:rsidRPr="0083161E" w:rsidRDefault="00230FDA" w:rsidP="00230FDA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 w:line="252" w:lineRule="auto"/>
              <w:ind w:left="152" w:hanging="152"/>
              <w:contextualSpacing w:val="0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Non-contiguous/Non-contiguous</w:t>
            </w:r>
          </w:p>
        </w:tc>
      </w:tr>
      <w:tr w:rsidR="00230FDA" w:rsidRPr="0083161E" w:rsidTr="00230FDA">
        <w:trPr>
          <w:trHeight w:val="111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FDA" w:rsidRPr="0083161E" w:rsidRDefault="00230FDA" w:rsidP="00230FDA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9 (original 7)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FDA" w:rsidRPr="0083161E" w:rsidRDefault="00230FDA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Both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FDA" w:rsidRPr="0083161E" w:rsidRDefault="00230FDA" w:rsidP="00230FDA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Both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FDA" w:rsidRPr="0083161E" w:rsidRDefault="00230FDA" w:rsidP="00230FDA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/>
              <w:ind w:left="153" w:hanging="153"/>
              <w:contextualSpacing w:val="0"/>
              <w:jc w:val="both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Contiguous/Contiguous</w:t>
            </w:r>
          </w:p>
          <w:p w:rsidR="00230FDA" w:rsidRPr="0083161E" w:rsidRDefault="00230FDA" w:rsidP="00230FDA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/>
              <w:ind w:left="153" w:hanging="153"/>
              <w:contextualSpacing w:val="0"/>
              <w:jc w:val="both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Non-contiguous/Non-contiguous</w:t>
            </w:r>
          </w:p>
          <w:p w:rsidR="00230FDA" w:rsidRPr="0083161E" w:rsidRDefault="00230FDA" w:rsidP="00230FDA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/>
              <w:ind w:left="153" w:hanging="153"/>
              <w:contextualSpacing w:val="0"/>
              <w:jc w:val="both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Contiguous/Non-contiguous</w:t>
            </w:r>
          </w:p>
        </w:tc>
      </w:tr>
    </w:tbl>
    <w:p w:rsidR="00B63DC5" w:rsidRDefault="00B63DC5" w:rsidP="00B63DC5">
      <w:pPr>
        <w:rPr>
          <w:rFonts w:eastAsiaTheme="minorEastAsia"/>
          <w:b/>
          <w:sz w:val="21"/>
          <w:szCs w:val="21"/>
          <w:lang w:eastAsia="zh-CN"/>
        </w:rPr>
      </w:pPr>
      <w:r>
        <w:rPr>
          <w:rFonts w:eastAsiaTheme="minorEastAsia"/>
          <w:b/>
          <w:sz w:val="21"/>
          <w:szCs w:val="21"/>
          <w:lang w:eastAsia="zh-CN"/>
        </w:rPr>
        <w:t>Proposal 4</w:t>
      </w:r>
      <w:r w:rsidRPr="00230FDA">
        <w:rPr>
          <w:rFonts w:eastAsiaTheme="minorEastAsia"/>
          <w:b/>
          <w:sz w:val="21"/>
          <w:szCs w:val="21"/>
          <w:lang w:eastAsia="zh-CN"/>
        </w:rPr>
        <w:t xml:space="preserve">: </w:t>
      </w:r>
      <w:r>
        <w:rPr>
          <w:rFonts w:eastAsiaTheme="minorEastAsia"/>
          <w:b/>
          <w:sz w:val="21"/>
          <w:szCs w:val="21"/>
          <w:lang w:eastAsia="zh-CN"/>
        </w:rPr>
        <w:t>If the proposal 3a was confirmed, Ran2 further confirm the Table 4 with the new capability introduced.</w:t>
      </w:r>
    </w:p>
    <w:p w:rsidR="00B63DC5" w:rsidRPr="00B63DC5" w:rsidRDefault="00B63DC5" w:rsidP="00B63DC5">
      <w:pPr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 xml:space="preserve">If the proposal 4 was confirmed, the new capability shall only be used for the case 5 and case 6 in the Table 4, and obviously, we only need to introduce 1 capability for the both DL and UL and it’s only used for the case that the non-contiguous was explicitly indicated. </w:t>
      </w:r>
    </w:p>
    <w:p w:rsidR="00B63DC5" w:rsidRPr="00B63DC5" w:rsidRDefault="00B63DC5" w:rsidP="00F765EB">
      <w:pPr>
        <w:rPr>
          <w:rFonts w:eastAsiaTheme="minorEastAsia"/>
          <w:b/>
          <w:sz w:val="21"/>
          <w:szCs w:val="21"/>
          <w:lang w:eastAsia="zh-CN"/>
        </w:rPr>
      </w:pPr>
      <w:bookmarkStart w:id="25" w:name="_GoBack"/>
      <w:r>
        <w:rPr>
          <w:rFonts w:eastAsiaTheme="minorEastAsia"/>
          <w:b/>
          <w:sz w:val="21"/>
          <w:szCs w:val="21"/>
          <w:lang w:eastAsia="zh-CN"/>
        </w:rPr>
        <w:t>Proposal 5</w:t>
      </w:r>
      <w:r w:rsidRPr="00230FDA">
        <w:rPr>
          <w:rFonts w:eastAsiaTheme="minorEastAsia"/>
          <w:b/>
          <w:sz w:val="21"/>
          <w:szCs w:val="21"/>
          <w:lang w:eastAsia="zh-CN"/>
        </w:rPr>
        <w:t xml:space="preserve">: </w:t>
      </w:r>
      <w:r>
        <w:rPr>
          <w:rFonts w:eastAsiaTheme="minorEastAsia"/>
          <w:b/>
          <w:sz w:val="21"/>
          <w:szCs w:val="21"/>
          <w:lang w:eastAsia="zh-CN"/>
        </w:rPr>
        <w:t xml:space="preserve">If the proposal 4 was confirmed, RAN2 further confirm that </w:t>
      </w:r>
      <w:r w:rsidRPr="00B63DC5">
        <w:rPr>
          <w:rFonts w:eastAsiaTheme="minorEastAsia"/>
          <w:b/>
          <w:sz w:val="21"/>
          <w:szCs w:val="21"/>
          <w:lang w:eastAsia="zh-CN"/>
        </w:rPr>
        <w:t>introduce 1 new capability for the both DL and UL and it’s only used for the case that the non-contiguous was explicitly indicated.</w:t>
      </w:r>
      <w:r>
        <w:rPr>
          <w:rFonts w:eastAsiaTheme="minorEastAsia"/>
          <w:b/>
          <w:sz w:val="21"/>
          <w:szCs w:val="21"/>
          <w:lang w:eastAsia="zh-CN"/>
        </w:rPr>
        <w:t xml:space="preserve"> </w:t>
      </w:r>
    </w:p>
    <w:bookmarkEnd w:id="25"/>
    <w:p w:rsidR="005C51A4" w:rsidRDefault="001670F0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jc w:val="left"/>
        <w:textAlignment w:val="baseline"/>
        <w:rPr>
          <w:rFonts w:cs="Arial"/>
          <w:b/>
          <w:bCs/>
          <w:sz w:val="32"/>
          <w:szCs w:val="36"/>
        </w:rPr>
      </w:pPr>
      <w:r>
        <w:rPr>
          <w:rFonts w:cs="Arial"/>
          <w:sz w:val="32"/>
          <w:szCs w:val="36"/>
        </w:rPr>
        <w:t>C</w:t>
      </w:r>
      <w:r>
        <w:rPr>
          <w:rFonts w:cs="Arial" w:hint="eastAsia"/>
          <w:sz w:val="32"/>
          <w:szCs w:val="36"/>
        </w:rPr>
        <w:t>onclusion</w:t>
      </w:r>
      <w:r>
        <w:rPr>
          <w:rFonts w:cs="Arial"/>
          <w:sz w:val="32"/>
          <w:szCs w:val="36"/>
        </w:rPr>
        <w:t xml:space="preserve"> and proposals</w:t>
      </w:r>
    </w:p>
    <w:p w:rsidR="005C51A4" w:rsidRDefault="001670F0">
      <w:pPr>
        <w:spacing w:beforeLines="50" w:before="12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With the above analysis, we have the following </w:t>
      </w:r>
      <w:r>
        <w:rPr>
          <w:sz w:val="21"/>
          <w:szCs w:val="21"/>
        </w:rPr>
        <w:t>proposals</w:t>
      </w:r>
      <w:r>
        <w:rPr>
          <w:rFonts w:hint="eastAsia"/>
          <w:sz w:val="21"/>
          <w:szCs w:val="21"/>
        </w:rPr>
        <w:t>:</w:t>
      </w:r>
    </w:p>
    <w:p w:rsidR="00B63DC5" w:rsidRDefault="00B63DC5" w:rsidP="00B63DC5">
      <w:pPr>
        <w:rPr>
          <w:rFonts w:eastAsiaTheme="minorEastAsia"/>
          <w:b/>
          <w:sz w:val="21"/>
          <w:szCs w:val="21"/>
          <w:lang w:eastAsia="zh-CN"/>
        </w:rPr>
      </w:pPr>
      <w:r w:rsidRPr="00B63DC5">
        <w:rPr>
          <w:rFonts w:eastAsiaTheme="minorEastAsia"/>
          <w:b/>
          <w:sz w:val="21"/>
          <w:szCs w:val="21"/>
          <w:lang w:eastAsia="zh-CN"/>
        </w:rPr>
        <w:t xml:space="preserve">Proposal 1: RAN2 to confirm whether the understanding of the legacy intraBandENDC-Support and the new capability (i.e. </w:t>
      </w:r>
      <w:r w:rsidRPr="00206626">
        <w:rPr>
          <w:rFonts w:eastAsiaTheme="minorEastAsia"/>
          <w:b/>
          <w:i/>
          <w:sz w:val="21"/>
          <w:szCs w:val="21"/>
          <w:lang w:eastAsia="zh-CN"/>
        </w:rPr>
        <w:t>intraBandENDC-NominalSpacing</w:t>
      </w:r>
      <w:r w:rsidRPr="00B63DC5">
        <w:rPr>
          <w:rFonts w:eastAsiaTheme="minorEastAsia"/>
          <w:b/>
          <w:sz w:val="21"/>
          <w:szCs w:val="21"/>
          <w:lang w:eastAsia="zh-CN"/>
        </w:rPr>
        <w:t xml:space="preserve"> defined in the RAN4 spec) in the Table 1 is correct.</w:t>
      </w:r>
    </w:p>
    <w:p w:rsidR="00B63DC5" w:rsidRPr="00123685" w:rsidRDefault="00B63DC5" w:rsidP="00B63DC5">
      <w:pPr>
        <w:jc w:val="center"/>
        <w:rPr>
          <w:rFonts w:eastAsiaTheme="minorEastAsia"/>
          <w:b/>
          <w:sz w:val="21"/>
          <w:szCs w:val="21"/>
          <w:lang w:eastAsia="zh-CN"/>
        </w:rPr>
      </w:pPr>
      <w:r w:rsidRPr="00123685">
        <w:rPr>
          <w:rFonts w:eastAsiaTheme="minorEastAsia"/>
          <w:b/>
          <w:sz w:val="21"/>
          <w:szCs w:val="21"/>
          <w:lang w:eastAsia="zh-CN"/>
        </w:rPr>
        <w:t>Table 1: Cases</w:t>
      </w:r>
      <w:r>
        <w:rPr>
          <w:rFonts w:eastAsiaTheme="minorEastAsia"/>
          <w:b/>
          <w:sz w:val="21"/>
          <w:szCs w:val="21"/>
          <w:lang w:eastAsia="zh-CN"/>
        </w:rPr>
        <w:t xml:space="preserve"> with New Capability I</w:t>
      </w:r>
      <w:r w:rsidRPr="00123685">
        <w:rPr>
          <w:rFonts w:eastAsiaTheme="minorEastAsia"/>
          <w:b/>
          <w:sz w:val="21"/>
          <w:szCs w:val="21"/>
          <w:lang w:eastAsia="zh-CN"/>
        </w:rPr>
        <w:t>ntroduced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397"/>
        <w:gridCol w:w="2694"/>
        <w:gridCol w:w="3259"/>
      </w:tblGrid>
      <w:tr w:rsidR="00B63DC5" w:rsidTr="00515E9E">
        <w:tc>
          <w:tcPr>
            <w:tcW w:w="3397" w:type="dxa"/>
          </w:tcPr>
          <w:p w:rsidR="00B63DC5" w:rsidRDefault="00B63DC5" w:rsidP="00515E9E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Case</w:t>
            </w:r>
          </w:p>
        </w:tc>
        <w:tc>
          <w:tcPr>
            <w:tcW w:w="2694" w:type="dxa"/>
          </w:tcPr>
          <w:p w:rsidR="00B63DC5" w:rsidRDefault="00B63DC5" w:rsidP="00515E9E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Requirement for the case with nominal spacing</w:t>
            </w:r>
          </w:p>
        </w:tc>
        <w:tc>
          <w:tcPr>
            <w:tcW w:w="3259" w:type="dxa"/>
          </w:tcPr>
          <w:p w:rsidR="00B63DC5" w:rsidRDefault="00B63DC5" w:rsidP="00515E9E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Requirement for the case with spacing larger than nominal spacing</w:t>
            </w:r>
          </w:p>
        </w:tc>
      </w:tr>
      <w:tr w:rsidR="00B63DC5" w:rsidTr="00515E9E">
        <w:tc>
          <w:tcPr>
            <w:tcW w:w="3397" w:type="dxa"/>
          </w:tcPr>
          <w:p w:rsidR="00B63DC5" w:rsidRDefault="00B63DC5" w:rsidP="00515E9E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 xml:space="preserve">Case 1: Contiguous only </w:t>
            </w:r>
          </w:p>
        </w:tc>
        <w:tc>
          <w:tcPr>
            <w:tcW w:w="2694" w:type="dxa"/>
          </w:tcPr>
          <w:p w:rsidR="00B63DC5" w:rsidRDefault="00B63DC5" w:rsidP="00515E9E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Contiguous Requirement</w:t>
            </w:r>
          </w:p>
        </w:tc>
        <w:tc>
          <w:tcPr>
            <w:tcW w:w="3259" w:type="dxa"/>
          </w:tcPr>
          <w:p w:rsidR="00B63DC5" w:rsidRDefault="00B63DC5" w:rsidP="00515E9E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Not supported</w:t>
            </w:r>
          </w:p>
        </w:tc>
      </w:tr>
      <w:tr w:rsidR="00B63DC5" w:rsidTr="00515E9E">
        <w:tc>
          <w:tcPr>
            <w:tcW w:w="3397" w:type="dxa"/>
          </w:tcPr>
          <w:p w:rsidR="00B63DC5" w:rsidRDefault="00B63DC5" w:rsidP="00515E9E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 xml:space="preserve">Case 2: non-contiguous only without supporting the new capability </w:t>
            </w:r>
          </w:p>
        </w:tc>
        <w:tc>
          <w:tcPr>
            <w:tcW w:w="2694" w:type="dxa"/>
          </w:tcPr>
          <w:p w:rsidR="00B63DC5" w:rsidRDefault="00B63DC5" w:rsidP="00515E9E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Not supported</w:t>
            </w:r>
          </w:p>
        </w:tc>
        <w:tc>
          <w:tcPr>
            <w:tcW w:w="3259" w:type="dxa"/>
          </w:tcPr>
          <w:p w:rsidR="00B63DC5" w:rsidRDefault="00B63DC5" w:rsidP="00515E9E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 xml:space="preserve">Non-contiguous requirement </w:t>
            </w:r>
          </w:p>
        </w:tc>
      </w:tr>
      <w:tr w:rsidR="00B63DC5" w:rsidTr="00515E9E">
        <w:tc>
          <w:tcPr>
            <w:tcW w:w="3397" w:type="dxa"/>
          </w:tcPr>
          <w:p w:rsidR="00B63DC5" w:rsidRPr="00123685" w:rsidRDefault="00B63DC5" w:rsidP="00515E9E">
            <w:pPr>
              <w:rPr>
                <w:rFonts w:eastAsiaTheme="minorEastAsia"/>
                <w:sz w:val="21"/>
                <w:szCs w:val="21"/>
                <w:highlight w:val="yellow"/>
                <w:lang w:eastAsia="zh-CN"/>
              </w:rPr>
            </w:pPr>
            <w:r w:rsidRPr="00123685">
              <w:rPr>
                <w:rFonts w:eastAsiaTheme="minorEastAsia"/>
                <w:sz w:val="21"/>
                <w:szCs w:val="21"/>
                <w:highlight w:val="yellow"/>
                <w:lang w:eastAsia="zh-CN"/>
              </w:rPr>
              <w:t>Case 3: non-contiguous only with supporting the new capability (new)</w:t>
            </w:r>
          </w:p>
        </w:tc>
        <w:tc>
          <w:tcPr>
            <w:tcW w:w="2694" w:type="dxa"/>
          </w:tcPr>
          <w:p w:rsidR="00B63DC5" w:rsidRPr="00123685" w:rsidRDefault="00B63DC5" w:rsidP="00515E9E">
            <w:pPr>
              <w:rPr>
                <w:rFonts w:eastAsiaTheme="minorEastAsia"/>
                <w:sz w:val="21"/>
                <w:szCs w:val="21"/>
                <w:highlight w:val="yellow"/>
                <w:lang w:eastAsia="zh-CN"/>
              </w:rPr>
            </w:pPr>
            <w:r w:rsidRPr="00123685">
              <w:rPr>
                <w:rFonts w:eastAsiaTheme="minorEastAsia"/>
                <w:sz w:val="21"/>
                <w:szCs w:val="21"/>
                <w:highlight w:val="yellow"/>
                <w:lang w:eastAsia="zh-CN"/>
              </w:rPr>
              <w:t>Non-Contiguous Requirement</w:t>
            </w:r>
          </w:p>
        </w:tc>
        <w:tc>
          <w:tcPr>
            <w:tcW w:w="3259" w:type="dxa"/>
          </w:tcPr>
          <w:p w:rsidR="00B63DC5" w:rsidRDefault="00B63DC5" w:rsidP="00515E9E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 w:rsidRPr="00123685">
              <w:rPr>
                <w:rFonts w:eastAsiaTheme="minorEastAsia"/>
                <w:sz w:val="21"/>
                <w:szCs w:val="21"/>
                <w:highlight w:val="yellow"/>
                <w:lang w:eastAsia="zh-CN"/>
              </w:rPr>
              <w:t>Non-contiguous requirement</w:t>
            </w:r>
          </w:p>
        </w:tc>
      </w:tr>
      <w:tr w:rsidR="00B63DC5" w:rsidTr="00515E9E">
        <w:tc>
          <w:tcPr>
            <w:tcW w:w="3397" w:type="dxa"/>
          </w:tcPr>
          <w:p w:rsidR="00B63DC5" w:rsidRDefault="00B63DC5" w:rsidP="00515E9E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Case 4:  Both</w:t>
            </w:r>
          </w:p>
        </w:tc>
        <w:tc>
          <w:tcPr>
            <w:tcW w:w="2694" w:type="dxa"/>
          </w:tcPr>
          <w:p w:rsidR="00B63DC5" w:rsidRDefault="00B63DC5" w:rsidP="00515E9E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Contiguous Requirement</w:t>
            </w:r>
          </w:p>
        </w:tc>
        <w:tc>
          <w:tcPr>
            <w:tcW w:w="3259" w:type="dxa"/>
          </w:tcPr>
          <w:p w:rsidR="00B63DC5" w:rsidRDefault="00B63DC5" w:rsidP="00515E9E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Non-contiguous requirement</w:t>
            </w:r>
          </w:p>
        </w:tc>
      </w:tr>
    </w:tbl>
    <w:p w:rsidR="00B63DC5" w:rsidRDefault="00B63DC5" w:rsidP="00B63DC5">
      <w:pPr>
        <w:rPr>
          <w:rFonts w:eastAsiaTheme="minorEastAsia"/>
          <w:b/>
          <w:sz w:val="21"/>
          <w:szCs w:val="21"/>
          <w:lang w:eastAsia="zh-CN"/>
        </w:rPr>
      </w:pPr>
    </w:p>
    <w:p w:rsidR="00B63DC5" w:rsidRDefault="00B63DC5" w:rsidP="00B63DC5">
      <w:pPr>
        <w:rPr>
          <w:rFonts w:eastAsiaTheme="minorEastAsia"/>
          <w:b/>
          <w:sz w:val="21"/>
          <w:szCs w:val="21"/>
          <w:lang w:eastAsia="zh-CN"/>
        </w:rPr>
      </w:pPr>
      <w:r w:rsidRPr="00123685">
        <w:rPr>
          <w:rFonts w:eastAsiaTheme="minorEastAsia"/>
          <w:b/>
          <w:sz w:val="21"/>
          <w:szCs w:val="21"/>
          <w:lang w:eastAsia="zh-CN"/>
        </w:rPr>
        <w:lastRenderedPageBreak/>
        <w:t xml:space="preserve">Proposal </w:t>
      </w:r>
      <w:r>
        <w:rPr>
          <w:rFonts w:eastAsiaTheme="minorEastAsia"/>
          <w:b/>
          <w:sz w:val="21"/>
          <w:szCs w:val="21"/>
          <w:lang w:eastAsia="zh-CN"/>
        </w:rPr>
        <w:t>2</w:t>
      </w:r>
      <w:r w:rsidRPr="00123685">
        <w:rPr>
          <w:rFonts w:eastAsiaTheme="minorEastAsia"/>
          <w:b/>
          <w:sz w:val="21"/>
          <w:szCs w:val="21"/>
          <w:lang w:eastAsia="zh-CN"/>
        </w:rPr>
        <w:t xml:space="preserve">: </w:t>
      </w:r>
      <w:r>
        <w:rPr>
          <w:rFonts w:eastAsiaTheme="minorEastAsia"/>
          <w:b/>
          <w:sz w:val="21"/>
          <w:szCs w:val="21"/>
          <w:lang w:eastAsia="zh-CN"/>
        </w:rPr>
        <w:t xml:space="preserve">If the Table 1 was confirmed, </w:t>
      </w:r>
      <w:r w:rsidRPr="00123685">
        <w:rPr>
          <w:rFonts w:eastAsiaTheme="minorEastAsia"/>
          <w:b/>
          <w:sz w:val="21"/>
          <w:szCs w:val="21"/>
          <w:lang w:eastAsia="zh-CN"/>
        </w:rPr>
        <w:t xml:space="preserve">RAN2 to confirm whether the </w:t>
      </w:r>
      <w:r>
        <w:rPr>
          <w:rFonts w:eastAsiaTheme="minorEastAsia"/>
          <w:b/>
          <w:sz w:val="21"/>
          <w:szCs w:val="21"/>
          <w:lang w:eastAsia="zh-CN"/>
        </w:rPr>
        <w:t>same logic would be used for the UL case.</w:t>
      </w:r>
    </w:p>
    <w:p w:rsidR="00B63DC5" w:rsidRDefault="00B63DC5" w:rsidP="00B63DC5">
      <w:pPr>
        <w:rPr>
          <w:rFonts w:eastAsiaTheme="minorEastAsia"/>
          <w:b/>
          <w:sz w:val="21"/>
          <w:szCs w:val="21"/>
          <w:lang w:eastAsia="zh-CN"/>
        </w:rPr>
      </w:pPr>
      <w:r w:rsidRPr="00123685">
        <w:rPr>
          <w:rFonts w:eastAsiaTheme="minorEastAsia"/>
          <w:b/>
          <w:sz w:val="21"/>
          <w:szCs w:val="21"/>
          <w:lang w:eastAsia="zh-CN"/>
        </w:rPr>
        <w:t xml:space="preserve">Proposal </w:t>
      </w:r>
      <w:r>
        <w:rPr>
          <w:rFonts w:eastAsiaTheme="minorEastAsia"/>
          <w:b/>
          <w:sz w:val="21"/>
          <w:szCs w:val="21"/>
          <w:lang w:eastAsia="zh-CN"/>
        </w:rPr>
        <w:t>3</w:t>
      </w:r>
      <w:r w:rsidRPr="00123685">
        <w:rPr>
          <w:rFonts w:eastAsiaTheme="minorEastAsia"/>
          <w:b/>
          <w:sz w:val="21"/>
          <w:szCs w:val="21"/>
          <w:lang w:eastAsia="zh-CN"/>
        </w:rPr>
        <w:t xml:space="preserve">: RAN2 to confirm </w:t>
      </w:r>
      <w:r w:rsidRPr="00F765EB">
        <w:rPr>
          <w:rFonts w:eastAsiaTheme="minorEastAsia"/>
          <w:b/>
          <w:sz w:val="21"/>
          <w:szCs w:val="21"/>
          <w:lang w:eastAsia="zh-CN"/>
        </w:rPr>
        <w:t xml:space="preserve">whether it’s allowed to </w:t>
      </w:r>
      <w:r>
        <w:rPr>
          <w:rFonts w:eastAsiaTheme="minorEastAsia"/>
          <w:b/>
          <w:sz w:val="21"/>
          <w:szCs w:val="21"/>
          <w:lang w:eastAsia="zh-CN"/>
        </w:rPr>
        <w:t>report</w:t>
      </w:r>
      <w:r w:rsidRPr="00F765EB">
        <w:rPr>
          <w:rFonts w:eastAsiaTheme="minorEastAsia"/>
          <w:b/>
          <w:sz w:val="21"/>
          <w:szCs w:val="21"/>
          <w:lang w:eastAsia="zh-CN"/>
        </w:rPr>
        <w:t xml:space="preserve"> different requirements for DL and UL for the nominal spacing case</w:t>
      </w:r>
      <w:r>
        <w:rPr>
          <w:rFonts w:eastAsiaTheme="minorEastAsia"/>
          <w:b/>
          <w:sz w:val="21"/>
          <w:szCs w:val="21"/>
          <w:lang w:eastAsia="zh-CN"/>
        </w:rPr>
        <w:t xml:space="preserve"> (i.e. DL non-contiguous requirements and UL with contiguous requirements and vice visa).</w:t>
      </w:r>
    </w:p>
    <w:p w:rsidR="00B63DC5" w:rsidRDefault="00B63DC5" w:rsidP="00B63DC5">
      <w:pPr>
        <w:rPr>
          <w:rFonts w:eastAsiaTheme="minorEastAsia"/>
          <w:b/>
          <w:sz w:val="21"/>
          <w:szCs w:val="21"/>
          <w:lang w:eastAsia="zh-CN"/>
        </w:rPr>
      </w:pPr>
      <w:r w:rsidRPr="00A4351A">
        <w:rPr>
          <w:rFonts w:eastAsiaTheme="minorEastAsia"/>
          <w:b/>
          <w:sz w:val="21"/>
          <w:szCs w:val="21"/>
          <w:lang w:eastAsia="zh-CN"/>
        </w:rPr>
        <w:t>Observation 4: From the signalling aspect, the case 6</w:t>
      </w:r>
      <w:r>
        <w:rPr>
          <w:rFonts w:eastAsiaTheme="minorEastAsia"/>
          <w:b/>
          <w:sz w:val="21"/>
          <w:szCs w:val="21"/>
          <w:lang w:eastAsia="zh-CN"/>
        </w:rPr>
        <w:t xml:space="preserve"> in the Table 3</w:t>
      </w:r>
      <w:r w:rsidRPr="00A4351A">
        <w:rPr>
          <w:rFonts w:eastAsiaTheme="minorEastAsia"/>
          <w:b/>
          <w:sz w:val="21"/>
          <w:szCs w:val="21"/>
          <w:lang w:eastAsia="zh-CN"/>
        </w:rPr>
        <w:t xml:space="preserve"> is unable to be supported.</w:t>
      </w:r>
    </w:p>
    <w:p w:rsidR="00B63DC5" w:rsidRDefault="00B63DC5" w:rsidP="00B63DC5">
      <w:pPr>
        <w:rPr>
          <w:rFonts w:eastAsiaTheme="minorEastAsia"/>
          <w:b/>
          <w:sz w:val="21"/>
          <w:szCs w:val="21"/>
          <w:lang w:eastAsia="zh-CN"/>
        </w:rPr>
      </w:pPr>
      <w:r w:rsidRPr="00230FDA">
        <w:rPr>
          <w:rFonts w:eastAsiaTheme="minorEastAsia"/>
          <w:b/>
          <w:sz w:val="21"/>
          <w:szCs w:val="21"/>
          <w:lang w:eastAsia="zh-CN"/>
        </w:rPr>
        <w:t>Proposal 3a: Not to support the UE to report different requirements for DL and UL for the nominal spacing case</w:t>
      </w:r>
      <w:r>
        <w:rPr>
          <w:rFonts w:eastAsiaTheme="minorEastAsia"/>
          <w:b/>
          <w:sz w:val="21"/>
          <w:szCs w:val="21"/>
          <w:lang w:eastAsia="zh-CN"/>
        </w:rPr>
        <w:t xml:space="preserve"> (i.e. DL non-contiguous requirements and UL with contiguous requirements and vice visa)</w:t>
      </w:r>
      <w:r w:rsidRPr="00230FDA">
        <w:rPr>
          <w:rFonts w:eastAsiaTheme="minorEastAsia"/>
          <w:b/>
          <w:sz w:val="21"/>
          <w:szCs w:val="21"/>
          <w:lang w:eastAsia="zh-CN"/>
        </w:rPr>
        <w:t xml:space="preserve"> if there is no practical use case</w:t>
      </w:r>
      <w:r w:rsidR="00206626">
        <w:rPr>
          <w:rFonts w:eastAsiaTheme="minorEastAsia"/>
          <w:b/>
          <w:sz w:val="21"/>
          <w:szCs w:val="21"/>
          <w:lang w:eastAsia="zh-CN"/>
        </w:rPr>
        <w:t>.</w:t>
      </w:r>
      <w:r>
        <w:rPr>
          <w:rFonts w:eastAsiaTheme="minorEastAsia"/>
          <w:b/>
          <w:sz w:val="21"/>
          <w:szCs w:val="21"/>
          <w:lang w:eastAsia="zh-CN"/>
        </w:rPr>
        <w:t xml:space="preserve"> </w:t>
      </w:r>
    </w:p>
    <w:p w:rsidR="00B63DC5" w:rsidRPr="00230FDA" w:rsidRDefault="00B63DC5" w:rsidP="00B63DC5">
      <w:pPr>
        <w:rPr>
          <w:rFonts w:eastAsiaTheme="minorEastAsia"/>
          <w:b/>
          <w:sz w:val="21"/>
          <w:szCs w:val="21"/>
          <w:lang w:eastAsia="zh-CN"/>
        </w:rPr>
      </w:pPr>
      <w:r>
        <w:rPr>
          <w:rFonts w:eastAsiaTheme="minorEastAsia"/>
          <w:b/>
          <w:sz w:val="21"/>
          <w:szCs w:val="21"/>
          <w:lang w:eastAsia="zh-CN"/>
        </w:rPr>
        <w:t>Proposal 4</w:t>
      </w:r>
      <w:r w:rsidRPr="00230FDA">
        <w:rPr>
          <w:rFonts w:eastAsiaTheme="minorEastAsia"/>
          <w:b/>
          <w:sz w:val="21"/>
          <w:szCs w:val="21"/>
          <w:lang w:eastAsia="zh-CN"/>
        </w:rPr>
        <w:t xml:space="preserve">: </w:t>
      </w:r>
      <w:r>
        <w:rPr>
          <w:rFonts w:eastAsiaTheme="minorEastAsia"/>
          <w:b/>
          <w:sz w:val="21"/>
          <w:szCs w:val="21"/>
          <w:lang w:eastAsia="zh-CN"/>
        </w:rPr>
        <w:t>If the proposal 3a was confirmed, Ran 2 further confirm the Table 4 with the new capability introduced.</w:t>
      </w:r>
    </w:p>
    <w:p w:rsidR="00B63DC5" w:rsidRPr="001303E3" w:rsidRDefault="00B63DC5" w:rsidP="00B63DC5">
      <w:pPr>
        <w:jc w:val="center"/>
        <w:rPr>
          <w:rFonts w:eastAsiaTheme="minorEastAsia"/>
          <w:b/>
          <w:sz w:val="21"/>
          <w:szCs w:val="21"/>
          <w:lang w:eastAsia="zh-CN"/>
        </w:rPr>
      </w:pPr>
      <w:r w:rsidRPr="001303E3">
        <w:rPr>
          <w:rFonts w:eastAsiaTheme="minorEastAsia"/>
          <w:b/>
          <w:sz w:val="21"/>
          <w:szCs w:val="21"/>
          <w:lang w:eastAsia="zh-CN"/>
        </w:rPr>
        <w:t xml:space="preserve">Table </w:t>
      </w:r>
      <w:r>
        <w:rPr>
          <w:rFonts w:eastAsiaTheme="minorEastAsia"/>
          <w:b/>
          <w:sz w:val="21"/>
          <w:szCs w:val="21"/>
          <w:lang w:eastAsia="zh-CN"/>
        </w:rPr>
        <w:t xml:space="preserve">4: </w:t>
      </w:r>
      <w:r w:rsidRPr="001303E3">
        <w:rPr>
          <w:rFonts w:eastAsiaTheme="minorEastAsia"/>
          <w:b/>
          <w:sz w:val="21"/>
          <w:szCs w:val="21"/>
          <w:lang w:eastAsia="zh-CN"/>
        </w:rPr>
        <w:t>intrabandENDC-Support for DL and UL case</w:t>
      </w:r>
      <w:r>
        <w:rPr>
          <w:rFonts w:eastAsiaTheme="minorEastAsia"/>
          <w:b/>
          <w:sz w:val="21"/>
          <w:szCs w:val="21"/>
          <w:lang w:eastAsia="zh-CN"/>
        </w:rPr>
        <w:t xml:space="preserve"> with new Capability updated</w:t>
      </w:r>
    </w:p>
    <w:tbl>
      <w:tblPr>
        <w:tblStyle w:val="af"/>
        <w:tblW w:w="9634" w:type="dxa"/>
        <w:tblLook w:val="04A0" w:firstRow="1" w:lastRow="0" w:firstColumn="1" w:lastColumn="0" w:noHBand="0" w:noVBand="1"/>
      </w:tblPr>
      <w:tblGrid>
        <w:gridCol w:w="1173"/>
        <w:gridCol w:w="1783"/>
        <w:gridCol w:w="1783"/>
        <w:gridCol w:w="4895"/>
      </w:tblGrid>
      <w:tr w:rsidR="00B63DC5" w:rsidRPr="0083161E" w:rsidTr="00515E9E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C5" w:rsidRPr="0083161E" w:rsidRDefault="00B63DC5" w:rsidP="00515E9E">
            <w:pPr>
              <w:rPr>
                <w:rFonts w:ascii="Arial" w:eastAsiaTheme="minorEastAsia" w:hAnsi="Arial" w:cs="Arial"/>
                <w:b/>
              </w:rPr>
            </w:pPr>
            <w:r>
              <w:rPr>
                <w:rFonts w:ascii="Arial" w:eastAsiaTheme="minorEastAsia" w:hAnsi="Arial" w:cs="Arial"/>
                <w:b/>
              </w:rPr>
              <w:t>Scenario#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C5" w:rsidRPr="0083161E" w:rsidRDefault="00B63DC5" w:rsidP="00515E9E">
            <w:pPr>
              <w:rPr>
                <w:rFonts w:ascii="Arial" w:eastAsiaTheme="minorEastAsia" w:hAnsi="Arial" w:cs="Arial"/>
                <w:b/>
                <w:i/>
                <w:iCs/>
              </w:rPr>
            </w:pPr>
            <w:r w:rsidRPr="0083161E">
              <w:rPr>
                <w:rFonts w:ascii="Arial" w:eastAsiaTheme="minorEastAsia" w:hAnsi="Arial" w:cs="Arial"/>
                <w:b/>
                <w:i/>
                <w:iCs/>
              </w:rPr>
              <w:t>intraBandENDC-Support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C5" w:rsidRPr="0083161E" w:rsidRDefault="00B63DC5" w:rsidP="00515E9E">
            <w:pPr>
              <w:rPr>
                <w:rFonts w:ascii="Arial" w:eastAsiaTheme="minorEastAsia" w:hAnsi="Arial" w:cs="Arial"/>
                <w:b/>
                <w:i/>
                <w:iCs/>
              </w:rPr>
            </w:pPr>
            <w:r w:rsidRPr="0083161E">
              <w:rPr>
                <w:rFonts w:ascii="Arial" w:eastAsiaTheme="minorEastAsia" w:hAnsi="Arial" w:cs="Arial"/>
                <w:b/>
                <w:i/>
                <w:iCs/>
              </w:rPr>
              <w:t>intraBandENDC-Support-UL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C5" w:rsidRPr="0083161E" w:rsidRDefault="00B63DC5" w:rsidP="00515E9E">
            <w:pPr>
              <w:rPr>
                <w:rFonts w:ascii="Arial" w:eastAsiaTheme="minorEastAsia" w:hAnsi="Arial" w:cs="Arial"/>
                <w:b/>
              </w:rPr>
            </w:pPr>
            <w:r w:rsidRPr="0083161E">
              <w:rPr>
                <w:rFonts w:ascii="Arial" w:eastAsiaTheme="minorEastAsia" w:hAnsi="Arial" w:cs="Arial"/>
                <w:b/>
              </w:rPr>
              <w:t>UE supports in DL / UL (if applicable)</w:t>
            </w:r>
          </w:p>
        </w:tc>
      </w:tr>
      <w:tr w:rsidR="00B63DC5" w:rsidRPr="0083161E" w:rsidTr="00515E9E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C5" w:rsidRPr="0083161E" w:rsidRDefault="00B63DC5" w:rsidP="00515E9E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1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C5" w:rsidRPr="0083161E" w:rsidRDefault="00B63DC5" w:rsidP="00515E9E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Absent (Contiguous)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C5" w:rsidRPr="0083161E" w:rsidRDefault="00B63DC5" w:rsidP="00515E9E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Absent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C5" w:rsidRPr="0083161E" w:rsidRDefault="00B63DC5" w:rsidP="00515E9E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 w:line="252" w:lineRule="auto"/>
              <w:ind w:left="152" w:hanging="152"/>
              <w:contextualSpacing w:val="0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Contiguous/Contiguous</w:t>
            </w:r>
          </w:p>
        </w:tc>
      </w:tr>
      <w:tr w:rsidR="00B63DC5" w:rsidRPr="0083161E" w:rsidTr="00515E9E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C5" w:rsidRPr="0083161E" w:rsidRDefault="00B63DC5" w:rsidP="00515E9E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2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C5" w:rsidRPr="0083161E" w:rsidRDefault="00B63DC5" w:rsidP="00515E9E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Absent (Contiguous)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C5" w:rsidRPr="0083161E" w:rsidRDefault="00B63DC5" w:rsidP="00515E9E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Non-contiguous</w:t>
            </w:r>
            <w:r>
              <w:rPr>
                <w:rFonts w:ascii="Arial" w:eastAsiaTheme="minorEastAsia" w:hAnsi="Arial" w:cs="Arial"/>
              </w:rPr>
              <w:t xml:space="preserve"> </w:t>
            </w:r>
            <w:r>
              <w:rPr>
                <w:rFonts w:ascii="Arial" w:eastAsiaTheme="minorEastAsia" w:hAnsi="Arial" w:cs="Arial"/>
                <w:color w:val="FF0000"/>
              </w:rPr>
              <w:t>without new capability</w:t>
            </w:r>
            <w:r w:rsidRPr="00237E6A">
              <w:rPr>
                <w:rFonts w:ascii="Arial" w:eastAsiaTheme="minorEastAsia" w:hAnsi="Arial" w:cs="Arial"/>
                <w:color w:val="FF0000"/>
              </w:rPr>
              <w:t xml:space="preserve"> 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C5" w:rsidRDefault="00B63DC5" w:rsidP="00515E9E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 w:line="252" w:lineRule="auto"/>
              <w:ind w:left="152" w:hanging="152"/>
              <w:contextualSpacing w:val="0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Contiguous/Non-contiguous</w:t>
            </w:r>
          </w:p>
          <w:p w:rsidR="00B63DC5" w:rsidRPr="00773AB9" w:rsidRDefault="00B63DC5" w:rsidP="00515E9E">
            <w:pPr>
              <w:spacing w:afterLines="50" w:after="120" w:line="252" w:lineRule="auto"/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/>
                <w:lang w:eastAsia="ja-JP"/>
              </w:rPr>
              <w:t>NOTE: “</w:t>
            </w:r>
            <w:r>
              <w:rPr>
                <w:rFonts w:ascii="Arial" w:eastAsiaTheme="minorEastAsia" w:hAnsi="Arial" w:cs="Arial" w:hint="eastAsia"/>
                <w:lang w:eastAsia="ja-JP"/>
              </w:rPr>
              <w:t>C</w:t>
            </w:r>
            <w:r>
              <w:rPr>
                <w:rFonts w:ascii="Arial" w:eastAsiaTheme="minorEastAsia" w:hAnsi="Arial" w:cs="Arial"/>
                <w:lang w:eastAsia="ja-JP"/>
              </w:rPr>
              <w:t xml:space="preserve">ase 3” in </w:t>
            </w:r>
            <w:r w:rsidRPr="002B1B6F">
              <w:rPr>
                <w:rFonts w:ascii="Arial" w:hAnsi="Arial" w:cs="Arial"/>
              </w:rPr>
              <w:t>R2-2300060</w:t>
            </w:r>
            <w:r w:rsidRPr="00CD100D">
              <w:rPr>
                <w:rFonts w:ascii="Arial" w:hAnsi="Arial" w:cs="Arial"/>
              </w:rPr>
              <w:t xml:space="preserve"> (</w:t>
            </w:r>
            <w:r w:rsidRPr="006E2EC6">
              <w:rPr>
                <w:rFonts w:ascii="Arial" w:hAnsi="Arial" w:cs="Arial"/>
                <w:bCs/>
              </w:rPr>
              <w:t>R4-2220837</w:t>
            </w:r>
            <w:r w:rsidRPr="00CD100D">
              <w:rPr>
                <w:rFonts w:ascii="Arial" w:hAnsi="Arial" w:cs="Arial"/>
                <w:bCs/>
              </w:rPr>
              <w:t>)</w:t>
            </w:r>
          </w:p>
        </w:tc>
      </w:tr>
      <w:tr w:rsidR="00B63DC5" w:rsidRPr="0083161E" w:rsidTr="00515E9E">
        <w:trPr>
          <w:trHeight w:val="765"/>
        </w:trPr>
        <w:tc>
          <w:tcPr>
            <w:tcW w:w="1173" w:type="dxa"/>
            <w:hideMark/>
          </w:tcPr>
          <w:p w:rsidR="00B63DC5" w:rsidRPr="0083161E" w:rsidRDefault="00B63DC5" w:rsidP="00515E9E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 xml:space="preserve">3 </w:t>
            </w:r>
            <w:r w:rsidRPr="00237E6A">
              <w:rPr>
                <w:rFonts w:ascii="Arial" w:eastAsiaTheme="minorEastAsia" w:hAnsi="Arial" w:cs="Arial"/>
                <w:color w:val="FF0000"/>
              </w:rPr>
              <w:t>(original 6)</w:t>
            </w:r>
          </w:p>
        </w:tc>
        <w:tc>
          <w:tcPr>
            <w:tcW w:w="1783" w:type="dxa"/>
            <w:hideMark/>
          </w:tcPr>
          <w:p w:rsidR="00B63DC5" w:rsidRPr="0083161E" w:rsidRDefault="00B63DC5" w:rsidP="00515E9E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Absent (Contiguous)</w:t>
            </w:r>
          </w:p>
        </w:tc>
        <w:tc>
          <w:tcPr>
            <w:tcW w:w="1783" w:type="dxa"/>
            <w:hideMark/>
          </w:tcPr>
          <w:p w:rsidR="00B63DC5" w:rsidRPr="0083161E" w:rsidRDefault="00B63DC5" w:rsidP="00515E9E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Both</w:t>
            </w:r>
          </w:p>
        </w:tc>
        <w:tc>
          <w:tcPr>
            <w:tcW w:w="4895" w:type="dxa"/>
            <w:hideMark/>
          </w:tcPr>
          <w:p w:rsidR="00B63DC5" w:rsidRPr="0083161E" w:rsidRDefault="00B63DC5" w:rsidP="00515E9E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100" w:after="240" w:line="252" w:lineRule="auto"/>
              <w:ind w:left="153" w:hanging="153"/>
              <w:contextualSpacing w:val="0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Contiguous/Contiguous</w:t>
            </w:r>
          </w:p>
          <w:p w:rsidR="00B63DC5" w:rsidRDefault="00B63DC5" w:rsidP="00515E9E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100" w:after="240" w:line="252" w:lineRule="auto"/>
              <w:ind w:left="153" w:hanging="153"/>
              <w:contextualSpacing w:val="0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Contiguous/Non-contiguous</w:t>
            </w:r>
          </w:p>
          <w:p w:rsidR="00B63DC5" w:rsidRPr="00CA5B8E" w:rsidRDefault="00B63DC5" w:rsidP="00515E9E">
            <w:pPr>
              <w:spacing w:afterLines="100" w:after="240" w:line="252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  <w:lang w:eastAsia="ja-JP"/>
              </w:rPr>
              <w:t>NOTE: “</w:t>
            </w:r>
            <w:r>
              <w:rPr>
                <w:rFonts w:ascii="Arial" w:eastAsiaTheme="minorEastAsia" w:hAnsi="Arial" w:cs="Arial" w:hint="eastAsia"/>
                <w:lang w:eastAsia="ja-JP"/>
              </w:rPr>
              <w:t>C</w:t>
            </w:r>
            <w:r>
              <w:rPr>
                <w:rFonts w:ascii="Arial" w:eastAsiaTheme="minorEastAsia" w:hAnsi="Arial" w:cs="Arial"/>
                <w:lang w:eastAsia="ja-JP"/>
              </w:rPr>
              <w:t xml:space="preserve">ase 4” in </w:t>
            </w:r>
            <w:r w:rsidRPr="002B1B6F">
              <w:rPr>
                <w:rFonts w:ascii="Arial" w:hAnsi="Arial" w:cs="Arial"/>
              </w:rPr>
              <w:t>R2-2300060</w:t>
            </w:r>
            <w:r w:rsidRPr="00CD100D">
              <w:rPr>
                <w:rFonts w:ascii="Arial" w:hAnsi="Arial" w:cs="Arial"/>
              </w:rPr>
              <w:t xml:space="preserve"> (</w:t>
            </w:r>
            <w:r w:rsidRPr="006E2EC6">
              <w:rPr>
                <w:rFonts w:ascii="Arial" w:hAnsi="Arial" w:cs="Arial"/>
                <w:bCs/>
              </w:rPr>
              <w:t>R4-2220837</w:t>
            </w:r>
            <w:r w:rsidRPr="00CD100D">
              <w:rPr>
                <w:rFonts w:ascii="Arial" w:hAnsi="Arial" w:cs="Arial"/>
                <w:bCs/>
              </w:rPr>
              <w:t>)</w:t>
            </w:r>
          </w:p>
        </w:tc>
      </w:tr>
      <w:tr w:rsidR="00B63DC5" w:rsidRPr="0083161E" w:rsidTr="00515E9E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C5" w:rsidRPr="0083161E" w:rsidRDefault="00B63DC5" w:rsidP="00515E9E">
            <w:pPr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</w:rPr>
              <w:t xml:space="preserve">4 </w:t>
            </w:r>
            <w:r>
              <w:rPr>
                <w:rFonts w:ascii="Arial" w:eastAsiaTheme="minorEastAsia" w:hAnsi="Arial" w:cs="Arial" w:hint="eastAsia"/>
                <w:lang w:eastAsia="zh-CN"/>
              </w:rPr>
              <w:t>(</w:t>
            </w:r>
            <w:r>
              <w:rPr>
                <w:rFonts w:ascii="Arial" w:eastAsiaTheme="minorEastAsia" w:hAnsi="Arial" w:cs="Arial"/>
                <w:lang w:eastAsia="zh-CN"/>
              </w:rPr>
              <w:t>original 3)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C5" w:rsidRPr="0083161E" w:rsidRDefault="00B63DC5" w:rsidP="00515E9E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Non-contiguous</w:t>
            </w:r>
            <w:r>
              <w:rPr>
                <w:rFonts w:ascii="Arial" w:eastAsiaTheme="minorEastAsia" w:hAnsi="Arial" w:cs="Arial"/>
              </w:rPr>
              <w:t xml:space="preserve"> </w:t>
            </w:r>
            <w:r w:rsidRPr="00237E6A">
              <w:rPr>
                <w:rFonts w:ascii="Arial" w:eastAsiaTheme="minorEastAsia" w:hAnsi="Arial" w:cs="Arial"/>
                <w:color w:val="FF0000"/>
              </w:rPr>
              <w:t>(without new Capability)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C5" w:rsidRPr="0083161E" w:rsidRDefault="00B63DC5" w:rsidP="00515E9E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Absent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C5" w:rsidRPr="0083161E" w:rsidRDefault="00B63DC5" w:rsidP="00515E9E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 w:line="252" w:lineRule="auto"/>
              <w:ind w:left="152" w:hanging="152"/>
              <w:contextualSpacing w:val="0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Non-contiguous/Non-contiguous</w:t>
            </w:r>
            <w:r>
              <w:rPr>
                <w:rFonts w:ascii="Arial" w:eastAsiaTheme="minorEastAsia" w:hAnsi="Arial" w:cs="Arial"/>
              </w:rPr>
              <w:t xml:space="preserve"> </w:t>
            </w:r>
          </w:p>
        </w:tc>
      </w:tr>
      <w:tr w:rsidR="00B63DC5" w:rsidRPr="008D761A" w:rsidTr="00515E9E">
        <w:trPr>
          <w:trHeight w:val="815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C5" w:rsidRPr="008D761A" w:rsidRDefault="00B63DC5" w:rsidP="00515E9E">
            <w:pPr>
              <w:rPr>
                <w:rFonts w:ascii="Arial" w:eastAsiaTheme="minorEastAsia" w:hAnsi="Arial" w:cs="Arial"/>
                <w:color w:val="70AD47" w:themeColor="accent6"/>
              </w:rPr>
            </w:pPr>
            <w:r>
              <w:rPr>
                <w:rFonts w:ascii="Arial" w:eastAsiaTheme="minorEastAsia" w:hAnsi="Arial" w:cs="Arial"/>
                <w:color w:val="70AD47" w:themeColor="accent6"/>
              </w:rPr>
              <w:t>5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C5" w:rsidRPr="008D761A" w:rsidRDefault="00B63DC5" w:rsidP="00515E9E">
            <w:pPr>
              <w:rPr>
                <w:rFonts w:ascii="Arial" w:eastAsiaTheme="minorEastAsia" w:hAnsi="Arial" w:cs="Arial"/>
                <w:color w:val="70AD47" w:themeColor="accent6"/>
              </w:rPr>
            </w:pPr>
            <w:r w:rsidRPr="008D761A">
              <w:rPr>
                <w:rFonts w:ascii="Arial" w:eastAsiaTheme="minorEastAsia" w:hAnsi="Arial" w:cs="Arial"/>
                <w:color w:val="70AD47" w:themeColor="accent6"/>
              </w:rPr>
              <w:t>Non-contiguous (with new capability)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C5" w:rsidRPr="008D761A" w:rsidRDefault="00B63DC5" w:rsidP="00515E9E">
            <w:pPr>
              <w:rPr>
                <w:rFonts w:ascii="Arial" w:eastAsiaTheme="minorEastAsia" w:hAnsi="Arial" w:cs="Arial"/>
                <w:color w:val="70AD47" w:themeColor="accent6"/>
              </w:rPr>
            </w:pPr>
            <w:r w:rsidRPr="008D761A">
              <w:rPr>
                <w:rFonts w:ascii="Arial" w:eastAsiaTheme="minorEastAsia" w:hAnsi="Arial" w:cs="Arial"/>
                <w:color w:val="70AD47" w:themeColor="accent6"/>
              </w:rPr>
              <w:t>absent</w:t>
            </w:r>
            <w:r>
              <w:rPr>
                <w:rFonts w:ascii="Arial" w:eastAsiaTheme="minorEastAsia" w:hAnsi="Arial" w:cs="Arial"/>
                <w:color w:val="70AD47" w:themeColor="accent6"/>
              </w:rPr>
              <w:t xml:space="preserve"> 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C5" w:rsidRPr="00230FDA" w:rsidRDefault="00B63DC5" w:rsidP="00515E9E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 w:line="252" w:lineRule="auto"/>
              <w:ind w:left="152" w:hanging="152"/>
              <w:contextualSpacing w:val="0"/>
              <w:textAlignment w:val="auto"/>
              <w:rPr>
                <w:rFonts w:ascii="Arial" w:eastAsiaTheme="minorEastAsia" w:hAnsi="Arial" w:cs="Arial"/>
                <w:color w:val="70AD47" w:themeColor="accent6"/>
              </w:rPr>
            </w:pPr>
            <w:r w:rsidRPr="00230FDA">
              <w:rPr>
                <w:rFonts w:ascii="Arial" w:eastAsiaTheme="minorEastAsia" w:hAnsi="Arial" w:cs="Arial"/>
                <w:color w:val="92D050"/>
              </w:rPr>
              <w:t xml:space="preserve">Non-contiguous requirement for the spacing / non-contiguous </w:t>
            </w:r>
          </w:p>
          <w:p w:rsidR="00B63DC5" w:rsidRPr="008D761A" w:rsidRDefault="00B63DC5" w:rsidP="00515E9E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 w:line="252" w:lineRule="auto"/>
              <w:ind w:left="152" w:hanging="152"/>
              <w:contextualSpacing w:val="0"/>
              <w:textAlignment w:val="auto"/>
              <w:rPr>
                <w:rFonts w:ascii="Arial" w:eastAsiaTheme="minorEastAsia" w:hAnsi="Arial" w:cs="Arial"/>
                <w:color w:val="70AD47" w:themeColor="accent6"/>
              </w:rPr>
            </w:pPr>
            <w:r w:rsidRPr="00230FDA">
              <w:rPr>
                <w:rFonts w:ascii="Arial" w:eastAsiaTheme="minorEastAsia" w:hAnsi="Arial" w:cs="Arial"/>
                <w:color w:val="92D050"/>
              </w:rPr>
              <w:t xml:space="preserve">Non-contiguous/Non-contiguous </w:t>
            </w:r>
          </w:p>
        </w:tc>
      </w:tr>
      <w:tr w:rsidR="00B63DC5" w:rsidRPr="008D761A" w:rsidTr="00515E9E">
        <w:trPr>
          <w:trHeight w:val="815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C5" w:rsidRPr="008D761A" w:rsidRDefault="00B63DC5" w:rsidP="00515E9E">
            <w:pPr>
              <w:rPr>
                <w:rFonts w:ascii="Arial" w:eastAsiaTheme="minorEastAsia" w:hAnsi="Arial" w:cs="Arial"/>
                <w:color w:val="70AD47" w:themeColor="accent6"/>
              </w:rPr>
            </w:pPr>
            <w:r>
              <w:rPr>
                <w:rFonts w:ascii="Arial" w:eastAsiaTheme="minorEastAsia" w:hAnsi="Arial" w:cs="Arial"/>
                <w:color w:val="70AD47" w:themeColor="accent6"/>
              </w:rPr>
              <w:t>6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C5" w:rsidRPr="008D761A" w:rsidRDefault="00B63DC5" w:rsidP="00515E9E">
            <w:pPr>
              <w:rPr>
                <w:rFonts w:ascii="Arial" w:eastAsiaTheme="minorEastAsia" w:hAnsi="Arial" w:cs="Arial"/>
                <w:color w:val="70AD47" w:themeColor="accent6"/>
              </w:rPr>
            </w:pPr>
            <w:r w:rsidRPr="008D761A">
              <w:rPr>
                <w:rFonts w:ascii="Arial" w:eastAsiaTheme="minorEastAsia" w:hAnsi="Arial" w:cs="Arial"/>
                <w:color w:val="70AD47" w:themeColor="accent6"/>
              </w:rPr>
              <w:t>Non-contiguous (with new capability)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C5" w:rsidRPr="008D761A" w:rsidRDefault="00B63DC5" w:rsidP="00515E9E">
            <w:pPr>
              <w:rPr>
                <w:rFonts w:ascii="Arial" w:eastAsiaTheme="minorEastAsia" w:hAnsi="Arial" w:cs="Arial"/>
                <w:color w:val="70AD47" w:themeColor="accent6"/>
              </w:rPr>
            </w:pPr>
            <w:r w:rsidRPr="008D761A">
              <w:rPr>
                <w:rFonts w:ascii="Arial" w:eastAsiaTheme="minorEastAsia" w:hAnsi="Arial" w:cs="Arial"/>
                <w:color w:val="70AD47" w:themeColor="accent6"/>
              </w:rPr>
              <w:t>Non-contiguous (with new Capability)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C5" w:rsidRPr="00230FDA" w:rsidRDefault="00B63DC5" w:rsidP="00515E9E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 w:line="252" w:lineRule="auto"/>
              <w:ind w:left="152" w:hanging="152"/>
              <w:contextualSpacing w:val="0"/>
              <w:textAlignment w:val="auto"/>
              <w:rPr>
                <w:rFonts w:ascii="Arial" w:eastAsiaTheme="minorEastAsia" w:hAnsi="Arial" w:cs="Arial"/>
                <w:color w:val="92D050"/>
              </w:rPr>
            </w:pPr>
            <w:r w:rsidRPr="00230FDA">
              <w:rPr>
                <w:rFonts w:ascii="Arial" w:eastAsiaTheme="minorEastAsia" w:hAnsi="Arial" w:cs="Arial"/>
                <w:color w:val="92D050"/>
              </w:rPr>
              <w:t>non-contiguous requirements for the nominal spacing/ non-contiguous requirements for the nominal spacing</w:t>
            </w:r>
          </w:p>
          <w:p w:rsidR="00B63DC5" w:rsidRPr="00230FDA" w:rsidRDefault="00B63DC5" w:rsidP="00515E9E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 w:line="252" w:lineRule="auto"/>
              <w:ind w:left="152" w:hanging="152"/>
              <w:contextualSpacing w:val="0"/>
              <w:textAlignment w:val="auto"/>
              <w:rPr>
                <w:rFonts w:ascii="Arial" w:eastAsiaTheme="minorEastAsia" w:hAnsi="Arial" w:cs="Arial"/>
                <w:color w:val="92D050"/>
              </w:rPr>
            </w:pPr>
            <w:r w:rsidRPr="00230FDA">
              <w:rPr>
                <w:rFonts w:ascii="Arial" w:eastAsiaTheme="minorEastAsia" w:hAnsi="Arial" w:cs="Arial"/>
                <w:color w:val="92D050"/>
              </w:rPr>
              <w:t xml:space="preserve">non-contiguous requirements for the nominal spacing/ non-contiguous </w:t>
            </w:r>
          </w:p>
          <w:p w:rsidR="00B63DC5" w:rsidRPr="008D761A" w:rsidRDefault="00B63DC5" w:rsidP="00515E9E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 w:line="252" w:lineRule="auto"/>
              <w:ind w:left="152" w:hanging="152"/>
              <w:contextualSpacing w:val="0"/>
              <w:textAlignment w:val="auto"/>
              <w:rPr>
                <w:rFonts w:ascii="Arial" w:eastAsiaTheme="minorEastAsia" w:hAnsi="Arial" w:cs="Arial"/>
                <w:color w:val="70AD47" w:themeColor="accent6"/>
              </w:rPr>
            </w:pPr>
            <w:r w:rsidRPr="00230FDA">
              <w:rPr>
                <w:rFonts w:ascii="Arial" w:eastAsiaTheme="minorEastAsia" w:hAnsi="Arial" w:cs="Arial"/>
                <w:color w:val="92D050"/>
              </w:rPr>
              <w:t xml:space="preserve">non-contiguous/ non-contiguous </w:t>
            </w:r>
          </w:p>
        </w:tc>
      </w:tr>
      <w:tr w:rsidR="00B63DC5" w:rsidRPr="0083161E" w:rsidTr="00515E9E">
        <w:trPr>
          <w:trHeight w:val="815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C5" w:rsidRPr="0083161E" w:rsidRDefault="00B63DC5" w:rsidP="00515E9E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7 (original 4)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C5" w:rsidRPr="0083161E" w:rsidRDefault="00B63DC5" w:rsidP="00515E9E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Both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C5" w:rsidRPr="0083161E" w:rsidRDefault="00B63DC5" w:rsidP="00515E9E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Absent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C5" w:rsidRPr="0083161E" w:rsidRDefault="00B63DC5" w:rsidP="00515E9E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 w:line="252" w:lineRule="auto"/>
              <w:ind w:left="152" w:hanging="152"/>
              <w:contextualSpacing w:val="0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Contiguous/contiguous</w:t>
            </w:r>
          </w:p>
          <w:p w:rsidR="00B63DC5" w:rsidRPr="0083161E" w:rsidRDefault="00B63DC5" w:rsidP="00515E9E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 w:line="252" w:lineRule="auto"/>
              <w:ind w:left="152" w:hanging="152"/>
              <w:contextualSpacing w:val="0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Non-contiguous/Non-contiguous</w:t>
            </w:r>
          </w:p>
        </w:tc>
      </w:tr>
      <w:tr w:rsidR="00B63DC5" w:rsidRPr="0083161E" w:rsidTr="00515E9E">
        <w:trPr>
          <w:trHeight w:val="919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C5" w:rsidRPr="0083161E" w:rsidRDefault="00B63DC5" w:rsidP="00515E9E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lastRenderedPageBreak/>
              <w:t>8 (original 5)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C5" w:rsidRPr="0083161E" w:rsidRDefault="00B63DC5" w:rsidP="00515E9E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Both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C5" w:rsidRPr="0083161E" w:rsidRDefault="00B63DC5" w:rsidP="00515E9E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Non-contiguous</w:t>
            </w:r>
            <w:r>
              <w:rPr>
                <w:rFonts w:ascii="Arial" w:eastAsiaTheme="minorEastAsia" w:hAnsi="Arial" w:cs="Arial"/>
              </w:rPr>
              <w:t xml:space="preserve"> </w:t>
            </w:r>
            <w:r w:rsidRPr="00237E6A">
              <w:rPr>
                <w:rFonts w:ascii="Arial" w:eastAsiaTheme="minorEastAsia" w:hAnsi="Arial" w:cs="Arial"/>
                <w:color w:val="FF0000"/>
              </w:rPr>
              <w:t>(without new capability)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C5" w:rsidRPr="0083161E" w:rsidRDefault="00B63DC5" w:rsidP="00515E9E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 w:line="252" w:lineRule="auto"/>
              <w:ind w:left="152" w:hanging="152"/>
              <w:contextualSpacing w:val="0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Contiguous/Non-contiguous</w:t>
            </w:r>
          </w:p>
          <w:p w:rsidR="00B63DC5" w:rsidRPr="0083161E" w:rsidRDefault="00B63DC5" w:rsidP="00515E9E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 w:line="252" w:lineRule="auto"/>
              <w:ind w:left="152" w:hanging="152"/>
              <w:contextualSpacing w:val="0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Non-contiguous/Non-contiguous</w:t>
            </w:r>
          </w:p>
        </w:tc>
      </w:tr>
      <w:tr w:rsidR="00B63DC5" w:rsidRPr="0083161E" w:rsidTr="00515E9E">
        <w:trPr>
          <w:trHeight w:val="111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C5" w:rsidRPr="0083161E" w:rsidRDefault="00B63DC5" w:rsidP="00515E9E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9 (original 7)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C5" w:rsidRPr="0083161E" w:rsidRDefault="00B63DC5" w:rsidP="00515E9E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Both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C5" w:rsidRPr="0083161E" w:rsidRDefault="00B63DC5" w:rsidP="00515E9E">
            <w:pPr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Both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C5" w:rsidRPr="0083161E" w:rsidRDefault="00B63DC5" w:rsidP="00515E9E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/>
              <w:ind w:left="153" w:hanging="153"/>
              <w:contextualSpacing w:val="0"/>
              <w:jc w:val="both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Contiguous/Contiguous</w:t>
            </w:r>
          </w:p>
          <w:p w:rsidR="00B63DC5" w:rsidRPr="0083161E" w:rsidRDefault="00B63DC5" w:rsidP="00515E9E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/>
              <w:ind w:left="153" w:hanging="153"/>
              <w:contextualSpacing w:val="0"/>
              <w:jc w:val="both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Non-contiguous/Non-contiguous</w:t>
            </w:r>
          </w:p>
          <w:p w:rsidR="00B63DC5" w:rsidRPr="0083161E" w:rsidRDefault="00B63DC5" w:rsidP="00515E9E">
            <w:pPr>
              <w:pStyle w:val="af6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Lines="50" w:after="120"/>
              <w:ind w:left="153" w:hanging="153"/>
              <w:contextualSpacing w:val="0"/>
              <w:jc w:val="both"/>
              <w:textAlignment w:val="auto"/>
              <w:rPr>
                <w:rFonts w:ascii="Arial" w:eastAsiaTheme="minorEastAsia" w:hAnsi="Arial" w:cs="Arial"/>
              </w:rPr>
            </w:pPr>
            <w:r w:rsidRPr="0083161E">
              <w:rPr>
                <w:rFonts w:ascii="Arial" w:eastAsiaTheme="minorEastAsia" w:hAnsi="Arial" w:cs="Arial"/>
              </w:rPr>
              <w:t>Contiguous/Non-contiguous</w:t>
            </w:r>
          </w:p>
        </w:tc>
      </w:tr>
    </w:tbl>
    <w:p w:rsidR="00B63DC5" w:rsidRDefault="00B63DC5" w:rsidP="00B63DC5">
      <w:pPr>
        <w:rPr>
          <w:rFonts w:eastAsiaTheme="minorEastAsia"/>
          <w:b/>
          <w:sz w:val="21"/>
          <w:szCs w:val="21"/>
          <w:lang w:eastAsia="zh-CN"/>
        </w:rPr>
      </w:pPr>
    </w:p>
    <w:p w:rsidR="00B63DC5" w:rsidRPr="00B63DC5" w:rsidRDefault="00B63DC5" w:rsidP="00B63DC5">
      <w:pPr>
        <w:rPr>
          <w:rFonts w:eastAsiaTheme="minorEastAsia"/>
          <w:b/>
          <w:sz w:val="21"/>
          <w:szCs w:val="21"/>
          <w:lang w:eastAsia="zh-CN"/>
        </w:rPr>
      </w:pPr>
      <w:r>
        <w:rPr>
          <w:rFonts w:eastAsiaTheme="minorEastAsia"/>
          <w:b/>
          <w:sz w:val="21"/>
          <w:szCs w:val="21"/>
          <w:lang w:eastAsia="zh-CN"/>
        </w:rPr>
        <w:t>Proposal 5</w:t>
      </w:r>
      <w:r w:rsidRPr="00230FDA">
        <w:rPr>
          <w:rFonts w:eastAsiaTheme="minorEastAsia"/>
          <w:b/>
          <w:sz w:val="21"/>
          <w:szCs w:val="21"/>
          <w:lang w:eastAsia="zh-CN"/>
        </w:rPr>
        <w:t xml:space="preserve">: </w:t>
      </w:r>
      <w:r>
        <w:rPr>
          <w:rFonts w:eastAsiaTheme="minorEastAsia"/>
          <w:b/>
          <w:sz w:val="21"/>
          <w:szCs w:val="21"/>
          <w:lang w:eastAsia="zh-CN"/>
        </w:rPr>
        <w:t xml:space="preserve">If the proposal 4 was confirmed, RAN2 further confirm that </w:t>
      </w:r>
      <w:r w:rsidRPr="00B63DC5">
        <w:rPr>
          <w:rFonts w:eastAsiaTheme="minorEastAsia"/>
          <w:b/>
          <w:sz w:val="21"/>
          <w:szCs w:val="21"/>
          <w:lang w:eastAsia="zh-CN"/>
        </w:rPr>
        <w:t>introduce 1 new capability for the both DL and UL and it’s only used for the case that the non-contiguous was explicitly indicated.</w:t>
      </w:r>
      <w:r>
        <w:rPr>
          <w:rFonts w:eastAsiaTheme="minorEastAsia"/>
          <w:b/>
          <w:sz w:val="21"/>
          <w:szCs w:val="21"/>
          <w:lang w:eastAsia="zh-CN"/>
        </w:rPr>
        <w:t xml:space="preserve"> </w:t>
      </w:r>
    </w:p>
    <w:p w:rsidR="005C51A4" w:rsidRDefault="001670F0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jc w:val="left"/>
        <w:textAlignment w:val="baseline"/>
        <w:rPr>
          <w:rFonts w:cs="Arial"/>
          <w:sz w:val="32"/>
          <w:szCs w:val="36"/>
        </w:rPr>
      </w:pPr>
      <w:r>
        <w:rPr>
          <w:rFonts w:cs="Arial" w:hint="eastAsia"/>
          <w:sz w:val="32"/>
          <w:szCs w:val="36"/>
        </w:rPr>
        <w:t>R</w:t>
      </w:r>
      <w:r>
        <w:rPr>
          <w:rFonts w:cs="Arial"/>
          <w:sz w:val="32"/>
          <w:szCs w:val="36"/>
        </w:rPr>
        <w:t>eference</w:t>
      </w:r>
    </w:p>
    <w:p w:rsidR="005C51A4" w:rsidRDefault="001670F0">
      <w:pPr>
        <w:pStyle w:val="af6"/>
        <w:numPr>
          <w:ilvl w:val="0"/>
          <w:numId w:val="5"/>
        </w:numPr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 xml:space="preserve">R4-2410693 LS on intra-band EN-DC channel spacing  To RAN2  </w:t>
      </w:r>
    </w:p>
    <w:p w:rsidR="00C66959" w:rsidRPr="001303E3" w:rsidRDefault="00C66959">
      <w:pPr>
        <w:pStyle w:val="af6"/>
        <w:numPr>
          <w:ilvl w:val="0"/>
          <w:numId w:val="5"/>
        </w:numPr>
        <w:rPr>
          <w:rFonts w:eastAsiaTheme="minorEastAsia"/>
          <w:sz w:val="21"/>
          <w:szCs w:val="21"/>
          <w:lang w:eastAsia="zh-CN"/>
        </w:rPr>
      </w:pPr>
      <w:r w:rsidRPr="001303E3">
        <w:rPr>
          <w:rFonts w:eastAsiaTheme="minorEastAsia"/>
          <w:sz w:val="21"/>
          <w:szCs w:val="21"/>
          <w:lang w:eastAsia="zh-CN"/>
        </w:rPr>
        <w:t>R4-2414423 R18 Cat-F CR 38.101-3 channel spacing for intra-band EN-DC[Intra-Band_EN-DC_Channelspacing]</w:t>
      </w:r>
    </w:p>
    <w:p w:rsidR="001303E3" w:rsidRDefault="001303E3" w:rsidP="001303E3">
      <w:pPr>
        <w:pStyle w:val="af6"/>
        <w:rPr>
          <w:rFonts w:eastAsiaTheme="minorEastAsia"/>
          <w:sz w:val="21"/>
          <w:szCs w:val="21"/>
          <w:lang w:eastAsia="zh-CN"/>
        </w:rPr>
      </w:pPr>
    </w:p>
    <w:sectPr w:rsidR="001303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6F73" w:rsidRDefault="00AB6F73">
      <w:pPr>
        <w:spacing w:line="240" w:lineRule="auto"/>
      </w:pPr>
      <w:r>
        <w:separator/>
      </w:r>
    </w:p>
  </w:endnote>
  <w:endnote w:type="continuationSeparator" w:id="0">
    <w:p w:rsidR="00AB6F73" w:rsidRDefault="00AB6F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6F73" w:rsidRDefault="00AB6F73">
      <w:pPr>
        <w:spacing w:after="0"/>
      </w:pPr>
      <w:r>
        <w:separator/>
      </w:r>
    </w:p>
  </w:footnote>
  <w:footnote w:type="continuationSeparator" w:id="0">
    <w:p w:rsidR="00AB6F73" w:rsidRDefault="00AB6F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1" type="#_x0000_t75" style="width:11.25pt;height:11.25pt" o:bullet="t">
        <v:imagedata r:id="rId1" o:title=""/>
      </v:shape>
    </w:pict>
  </w:numPicBullet>
  <w:abstractNum w:abstractNumId="0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46E61CA4"/>
    <w:multiLevelType w:val="multilevel"/>
    <w:tmpl w:val="46E61CA4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774205"/>
    <w:multiLevelType w:val="multilevel"/>
    <w:tmpl w:val="48774205"/>
    <w:lvl w:ilvl="0">
      <w:start w:val="1"/>
      <w:numFmt w:val="bullet"/>
      <w:lvlText w:val=""/>
      <w:lvlPicBulletId w:val="0"/>
      <w:lvlJc w:val="left"/>
      <w:pPr>
        <w:ind w:left="149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49632991"/>
    <w:multiLevelType w:val="multilevel"/>
    <w:tmpl w:val="49632991"/>
    <w:lvl w:ilvl="0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0F74EC"/>
    <w:multiLevelType w:val="hybridMultilevel"/>
    <w:tmpl w:val="D1E4A060"/>
    <w:lvl w:ilvl="0" w:tplc="5F06C7A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7A5645F"/>
    <w:multiLevelType w:val="hybridMultilevel"/>
    <w:tmpl w:val="CA106D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469"/>
    <w:rsid w:val="000002BF"/>
    <w:rsid w:val="00000793"/>
    <w:rsid w:val="0000158F"/>
    <w:rsid w:val="00001FFC"/>
    <w:rsid w:val="00004460"/>
    <w:rsid w:val="00004915"/>
    <w:rsid w:val="00010397"/>
    <w:rsid w:val="00010B99"/>
    <w:rsid w:val="00011050"/>
    <w:rsid w:val="000165B8"/>
    <w:rsid w:val="0001752D"/>
    <w:rsid w:val="00017B08"/>
    <w:rsid w:val="00020CEA"/>
    <w:rsid w:val="0002217E"/>
    <w:rsid w:val="00031151"/>
    <w:rsid w:val="000313A0"/>
    <w:rsid w:val="0003387D"/>
    <w:rsid w:val="0003405C"/>
    <w:rsid w:val="00034E06"/>
    <w:rsid w:val="00035667"/>
    <w:rsid w:val="00037CBA"/>
    <w:rsid w:val="000404AD"/>
    <w:rsid w:val="00042DB3"/>
    <w:rsid w:val="000449D7"/>
    <w:rsid w:val="00046665"/>
    <w:rsid w:val="00046996"/>
    <w:rsid w:val="00046D9B"/>
    <w:rsid w:val="0005073F"/>
    <w:rsid w:val="0005183E"/>
    <w:rsid w:val="00052054"/>
    <w:rsid w:val="00054FF0"/>
    <w:rsid w:val="000550B5"/>
    <w:rsid w:val="000553C9"/>
    <w:rsid w:val="00057CE6"/>
    <w:rsid w:val="00065F9F"/>
    <w:rsid w:val="000660A5"/>
    <w:rsid w:val="00070409"/>
    <w:rsid w:val="00071A4E"/>
    <w:rsid w:val="00072753"/>
    <w:rsid w:val="00077225"/>
    <w:rsid w:val="000773E1"/>
    <w:rsid w:val="000773F6"/>
    <w:rsid w:val="00082748"/>
    <w:rsid w:val="000851E4"/>
    <w:rsid w:val="000866AF"/>
    <w:rsid w:val="00086758"/>
    <w:rsid w:val="000869A9"/>
    <w:rsid w:val="00086B70"/>
    <w:rsid w:val="00087FCB"/>
    <w:rsid w:val="000922B7"/>
    <w:rsid w:val="00093188"/>
    <w:rsid w:val="00093960"/>
    <w:rsid w:val="000949D6"/>
    <w:rsid w:val="000968E3"/>
    <w:rsid w:val="0009692F"/>
    <w:rsid w:val="00097CBB"/>
    <w:rsid w:val="000A0685"/>
    <w:rsid w:val="000A29C6"/>
    <w:rsid w:val="000A7566"/>
    <w:rsid w:val="000A79E7"/>
    <w:rsid w:val="000B0032"/>
    <w:rsid w:val="000B1E3F"/>
    <w:rsid w:val="000B4301"/>
    <w:rsid w:val="000B60B3"/>
    <w:rsid w:val="000B7010"/>
    <w:rsid w:val="000C0062"/>
    <w:rsid w:val="000C0B82"/>
    <w:rsid w:val="000C1554"/>
    <w:rsid w:val="000C1596"/>
    <w:rsid w:val="000C68C0"/>
    <w:rsid w:val="000C71DD"/>
    <w:rsid w:val="000C7435"/>
    <w:rsid w:val="000C7499"/>
    <w:rsid w:val="000D359A"/>
    <w:rsid w:val="000D4A1D"/>
    <w:rsid w:val="000D517E"/>
    <w:rsid w:val="000E0E50"/>
    <w:rsid w:val="000E2CE1"/>
    <w:rsid w:val="000E54BB"/>
    <w:rsid w:val="000F2134"/>
    <w:rsid w:val="000F2C66"/>
    <w:rsid w:val="000F3178"/>
    <w:rsid w:val="000F47BB"/>
    <w:rsid w:val="000F480E"/>
    <w:rsid w:val="00100C36"/>
    <w:rsid w:val="0010125D"/>
    <w:rsid w:val="00102FD9"/>
    <w:rsid w:val="00106241"/>
    <w:rsid w:val="00107413"/>
    <w:rsid w:val="00112CA3"/>
    <w:rsid w:val="001140AF"/>
    <w:rsid w:val="001145CD"/>
    <w:rsid w:val="00115184"/>
    <w:rsid w:val="00116469"/>
    <w:rsid w:val="0011676E"/>
    <w:rsid w:val="00120667"/>
    <w:rsid w:val="00121721"/>
    <w:rsid w:val="00123685"/>
    <w:rsid w:val="00126BB0"/>
    <w:rsid w:val="00127444"/>
    <w:rsid w:val="001303E3"/>
    <w:rsid w:val="001325E4"/>
    <w:rsid w:val="001328CE"/>
    <w:rsid w:val="0013327E"/>
    <w:rsid w:val="0013354F"/>
    <w:rsid w:val="0013487A"/>
    <w:rsid w:val="001352A4"/>
    <w:rsid w:val="00137B78"/>
    <w:rsid w:val="00141800"/>
    <w:rsid w:val="0014368D"/>
    <w:rsid w:val="0014495F"/>
    <w:rsid w:val="00146CC5"/>
    <w:rsid w:val="00147293"/>
    <w:rsid w:val="0015037D"/>
    <w:rsid w:val="00151AEA"/>
    <w:rsid w:val="00152D22"/>
    <w:rsid w:val="001531ED"/>
    <w:rsid w:val="0015338D"/>
    <w:rsid w:val="00154011"/>
    <w:rsid w:val="001555F7"/>
    <w:rsid w:val="001578A6"/>
    <w:rsid w:val="00162FA3"/>
    <w:rsid w:val="00166BC5"/>
    <w:rsid w:val="001670F0"/>
    <w:rsid w:val="00167A4E"/>
    <w:rsid w:val="0017009D"/>
    <w:rsid w:val="00172660"/>
    <w:rsid w:val="0017280B"/>
    <w:rsid w:val="00173F86"/>
    <w:rsid w:val="00175394"/>
    <w:rsid w:val="00177486"/>
    <w:rsid w:val="00177767"/>
    <w:rsid w:val="001803B5"/>
    <w:rsid w:val="00180BB3"/>
    <w:rsid w:val="00184B64"/>
    <w:rsid w:val="00187E82"/>
    <w:rsid w:val="00195B73"/>
    <w:rsid w:val="0019619F"/>
    <w:rsid w:val="00196DBE"/>
    <w:rsid w:val="001A135B"/>
    <w:rsid w:val="001A5BDE"/>
    <w:rsid w:val="001A5BE0"/>
    <w:rsid w:val="001A5E78"/>
    <w:rsid w:val="001A6FE3"/>
    <w:rsid w:val="001A789F"/>
    <w:rsid w:val="001A7D77"/>
    <w:rsid w:val="001B0749"/>
    <w:rsid w:val="001B2616"/>
    <w:rsid w:val="001B29F3"/>
    <w:rsid w:val="001B357D"/>
    <w:rsid w:val="001B412F"/>
    <w:rsid w:val="001B47AB"/>
    <w:rsid w:val="001B6DDB"/>
    <w:rsid w:val="001C2F62"/>
    <w:rsid w:val="001C5400"/>
    <w:rsid w:val="001C6BE2"/>
    <w:rsid w:val="001C72F6"/>
    <w:rsid w:val="001C7446"/>
    <w:rsid w:val="001D02BD"/>
    <w:rsid w:val="001D1B96"/>
    <w:rsid w:val="001D23B6"/>
    <w:rsid w:val="001D24A3"/>
    <w:rsid w:val="001D3C21"/>
    <w:rsid w:val="001D3DCF"/>
    <w:rsid w:val="001E197E"/>
    <w:rsid w:val="001E2A36"/>
    <w:rsid w:val="001E435C"/>
    <w:rsid w:val="001E54CD"/>
    <w:rsid w:val="001E5AB3"/>
    <w:rsid w:val="001E71A0"/>
    <w:rsid w:val="001E7359"/>
    <w:rsid w:val="001E7EBA"/>
    <w:rsid w:val="001F0045"/>
    <w:rsid w:val="001F1B30"/>
    <w:rsid w:val="001F458C"/>
    <w:rsid w:val="001F5D94"/>
    <w:rsid w:val="00202026"/>
    <w:rsid w:val="00202E09"/>
    <w:rsid w:val="002037F5"/>
    <w:rsid w:val="00204984"/>
    <w:rsid w:val="00205FF6"/>
    <w:rsid w:val="00206626"/>
    <w:rsid w:val="00206ACD"/>
    <w:rsid w:val="00207134"/>
    <w:rsid w:val="00207802"/>
    <w:rsid w:val="00211535"/>
    <w:rsid w:val="0021241F"/>
    <w:rsid w:val="00213794"/>
    <w:rsid w:val="00213C01"/>
    <w:rsid w:val="00213EE4"/>
    <w:rsid w:val="00217299"/>
    <w:rsid w:val="002175A7"/>
    <w:rsid w:val="00217ED1"/>
    <w:rsid w:val="00220318"/>
    <w:rsid w:val="00220B97"/>
    <w:rsid w:val="00221512"/>
    <w:rsid w:val="002224AB"/>
    <w:rsid w:val="00223A40"/>
    <w:rsid w:val="00225789"/>
    <w:rsid w:val="0022651C"/>
    <w:rsid w:val="00230FDA"/>
    <w:rsid w:val="0023230A"/>
    <w:rsid w:val="002333B0"/>
    <w:rsid w:val="0023392B"/>
    <w:rsid w:val="0023616A"/>
    <w:rsid w:val="002376E3"/>
    <w:rsid w:val="00237E6A"/>
    <w:rsid w:val="0024022B"/>
    <w:rsid w:val="00240285"/>
    <w:rsid w:val="00244E1A"/>
    <w:rsid w:val="00245EA9"/>
    <w:rsid w:val="00251221"/>
    <w:rsid w:val="00252615"/>
    <w:rsid w:val="00252E0E"/>
    <w:rsid w:val="002536BF"/>
    <w:rsid w:val="00254930"/>
    <w:rsid w:val="002567C5"/>
    <w:rsid w:val="00257635"/>
    <w:rsid w:val="00260B72"/>
    <w:rsid w:val="00261014"/>
    <w:rsid w:val="0026184C"/>
    <w:rsid w:val="00261A08"/>
    <w:rsid w:val="00263BED"/>
    <w:rsid w:val="002651D4"/>
    <w:rsid w:val="002655EC"/>
    <w:rsid w:val="0026754C"/>
    <w:rsid w:val="00272314"/>
    <w:rsid w:val="00272382"/>
    <w:rsid w:val="00275A82"/>
    <w:rsid w:val="00275E76"/>
    <w:rsid w:val="00275ECF"/>
    <w:rsid w:val="00283BC0"/>
    <w:rsid w:val="00292A71"/>
    <w:rsid w:val="00292D0C"/>
    <w:rsid w:val="00292F72"/>
    <w:rsid w:val="00297928"/>
    <w:rsid w:val="002A06E8"/>
    <w:rsid w:val="002A08BD"/>
    <w:rsid w:val="002A15E5"/>
    <w:rsid w:val="002A2316"/>
    <w:rsid w:val="002A2835"/>
    <w:rsid w:val="002A4A26"/>
    <w:rsid w:val="002A5583"/>
    <w:rsid w:val="002A7438"/>
    <w:rsid w:val="002A772B"/>
    <w:rsid w:val="002A7830"/>
    <w:rsid w:val="002B00E4"/>
    <w:rsid w:val="002B1833"/>
    <w:rsid w:val="002B2701"/>
    <w:rsid w:val="002B2824"/>
    <w:rsid w:val="002B42E3"/>
    <w:rsid w:val="002B5367"/>
    <w:rsid w:val="002B5973"/>
    <w:rsid w:val="002B6F69"/>
    <w:rsid w:val="002B7846"/>
    <w:rsid w:val="002C01D6"/>
    <w:rsid w:val="002C31B2"/>
    <w:rsid w:val="002C3AD1"/>
    <w:rsid w:val="002C5626"/>
    <w:rsid w:val="002C66AE"/>
    <w:rsid w:val="002C6995"/>
    <w:rsid w:val="002C6BEF"/>
    <w:rsid w:val="002C75A2"/>
    <w:rsid w:val="002D0A8F"/>
    <w:rsid w:val="002D565F"/>
    <w:rsid w:val="002D58EC"/>
    <w:rsid w:val="002E03AF"/>
    <w:rsid w:val="002E2249"/>
    <w:rsid w:val="002E2520"/>
    <w:rsid w:val="002E2B6C"/>
    <w:rsid w:val="002F0B74"/>
    <w:rsid w:val="002F232E"/>
    <w:rsid w:val="002F2AA1"/>
    <w:rsid w:val="0030086D"/>
    <w:rsid w:val="00302EFF"/>
    <w:rsid w:val="003051E4"/>
    <w:rsid w:val="00307116"/>
    <w:rsid w:val="00310B76"/>
    <w:rsid w:val="00311077"/>
    <w:rsid w:val="003110A0"/>
    <w:rsid w:val="00312CAE"/>
    <w:rsid w:val="00312EE9"/>
    <w:rsid w:val="00317B24"/>
    <w:rsid w:val="003222C5"/>
    <w:rsid w:val="003224BE"/>
    <w:rsid w:val="00323491"/>
    <w:rsid w:val="00326354"/>
    <w:rsid w:val="00330074"/>
    <w:rsid w:val="003307E3"/>
    <w:rsid w:val="00331F95"/>
    <w:rsid w:val="00332BFC"/>
    <w:rsid w:val="00334917"/>
    <w:rsid w:val="00334C68"/>
    <w:rsid w:val="003358DC"/>
    <w:rsid w:val="00336ECB"/>
    <w:rsid w:val="00336ED1"/>
    <w:rsid w:val="003379A5"/>
    <w:rsid w:val="00341538"/>
    <w:rsid w:val="00343BE2"/>
    <w:rsid w:val="0034419E"/>
    <w:rsid w:val="0034587F"/>
    <w:rsid w:val="00347DD9"/>
    <w:rsid w:val="00353C4A"/>
    <w:rsid w:val="00355ED4"/>
    <w:rsid w:val="00356EBF"/>
    <w:rsid w:val="00364314"/>
    <w:rsid w:val="00364B55"/>
    <w:rsid w:val="00365DF9"/>
    <w:rsid w:val="00374185"/>
    <w:rsid w:val="00377267"/>
    <w:rsid w:val="00377CE4"/>
    <w:rsid w:val="00377E38"/>
    <w:rsid w:val="003837EA"/>
    <w:rsid w:val="003838EE"/>
    <w:rsid w:val="003841F5"/>
    <w:rsid w:val="00384337"/>
    <w:rsid w:val="003852F9"/>
    <w:rsid w:val="00390C7A"/>
    <w:rsid w:val="00391F09"/>
    <w:rsid w:val="00392AF9"/>
    <w:rsid w:val="003935ED"/>
    <w:rsid w:val="0039362C"/>
    <w:rsid w:val="00395677"/>
    <w:rsid w:val="00396A45"/>
    <w:rsid w:val="003A0CB3"/>
    <w:rsid w:val="003A30E7"/>
    <w:rsid w:val="003A5916"/>
    <w:rsid w:val="003A6263"/>
    <w:rsid w:val="003A7CDB"/>
    <w:rsid w:val="003A7D67"/>
    <w:rsid w:val="003B17A5"/>
    <w:rsid w:val="003B39E3"/>
    <w:rsid w:val="003C04B4"/>
    <w:rsid w:val="003C1F27"/>
    <w:rsid w:val="003C261A"/>
    <w:rsid w:val="003C2FE3"/>
    <w:rsid w:val="003C44CF"/>
    <w:rsid w:val="003C68BA"/>
    <w:rsid w:val="003D29FC"/>
    <w:rsid w:val="003D34AE"/>
    <w:rsid w:val="003D35B6"/>
    <w:rsid w:val="003D35FC"/>
    <w:rsid w:val="003D74FA"/>
    <w:rsid w:val="003E22FF"/>
    <w:rsid w:val="003E30BE"/>
    <w:rsid w:val="003E311D"/>
    <w:rsid w:val="003E3203"/>
    <w:rsid w:val="003E3D2F"/>
    <w:rsid w:val="003F0FEA"/>
    <w:rsid w:val="003F1B46"/>
    <w:rsid w:val="003F2690"/>
    <w:rsid w:val="004021F9"/>
    <w:rsid w:val="00403AAD"/>
    <w:rsid w:val="00403C3A"/>
    <w:rsid w:val="00404661"/>
    <w:rsid w:val="0040607F"/>
    <w:rsid w:val="004063FE"/>
    <w:rsid w:val="00406979"/>
    <w:rsid w:val="004105BB"/>
    <w:rsid w:val="004117BA"/>
    <w:rsid w:val="00412DB3"/>
    <w:rsid w:val="00413B65"/>
    <w:rsid w:val="004146CD"/>
    <w:rsid w:val="00415B4F"/>
    <w:rsid w:val="00415F9C"/>
    <w:rsid w:val="00416552"/>
    <w:rsid w:val="00421662"/>
    <w:rsid w:val="0042168F"/>
    <w:rsid w:val="004302DF"/>
    <w:rsid w:val="0043152C"/>
    <w:rsid w:val="00432558"/>
    <w:rsid w:val="00436FE5"/>
    <w:rsid w:val="0044050A"/>
    <w:rsid w:val="00440BBA"/>
    <w:rsid w:val="00440C67"/>
    <w:rsid w:val="00442206"/>
    <w:rsid w:val="00442E5B"/>
    <w:rsid w:val="00444772"/>
    <w:rsid w:val="00445632"/>
    <w:rsid w:val="00445B8C"/>
    <w:rsid w:val="004461DD"/>
    <w:rsid w:val="00447978"/>
    <w:rsid w:val="00447A5E"/>
    <w:rsid w:val="00450B9C"/>
    <w:rsid w:val="004517F8"/>
    <w:rsid w:val="00451A7F"/>
    <w:rsid w:val="0045389E"/>
    <w:rsid w:val="00455644"/>
    <w:rsid w:val="00456F09"/>
    <w:rsid w:val="00461316"/>
    <w:rsid w:val="00461321"/>
    <w:rsid w:val="00461412"/>
    <w:rsid w:val="00463208"/>
    <w:rsid w:val="00463933"/>
    <w:rsid w:val="00466246"/>
    <w:rsid w:val="00467616"/>
    <w:rsid w:val="004703FD"/>
    <w:rsid w:val="00470B2A"/>
    <w:rsid w:val="0047174F"/>
    <w:rsid w:val="00474ECE"/>
    <w:rsid w:val="00476EA2"/>
    <w:rsid w:val="00477A5D"/>
    <w:rsid w:val="00477FEF"/>
    <w:rsid w:val="00481E73"/>
    <w:rsid w:val="004825F9"/>
    <w:rsid w:val="00483626"/>
    <w:rsid w:val="00484506"/>
    <w:rsid w:val="00491BB4"/>
    <w:rsid w:val="00492E11"/>
    <w:rsid w:val="00493172"/>
    <w:rsid w:val="00494729"/>
    <w:rsid w:val="00496E89"/>
    <w:rsid w:val="004A04F2"/>
    <w:rsid w:val="004A31BE"/>
    <w:rsid w:val="004A5B86"/>
    <w:rsid w:val="004B165F"/>
    <w:rsid w:val="004B184F"/>
    <w:rsid w:val="004B26FC"/>
    <w:rsid w:val="004B27FD"/>
    <w:rsid w:val="004B28F1"/>
    <w:rsid w:val="004B5555"/>
    <w:rsid w:val="004B5E80"/>
    <w:rsid w:val="004C0281"/>
    <w:rsid w:val="004C45EC"/>
    <w:rsid w:val="004C5A86"/>
    <w:rsid w:val="004C5DCD"/>
    <w:rsid w:val="004D092F"/>
    <w:rsid w:val="004D23B8"/>
    <w:rsid w:val="004D672A"/>
    <w:rsid w:val="004D682C"/>
    <w:rsid w:val="004D77C9"/>
    <w:rsid w:val="004E007D"/>
    <w:rsid w:val="004E34C2"/>
    <w:rsid w:val="004E6444"/>
    <w:rsid w:val="004F0048"/>
    <w:rsid w:val="004F02FD"/>
    <w:rsid w:val="004F07E6"/>
    <w:rsid w:val="004F25AB"/>
    <w:rsid w:val="004F36A1"/>
    <w:rsid w:val="004F4235"/>
    <w:rsid w:val="004F54A2"/>
    <w:rsid w:val="004F566F"/>
    <w:rsid w:val="004F70CB"/>
    <w:rsid w:val="00501C66"/>
    <w:rsid w:val="00503354"/>
    <w:rsid w:val="005042C6"/>
    <w:rsid w:val="005045FF"/>
    <w:rsid w:val="00504619"/>
    <w:rsid w:val="00504BBA"/>
    <w:rsid w:val="005052AF"/>
    <w:rsid w:val="00505C1D"/>
    <w:rsid w:val="00505CE0"/>
    <w:rsid w:val="005071C5"/>
    <w:rsid w:val="00507A63"/>
    <w:rsid w:val="00512F38"/>
    <w:rsid w:val="0051414D"/>
    <w:rsid w:val="005145DD"/>
    <w:rsid w:val="005176D2"/>
    <w:rsid w:val="00517C80"/>
    <w:rsid w:val="005209B6"/>
    <w:rsid w:val="00520FCE"/>
    <w:rsid w:val="005218C4"/>
    <w:rsid w:val="00521C86"/>
    <w:rsid w:val="00522067"/>
    <w:rsid w:val="00523E3A"/>
    <w:rsid w:val="0052449A"/>
    <w:rsid w:val="0052489B"/>
    <w:rsid w:val="005248D7"/>
    <w:rsid w:val="005274B6"/>
    <w:rsid w:val="00532CE2"/>
    <w:rsid w:val="00533461"/>
    <w:rsid w:val="00533F51"/>
    <w:rsid w:val="00535313"/>
    <w:rsid w:val="005374D2"/>
    <w:rsid w:val="00540505"/>
    <w:rsid w:val="005428A3"/>
    <w:rsid w:val="0054341D"/>
    <w:rsid w:val="0054391F"/>
    <w:rsid w:val="005461C3"/>
    <w:rsid w:val="00547719"/>
    <w:rsid w:val="005521A7"/>
    <w:rsid w:val="005538A9"/>
    <w:rsid w:val="00557FF9"/>
    <w:rsid w:val="005601BB"/>
    <w:rsid w:val="00562C10"/>
    <w:rsid w:val="00562D0A"/>
    <w:rsid w:val="00562F1E"/>
    <w:rsid w:val="00563174"/>
    <w:rsid w:val="00563E18"/>
    <w:rsid w:val="005645AC"/>
    <w:rsid w:val="00565BDC"/>
    <w:rsid w:val="00573228"/>
    <w:rsid w:val="0057347F"/>
    <w:rsid w:val="00574EA9"/>
    <w:rsid w:val="005775BD"/>
    <w:rsid w:val="005779F4"/>
    <w:rsid w:val="0058134D"/>
    <w:rsid w:val="005814AE"/>
    <w:rsid w:val="00586041"/>
    <w:rsid w:val="0058651C"/>
    <w:rsid w:val="00591198"/>
    <w:rsid w:val="0059226A"/>
    <w:rsid w:val="00592774"/>
    <w:rsid w:val="00593302"/>
    <w:rsid w:val="005968CF"/>
    <w:rsid w:val="00596DE7"/>
    <w:rsid w:val="005A24FC"/>
    <w:rsid w:val="005B13FF"/>
    <w:rsid w:val="005B14F1"/>
    <w:rsid w:val="005B1B7C"/>
    <w:rsid w:val="005B2D41"/>
    <w:rsid w:val="005B2D7D"/>
    <w:rsid w:val="005B3846"/>
    <w:rsid w:val="005B7ED3"/>
    <w:rsid w:val="005C0913"/>
    <w:rsid w:val="005C3028"/>
    <w:rsid w:val="005C4FA6"/>
    <w:rsid w:val="005C51A4"/>
    <w:rsid w:val="005C605A"/>
    <w:rsid w:val="005C6D6F"/>
    <w:rsid w:val="005C7C41"/>
    <w:rsid w:val="005D0239"/>
    <w:rsid w:val="005D13D2"/>
    <w:rsid w:val="005D26CC"/>
    <w:rsid w:val="005D347C"/>
    <w:rsid w:val="005D6C85"/>
    <w:rsid w:val="005D6E7E"/>
    <w:rsid w:val="005D705F"/>
    <w:rsid w:val="005D791D"/>
    <w:rsid w:val="005D7EE5"/>
    <w:rsid w:val="005E4519"/>
    <w:rsid w:val="005E5740"/>
    <w:rsid w:val="005E7A96"/>
    <w:rsid w:val="005F0967"/>
    <w:rsid w:val="005F5048"/>
    <w:rsid w:val="005F56E0"/>
    <w:rsid w:val="00601A3D"/>
    <w:rsid w:val="006037AD"/>
    <w:rsid w:val="00603D12"/>
    <w:rsid w:val="006056E2"/>
    <w:rsid w:val="00607B46"/>
    <w:rsid w:val="00611675"/>
    <w:rsid w:val="00611AE2"/>
    <w:rsid w:val="00613A33"/>
    <w:rsid w:val="0062032C"/>
    <w:rsid w:val="00621449"/>
    <w:rsid w:val="006221A9"/>
    <w:rsid w:val="0062296F"/>
    <w:rsid w:val="00623198"/>
    <w:rsid w:val="0062422F"/>
    <w:rsid w:val="00642507"/>
    <w:rsid w:val="006439C7"/>
    <w:rsid w:val="00646D17"/>
    <w:rsid w:val="00647342"/>
    <w:rsid w:val="00647E48"/>
    <w:rsid w:val="00653206"/>
    <w:rsid w:val="00653B97"/>
    <w:rsid w:val="00656326"/>
    <w:rsid w:val="00660C5D"/>
    <w:rsid w:val="00661B08"/>
    <w:rsid w:val="006623D8"/>
    <w:rsid w:val="00662BEF"/>
    <w:rsid w:val="00666438"/>
    <w:rsid w:val="0066781B"/>
    <w:rsid w:val="00667B6F"/>
    <w:rsid w:val="00672894"/>
    <w:rsid w:val="0067751B"/>
    <w:rsid w:val="00677A16"/>
    <w:rsid w:val="0068015D"/>
    <w:rsid w:val="006801E9"/>
    <w:rsid w:val="006805A9"/>
    <w:rsid w:val="00680AEA"/>
    <w:rsid w:val="00680E12"/>
    <w:rsid w:val="00681034"/>
    <w:rsid w:val="0068155A"/>
    <w:rsid w:val="00681F40"/>
    <w:rsid w:val="00684182"/>
    <w:rsid w:val="00684FC9"/>
    <w:rsid w:val="00685CD5"/>
    <w:rsid w:val="006870DC"/>
    <w:rsid w:val="00690011"/>
    <w:rsid w:val="006905A1"/>
    <w:rsid w:val="00691E78"/>
    <w:rsid w:val="00695108"/>
    <w:rsid w:val="006A1366"/>
    <w:rsid w:val="006A1439"/>
    <w:rsid w:val="006A384C"/>
    <w:rsid w:val="006A3A81"/>
    <w:rsid w:val="006A5E2D"/>
    <w:rsid w:val="006B02A6"/>
    <w:rsid w:val="006B0A40"/>
    <w:rsid w:val="006B0E7D"/>
    <w:rsid w:val="006B1CF9"/>
    <w:rsid w:val="006B2DC0"/>
    <w:rsid w:val="006B7AD6"/>
    <w:rsid w:val="006C2A26"/>
    <w:rsid w:val="006C39CA"/>
    <w:rsid w:val="006C3CCF"/>
    <w:rsid w:val="006C4238"/>
    <w:rsid w:val="006C45D7"/>
    <w:rsid w:val="006C653E"/>
    <w:rsid w:val="006C7868"/>
    <w:rsid w:val="006D4DA2"/>
    <w:rsid w:val="006D53E3"/>
    <w:rsid w:val="006D5971"/>
    <w:rsid w:val="006D6113"/>
    <w:rsid w:val="006D646B"/>
    <w:rsid w:val="006D6559"/>
    <w:rsid w:val="006E05BD"/>
    <w:rsid w:val="006E0FFB"/>
    <w:rsid w:val="006E110D"/>
    <w:rsid w:val="006E3553"/>
    <w:rsid w:val="006E35FE"/>
    <w:rsid w:val="006E44A3"/>
    <w:rsid w:val="006F0348"/>
    <w:rsid w:val="006F1834"/>
    <w:rsid w:val="006F3D0B"/>
    <w:rsid w:val="006F4024"/>
    <w:rsid w:val="006F4903"/>
    <w:rsid w:val="006F6101"/>
    <w:rsid w:val="006F6C23"/>
    <w:rsid w:val="006F7DA9"/>
    <w:rsid w:val="007009AC"/>
    <w:rsid w:val="0070133A"/>
    <w:rsid w:val="00704012"/>
    <w:rsid w:val="0070648E"/>
    <w:rsid w:val="00707712"/>
    <w:rsid w:val="00710FD8"/>
    <w:rsid w:val="00710FE8"/>
    <w:rsid w:val="007140D7"/>
    <w:rsid w:val="00715078"/>
    <w:rsid w:val="00715295"/>
    <w:rsid w:val="00716696"/>
    <w:rsid w:val="00717D3E"/>
    <w:rsid w:val="00720B23"/>
    <w:rsid w:val="0072431D"/>
    <w:rsid w:val="007307D9"/>
    <w:rsid w:val="0073164F"/>
    <w:rsid w:val="00731E1B"/>
    <w:rsid w:val="007324FC"/>
    <w:rsid w:val="00733A52"/>
    <w:rsid w:val="00735F2C"/>
    <w:rsid w:val="00736825"/>
    <w:rsid w:val="0073755A"/>
    <w:rsid w:val="00740BA4"/>
    <w:rsid w:val="007505DB"/>
    <w:rsid w:val="0075305D"/>
    <w:rsid w:val="00753127"/>
    <w:rsid w:val="00755F6C"/>
    <w:rsid w:val="00756226"/>
    <w:rsid w:val="00760742"/>
    <w:rsid w:val="00760D2A"/>
    <w:rsid w:val="0076156D"/>
    <w:rsid w:val="00764485"/>
    <w:rsid w:val="0076616B"/>
    <w:rsid w:val="00766633"/>
    <w:rsid w:val="00766851"/>
    <w:rsid w:val="00766989"/>
    <w:rsid w:val="00766B0E"/>
    <w:rsid w:val="0076724D"/>
    <w:rsid w:val="007673EF"/>
    <w:rsid w:val="00770048"/>
    <w:rsid w:val="0077647C"/>
    <w:rsid w:val="007801DD"/>
    <w:rsid w:val="007837E0"/>
    <w:rsid w:val="00787672"/>
    <w:rsid w:val="00787767"/>
    <w:rsid w:val="007909A0"/>
    <w:rsid w:val="00793D99"/>
    <w:rsid w:val="00794F0A"/>
    <w:rsid w:val="00796941"/>
    <w:rsid w:val="00797525"/>
    <w:rsid w:val="00797D63"/>
    <w:rsid w:val="007A3CBC"/>
    <w:rsid w:val="007A5A5F"/>
    <w:rsid w:val="007A5A66"/>
    <w:rsid w:val="007B0E00"/>
    <w:rsid w:val="007B24BE"/>
    <w:rsid w:val="007B3F40"/>
    <w:rsid w:val="007B47D3"/>
    <w:rsid w:val="007B4DDF"/>
    <w:rsid w:val="007B54DD"/>
    <w:rsid w:val="007B6A70"/>
    <w:rsid w:val="007B72C6"/>
    <w:rsid w:val="007C317F"/>
    <w:rsid w:val="007C508C"/>
    <w:rsid w:val="007C7B54"/>
    <w:rsid w:val="007D173A"/>
    <w:rsid w:val="007D1A52"/>
    <w:rsid w:val="007D5B4A"/>
    <w:rsid w:val="007D689C"/>
    <w:rsid w:val="007E13C4"/>
    <w:rsid w:val="007F27EF"/>
    <w:rsid w:val="007F2FF4"/>
    <w:rsid w:val="007F44AE"/>
    <w:rsid w:val="007F4A70"/>
    <w:rsid w:val="007F4E68"/>
    <w:rsid w:val="007F600B"/>
    <w:rsid w:val="007F74B6"/>
    <w:rsid w:val="0080068D"/>
    <w:rsid w:val="00801863"/>
    <w:rsid w:val="008039DD"/>
    <w:rsid w:val="0080606F"/>
    <w:rsid w:val="00810638"/>
    <w:rsid w:val="0081103A"/>
    <w:rsid w:val="0081271D"/>
    <w:rsid w:val="008137A0"/>
    <w:rsid w:val="00815A27"/>
    <w:rsid w:val="008176A0"/>
    <w:rsid w:val="008205F2"/>
    <w:rsid w:val="0082097F"/>
    <w:rsid w:val="00822D7B"/>
    <w:rsid w:val="0082376A"/>
    <w:rsid w:val="008266A3"/>
    <w:rsid w:val="00834EF6"/>
    <w:rsid w:val="00836229"/>
    <w:rsid w:val="00840B20"/>
    <w:rsid w:val="0085077E"/>
    <w:rsid w:val="00850876"/>
    <w:rsid w:val="00851DE6"/>
    <w:rsid w:val="00852E35"/>
    <w:rsid w:val="00860C54"/>
    <w:rsid w:val="0086169A"/>
    <w:rsid w:val="0086197E"/>
    <w:rsid w:val="00861C36"/>
    <w:rsid w:val="00864F95"/>
    <w:rsid w:val="008650E2"/>
    <w:rsid w:val="00865937"/>
    <w:rsid w:val="0086690A"/>
    <w:rsid w:val="00866AA8"/>
    <w:rsid w:val="0087081E"/>
    <w:rsid w:val="008719CE"/>
    <w:rsid w:val="00871E7F"/>
    <w:rsid w:val="008732FE"/>
    <w:rsid w:val="008747A3"/>
    <w:rsid w:val="00874ABB"/>
    <w:rsid w:val="00877668"/>
    <w:rsid w:val="008779FF"/>
    <w:rsid w:val="00877E79"/>
    <w:rsid w:val="00880D3B"/>
    <w:rsid w:val="00881D91"/>
    <w:rsid w:val="0088229F"/>
    <w:rsid w:val="00883DCF"/>
    <w:rsid w:val="008901FC"/>
    <w:rsid w:val="008904D2"/>
    <w:rsid w:val="00891826"/>
    <w:rsid w:val="00892CD0"/>
    <w:rsid w:val="00893811"/>
    <w:rsid w:val="00893855"/>
    <w:rsid w:val="0089626B"/>
    <w:rsid w:val="00896C02"/>
    <w:rsid w:val="0089741D"/>
    <w:rsid w:val="008A0C1D"/>
    <w:rsid w:val="008A48B7"/>
    <w:rsid w:val="008A5339"/>
    <w:rsid w:val="008A7450"/>
    <w:rsid w:val="008B28C3"/>
    <w:rsid w:val="008B2CB6"/>
    <w:rsid w:val="008B315F"/>
    <w:rsid w:val="008B3CE4"/>
    <w:rsid w:val="008B5221"/>
    <w:rsid w:val="008B5730"/>
    <w:rsid w:val="008C2302"/>
    <w:rsid w:val="008C2D34"/>
    <w:rsid w:val="008C65E9"/>
    <w:rsid w:val="008C6C42"/>
    <w:rsid w:val="008D0111"/>
    <w:rsid w:val="008D09A2"/>
    <w:rsid w:val="008D21D9"/>
    <w:rsid w:val="008D2E4B"/>
    <w:rsid w:val="008D66F2"/>
    <w:rsid w:val="008D704E"/>
    <w:rsid w:val="008D761A"/>
    <w:rsid w:val="008E0909"/>
    <w:rsid w:val="008E0A85"/>
    <w:rsid w:val="008E10E7"/>
    <w:rsid w:val="008E1131"/>
    <w:rsid w:val="008E130F"/>
    <w:rsid w:val="008E15AF"/>
    <w:rsid w:val="008E1D0C"/>
    <w:rsid w:val="008E208F"/>
    <w:rsid w:val="008E2DFF"/>
    <w:rsid w:val="008E49D5"/>
    <w:rsid w:val="008E61C0"/>
    <w:rsid w:val="008E6237"/>
    <w:rsid w:val="008E6577"/>
    <w:rsid w:val="008E67F7"/>
    <w:rsid w:val="008E7D8D"/>
    <w:rsid w:val="008F068E"/>
    <w:rsid w:val="008F3A63"/>
    <w:rsid w:val="008F5A23"/>
    <w:rsid w:val="008F7EFC"/>
    <w:rsid w:val="009017D4"/>
    <w:rsid w:val="0090280A"/>
    <w:rsid w:val="00902BB4"/>
    <w:rsid w:val="00903DA7"/>
    <w:rsid w:val="00904DF4"/>
    <w:rsid w:val="00905FAB"/>
    <w:rsid w:val="009064EB"/>
    <w:rsid w:val="00913601"/>
    <w:rsid w:val="00914598"/>
    <w:rsid w:val="009200AA"/>
    <w:rsid w:val="009202B2"/>
    <w:rsid w:val="00920A69"/>
    <w:rsid w:val="009223C7"/>
    <w:rsid w:val="00922544"/>
    <w:rsid w:val="0092772F"/>
    <w:rsid w:val="00931421"/>
    <w:rsid w:val="00933027"/>
    <w:rsid w:val="00933FCD"/>
    <w:rsid w:val="009353B3"/>
    <w:rsid w:val="0093796F"/>
    <w:rsid w:val="009448CF"/>
    <w:rsid w:val="00946FCE"/>
    <w:rsid w:val="00951389"/>
    <w:rsid w:val="00952C3A"/>
    <w:rsid w:val="00954387"/>
    <w:rsid w:val="0095464F"/>
    <w:rsid w:val="0095619C"/>
    <w:rsid w:val="00956C40"/>
    <w:rsid w:val="00957F07"/>
    <w:rsid w:val="00957F0F"/>
    <w:rsid w:val="00960475"/>
    <w:rsid w:val="00962E6B"/>
    <w:rsid w:val="00963C5D"/>
    <w:rsid w:val="009642D6"/>
    <w:rsid w:val="00964541"/>
    <w:rsid w:val="00964E04"/>
    <w:rsid w:val="00965E7C"/>
    <w:rsid w:val="00967685"/>
    <w:rsid w:val="0097059F"/>
    <w:rsid w:val="00971116"/>
    <w:rsid w:val="00971FEA"/>
    <w:rsid w:val="00972FDE"/>
    <w:rsid w:val="009730EE"/>
    <w:rsid w:val="00973D2C"/>
    <w:rsid w:val="00980E73"/>
    <w:rsid w:val="0098189C"/>
    <w:rsid w:val="00981A37"/>
    <w:rsid w:val="00982453"/>
    <w:rsid w:val="0098317F"/>
    <w:rsid w:val="009840D6"/>
    <w:rsid w:val="00986688"/>
    <w:rsid w:val="00987E45"/>
    <w:rsid w:val="00987E73"/>
    <w:rsid w:val="00990BA8"/>
    <w:rsid w:val="00994043"/>
    <w:rsid w:val="00994510"/>
    <w:rsid w:val="00995669"/>
    <w:rsid w:val="00996DA9"/>
    <w:rsid w:val="009A192C"/>
    <w:rsid w:val="009A1B72"/>
    <w:rsid w:val="009A5806"/>
    <w:rsid w:val="009A6629"/>
    <w:rsid w:val="009A677D"/>
    <w:rsid w:val="009A772B"/>
    <w:rsid w:val="009B1B69"/>
    <w:rsid w:val="009B28E6"/>
    <w:rsid w:val="009B360B"/>
    <w:rsid w:val="009B5C74"/>
    <w:rsid w:val="009C03CE"/>
    <w:rsid w:val="009C28E4"/>
    <w:rsid w:val="009C57EE"/>
    <w:rsid w:val="009E0EB8"/>
    <w:rsid w:val="009E1AD8"/>
    <w:rsid w:val="009E22FE"/>
    <w:rsid w:val="009F55D1"/>
    <w:rsid w:val="009F5ACC"/>
    <w:rsid w:val="00A02AA3"/>
    <w:rsid w:val="00A03A4B"/>
    <w:rsid w:val="00A04C9C"/>
    <w:rsid w:val="00A05393"/>
    <w:rsid w:val="00A10536"/>
    <w:rsid w:val="00A111DD"/>
    <w:rsid w:val="00A11C54"/>
    <w:rsid w:val="00A11C7C"/>
    <w:rsid w:val="00A13B35"/>
    <w:rsid w:val="00A143DE"/>
    <w:rsid w:val="00A16041"/>
    <w:rsid w:val="00A2050C"/>
    <w:rsid w:val="00A21442"/>
    <w:rsid w:val="00A22455"/>
    <w:rsid w:val="00A2297F"/>
    <w:rsid w:val="00A30E39"/>
    <w:rsid w:val="00A30FAD"/>
    <w:rsid w:val="00A3267F"/>
    <w:rsid w:val="00A33BB9"/>
    <w:rsid w:val="00A3463E"/>
    <w:rsid w:val="00A36078"/>
    <w:rsid w:val="00A36230"/>
    <w:rsid w:val="00A372EE"/>
    <w:rsid w:val="00A3775F"/>
    <w:rsid w:val="00A4351A"/>
    <w:rsid w:val="00A46408"/>
    <w:rsid w:val="00A46EC8"/>
    <w:rsid w:val="00A54B19"/>
    <w:rsid w:val="00A553E1"/>
    <w:rsid w:val="00A57656"/>
    <w:rsid w:val="00A60FA3"/>
    <w:rsid w:val="00A6279A"/>
    <w:rsid w:val="00A63EDE"/>
    <w:rsid w:val="00A64AD0"/>
    <w:rsid w:val="00A67614"/>
    <w:rsid w:val="00A71151"/>
    <w:rsid w:val="00A766B5"/>
    <w:rsid w:val="00A768ED"/>
    <w:rsid w:val="00A82433"/>
    <w:rsid w:val="00A85F1D"/>
    <w:rsid w:val="00A86398"/>
    <w:rsid w:val="00A87393"/>
    <w:rsid w:val="00A90306"/>
    <w:rsid w:val="00A92E7D"/>
    <w:rsid w:val="00A9398F"/>
    <w:rsid w:val="00A943F5"/>
    <w:rsid w:val="00A94495"/>
    <w:rsid w:val="00A955AC"/>
    <w:rsid w:val="00AA0B21"/>
    <w:rsid w:val="00AA3FCF"/>
    <w:rsid w:val="00AA53D2"/>
    <w:rsid w:val="00AA7517"/>
    <w:rsid w:val="00AA7599"/>
    <w:rsid w:val="00AB0644"/>
    <w:rsid w:val="00AB0BA7"/>
    <w:rsid w:val="00AB0C7A"/>
    <w:rsid w:val="00AB1A5A"/>
    <w:rsid w:val="00AB3AB4"/>
    <w:rsid w:val="00AB6F73"/>
    <w:rsid w:val="00AC13C5"/>
    <w:rsid w:val="00AC1B5F"/>
    <w:rsid w:val="00AC21B1"/>
    <w:rsid w:val="00AC2758"/>
    <w:rsid w:val="00AC67F5"/>
    <w:rsid w:val="00AC6E9A"/>
    <w:rsid w:val="00AD11D6"/>
    <w:rsid w:val="00AD1469"/>
    <w:rsid w:val="00AD1E05"/>
    <w:rsid w:val="00AD2EDB"/>
    <w:rsid w:val="00AD31F3"/>
    <w:rsid w:val="00AD377A"/>
    <w:rsid w:val="00AD4541"/>
    <w:rsid w:val="00AD6E74"/>
    <w:rsid w:val="00AD73EC"/>
    <w:rsid w:val="00AD7A51"/>
    <w:rsid w:val="00AE0787"/>
    <w:rsid w:val="00AE0B6E"/>
    <w:rsid w:val="00AE1082"/>
    <w:rsid w:val="00AE16FD"/>
    <w:rsid w:val="00AE1BC7"/>
    <w:rsid w:val="00AE33E6"/>
    <w:rsid w:val="00AF1B00"/>
    <w:rsid w:val="00AF3D18"/>
    <w:rsid w:val="00AF4472"/>
    <w:rsid w:val="00AF6D5F"/>
    <w:rsid w:val="00AF730E"/>
    <w:rsid w:val="00B0274E"/>
    <w:rsid w:val="00B0370C"/>
    <w:rsid w:val="00B04D20"/>
    <w:rsid w:val="00B05835"/>
    <w:rsid w:val="00B066D2"/>
    <w:rsid w:val="00B07BBE"/>
    <w:rsid w:val="00B07D40"/>
    <w:rsid w:val="00B1034D"/>
    <w:rsid w:val="00B1223B"/>
    <w:rsid w:val="00B138CA"/>
    <w:rsid w:val="00B21A8B"/>
    <w:rsid w:val="00B22974"/>
    <w:rsid w:val="00B23441"/>
    <w:rsid w:val="00B23B51"/>
    <w:rsid w:val="00B2495E"/>
    <w:rsid w:val="00B269B5"/>
    <w:rsid w:val="00B26A54"/>
    <w:rsid w:val="00B30512"/>
    <w:rsid w:val="00B30742"/>
    <w:rsid w:val="00B3361C"/>
    <w:rsid w:val="00B33A3F"/>
    <w:rsid w:val="00B34219"/>
    <w:rsid w:val="00B40C6D"/>
    <w:rsid w:val="00B44DE8"/>
    <w:rsid w:val="00B4609F"/>
    <w:rsid w:val="00B51ADC"/>
    <w:rsid w:val="00B5272C"/>
    <w:rsid w:val="00B53911"/>
    <w:rsid w:val="00B556D1"/>
    <w:rsid w:val="00B57D2E"/>
    <w:rsid w:val="00B63B97"/>
    <w:rsid w:val="00B63DC5"/>
    <w:rsid w:val="00B6401A"/>
    <w:rsid w:val="00B64F74"/>
    <w:rsid w:val="00B65491"/>
    <w:rsid w:val="00B6564B"/>
    <w:rsid w:val="00B665F4"/>
    <w:rsid w:val="00B6713A"/>
    <w:rsid w:val="00B67E5E"/>
    <w:rsid w:val="00B71D94"/>
    <w:rsid w:val="00B7554E"/>
    <w:rsid w:val="00B7685C"/>
    <w:rsid w:val="00B815D6"/>
    <w:rsid w:val="00B816C2"/>
    <w:rsid w:val="00B85840"/>
    <w:rsid w:val="00B87AFF"/>
    <w:rsid w:val="00B87E1B"/>
    <w:rsid w:val="00B90673"/>
    <w:rsid w:val="00B90B76"/>
    <w:rsid w:val="00B913E9"/>
    <w:rsid w:val="00B9230A"/>
    <w:rsid w:val="00B97562"/>
    <w:rsid w:val="00BA493F"/>
    <w:rsid w:val="00BA57E9"/>
    <w:rsid w:val="00BB046B"/>
    <w:rsid w:val="00BB11FB"/>
    <w:rsid w:val="00BB20A6"/>
    <w:rsid w:val="00BB4777"/>
    <w:rsid w:val="00BB4D7C"/>
    <w:rsid w:val="00BB4D94"/>
    <w:rsid w:val="00BB5243"/>
    <w:rsid w:val="00BB6DE5"/>
    <w:rsid w:val="00BB7990"/>
    <w:rsid w:val="00BB7CBC"/>
    <w:rsid w:val="00BC105B"/>
    <w:rsid w:val="00BC2F5D"/>
    <w:rsid w:val="00BC45C7"/>
    <w:rsid w:val="00BC48F7"/>
    <w:rsid w:val="00BC611D"/>
    <w:rsid w:val="00BC7E7B"/>
    <w:rsid w:val="00BD13FD"/>
    <w:rsid w:val="00BD170E"/>
    <w:rsid w:val="00BD291B"/>
    <w:rsid w:val="00BD445A"/>
    <w:rsid w:val="00BD4E03"/>
    <w:rsid w:val="00BD54CF"/>
    <w:rsid w:val="00BD573A"/>
    <w:rsid w:val="00BD7547"/>
    <w:rsid w:val="00BE3953"/>
    <w:rsid w:val="00BE675E"/>
    <w:rsid w:val="00BE6D3E"/>
    <w:rsid w:val="00BF1A9B"/>
    <w:rsid w:val="00BF308C"/>
    <w:rsid w:val="00BF54C4"/>
    <w:rsid w:val="00BF6807"/>
    <w:rsid w:val="00C00FD1"/>
    <w:rsid w:val="00C00FD5"/>
    <w:rsid w:val="00C01B10"/>
    <w:rsid w:val="00C0501C"/>
    <w:rsid w:val="00C056CA"/>
    <w:rsid w:val="00C116AD"/>
    <w:rsid w:val="00C1775B"/>
    <w:rsid w:val="00C20744"/>
    <w:rsid w:val="00C20A61"/>
    <w:rsid w:val="00C230A7"/>
    <w:rsid w:val="00C24BBE"/>
    <w:rsid w:val="00C27B91"/>
    <w:rsid w:val="00C30DBE"/>
    <w:rsid w:val="00C44B38"/>
    <w:rsid w:val="00C46F42"/>
    <w:rsid w:val="00C4708E"/>
    <w:rsid w:val="00C509C6"/>
    <w:rsid w:val="00C5392A"/>
    <w:rsid w:val="00C54D71"/>
    <w:rsid w:val="00C576A3"/>
    <w:rsid w:val="00C60810"/>
    <w:rsid w:val="00C60B00"/>
    <w:rsid w:val="00C62358"/>
    <w:rsid w:val="00C65845"/>
    <w:rsid w:val="00C6684D"/>
    <w:rsid w:val="00C66959"/>
    <w:rsid w:val="00C71AAB"/>
    <w:rsid w:val="00C72533"/>
    <w:rsid w:val="00C75132"/>
    <w:rsid w:val="00C76F1E"/>
    <w:rsid w:val="00C76F84"/>
    <w:rsid w:val="00C80184"/>
    <w:rsid w:val="00C80244"/>
    <w:rsid w:val="00C8081A"/>
    <w:rsid w:val="00C814CE"/>
    <w:rsid w:val="00C81581"/>
    <w:rsid w:val="00C83A94"/>
    <w:rsid w:val="00C86172"/>
    <w:rsid w:val="00C86B28"/>
    <w:rsid w:val="00C90398"/>
    <w:rsid w:val="00C9209C"/>
    <w:rsid w:val="00C9280F"/>
    <w:rsid w:val="00C92A33"/>
    <w:rsid w:val="00C967EA"/>
    <w:rsid w:val="00C978AA"/>
    <w:rsid w:val="00C9793C"/>
    <w:rsid w:val="00C97E22"/>
    <w:rsid w:val="00CA03D5"/>
    <w:rsid w:val="00CA23B3"/>
    <w:rsid w:val="00CA2BAF"/>
    <w:rsid w:val="00CA3A29"/>
    <w:rsid w:val="00CA3FA7"/>
    <w:rsid w:val="00CA504E"/>
    <w:rsid w:val="00CA5359"/>
    <w:rsid w:val="00CA667C"/>
    <w:rsid w:val="00CB35E3"/>
    <w:rsid w:val="00CB3ADF"/>
    <w:rsid w:val="00CB444E"/>
    <w:rsid w:val="00CB5EF4"/>
    <w:rsid w:val="00CB6A2E"/>
    <w:rsid w:val="00CB7049"/>
    <w:rsid w:val="00CC0212"/>
    <w:rsid w:val="00CC0E3A"/>
    <w:rsid w:val="00CC1A66"/>
    <w:rsid w:val="00CC1D2A"/>
    <w:rsid w:val="00CC2C20"/>
    <w:rsid w:val="00CC5641"/>
    <w:rsid w:val="00CC5FA0"/>
    <w:rsid w:val="00CD0695"/>
    <w:rsid w:val="00CD1836"/>
    <w:rsid w:val="00CD21D7"/>
    <w:rsid w:val="00CD30F4"/>
    <w:rsid w:val="00CD78A8"/>
    <w:rsid w:val="00CE1306"/>
    <w:rsid w:val="00CE4E8A"/>
    <w:rsid w:val="00CE5D0E"/>
    <w:rsid w:val="00CF0949"/>
    <w:rsid w:val="00CF1778"/>
    <w:rsid w:val="00CF17C5"/>
    <w:rsid w:val="00CF1D42"/>
    <w:rsid w:val="00CF25A3"/>
    <w:rsid w:val="00CF3E5F"/>
    <w:rsid w:val="00CF5618"/>
    <w:rsid w:val="00CF6CD6"/>
    <w:rsid w:val="00D00A36"/>
    <w:rsid w:val="00D00E77"/>
    <w:rsid w:val="00D0240A"/>
    <w:rsid w:val="00D02610"/>
    <w:rsid w:val="00D026C4"/>
    <w:rsid w:val="00D06640"/>
    <w:rsid w:val="00D11332"/>
    <w:rsid w:val="00D13851"/>
    <w:rsid w:val="00D139FB"/>
    <w:rsid w:val="00D14D7F"/>
    <w:rsid w:val="00D15140"/>
    <w:rsid w:val="00D16E63"/>
    <w:rsid w:val="00D17BA6"/>
    <w:rsid w:val="00D21035"/>
    <w:rsid w:val="00D2106B"/>
    <w:rsid w:val="00D2157E"/>
    <w:rsid w:val="00D23753"/>
    <w:rsid w:val="00D2420B"/>
    <w:rsid w:val="00D25E85"/>
    <w:rsid w:val="00D2623B"/>
    <w:rsid w:val="00D26EC0"/>
    <w:rsid w:val="00D335DE"/>
    <w:rsid w:val="00D37579"/>
    <w:rsid w:val="00D40791"/>
    <w:rsid w:val="00D42178"/>
    <w:rsid w:val="00D42EFA"/>
    <w:rsid w:val="00D444FC"/>
    <w:rsid w:val="00D46348"/>
    <w:rsid w:val="00D46353"/>
    <w:rsid w:val="00D47133"/>
    <w:rsid w:val="00D475E0"/>
    <w:rsid w:val="00D51520"/>
    <w:rsid w:val="00D51879"/>
    <w:rsid w:val="00D542E5"/>
    <w:rsid w:val="00D57621"/>
    <w:rsid w:val="00D57857"/>
    <w:rsid w:val="00D61351"/>
    <w:rsid w:val="00D63377"/>
    <w:rsid w:val="00D63991"/>
    <w:rsid w:val="00D646B4"/>
    <w:rsid w:val="00D64A53"/>
    <w:rsid w:val="00D73B63"/>
    <w:rsid w:val="00D75CFA"/>
    <w:rsid w:val="00D771DF"/>
    <w:rsid w:val="00D776C7"/>
    <w:rsid w:val="00D80DB3"/>
    <w:rsid w:val="00D81BC2"/>
    <w:rsid w:val="00D81D42"/>
    <w:rsid w:val="00D82A59"/>
    <w:rsid w:val="00D82FA4"/>
    <w:rsid w:val="00D835BD"/>
    <w:rsid w:val="00D843F8"/>
    <w:rsid w:val="00D85504"/>
    <w:rsid w:val="00D857E1"/>
    <w:rsid w:val="00D86864"/>
    <w:rsid w:val="00D90A40"/>
    <w:rsid w:val="00D93AF3"/>
    <w:rsid w:val="00D9518B"/>
    <w:rsid w:val="00D9587A"/>
    <w:rsid w:val="00D95E53"/>
    <w:rsid w:val="00D97B11"/>
    <w:rsid w:val="00DB019F"/>
    <w:rsid w:val="00DB3F44"/>
    <w:rsid w:val="00DB459D"/>
    <w:rsid w:val="00DB5FDD"/>
    <w:rsid w:val="00DB7E09"/>
    <w:rsid w:val="00DC1194"/>
    <w:rsid w:val="00DC3B1F"/>
    <w:rsid w:val="00DC4FB2"/>
    <w:rsid w:val="00DC5FEA"/>
    <w:rsid w:val="00DC7415"/>
    <w:rsid w:val="00DC7848"/>
    <w:rsid w:val="00DD0117"/>
    <w:rsid w:val="00DD08D2"/>
    <w:rsid w:val="00DD143A"/>
    <w:rsid w:val="00DD1AA8"/>
    <w:rsid w:val="00DD73B7"/>
    <w:rsid w:val="00DD7C0B"/>
    <w:rsid w:val="00DE0707"/>
    <w:rsid w:val="00DE13FF"/>
    <w:rsid w:val="00DE211E"/>
    <w:rsid w:val="00DE2A4A"/>
    <w:rsid w:val="00DE5E0B"/>
    <w:rsid w:val="00DE6B2F"/>
    <w:rsid w:val="00DF0063"/>
    <w:rsid w:val="00DF0623"/>
    <w:rsid w:val="00DF080B"/>
    <w:rsid w:val="00DF0BC1"/>
    <w:rsid w:val="00DF35C4"/>
    <w:rsid w:val="00DF452B"/>
    <w:rsid w:val="00DF4BBF"/>
    <w:rsid w:val="00DF7008"/>
    <w:rsid w:val="00DF791B"/>
    <w:rsid w:val="00E01830"/>
    <w:rsid w:val="00E03B1F"/>
    <w:rsid w:val="00E04C71"/>
    <w:rsid w:val="00E04CD3"/>
    <w:rsid w:val="00E06238"/>
    <w:rsid w:val="00E06F2A"/>
    <w:rsid w:val="00E1052E"/>
    <w:rsid w:val="00E12236"/>
    <w:rsid w:val="00E152F1"/>
    <w:rsid w:val="00E2026D"/>
    <w:rsid w:val="00E2307D"/>
    <w:rsid w:val="00E235B7"/>
    <w:rsid w:val="00E24E93"/>
    <w:rsid w:val="00E254C5"/>
    <w:rsid w:val="00E2578B"/>
    <w:rsid w:val="00E2585A"/>
    <w:rsid w:val="00E25918"/>
    <w:rsid w:val="00E26267"/>
    <w:rsid w:val="00E2683E"/>
    <w:rsid w:val="00E3001D"/>
    <w:rsid w:val="00E301C2"/>
    <w:rsid w:val="00E31F4D"/>
    <w:rsid w:val="00E3617D"/>
    <w:rsid w:val="00E37091"/>
    <w:rsid w:val="00E40178"/>
    <w:rsid w:val="00E41E7F"/>
    <w:rsid w:val="00E42AA5"/>
    <w:rsid w:val="00E439F3"/>
    <w:rsid w:val="00E4401C"/>
    <w:rsid w:val="00E44094"/>
    <w:rsid w:val="00E44AA4"/>
    <w:rsid w:val="00E450A7"/>
    <w:rsid w:val="00E53B95"/>
    <w:rsid w:val="00E547CF"/>
    <w:rsid w:val="00E56AE1"/>
    <w:rsid w:val="00E571B7"/>
    <w:rsid w:val="00E57BCE"/>
    <w:rsid w:val="00E57E73"/>
    <w:rsid w:val="00E60355"/>
    <w:rsid w:val="00E6195A"/>
    <w:rsid w:val="00E62867"/>
    <w:rsid w:val="00E62C43"/>
    <w:rsid w:val="00E6311C"/>
    <w:rsid w:val="00E63292"/>
    <w:rsid w:val="00E6495E"/>
    <w:rsid w:val="00E65E64"/>
    <w:rsid w:val="00E715A7"/>
    <w:rsid w:val="00E71C50"/>
    <w:rsid w:val="00E722C7"/>
    <w:rsid w:val="00E734CC"/>
    <w:rsid w:val="00E74A83"/>
    <w:rsid w:val="00E74E04"/>
    <w:rsid w:val="00E74F42"/>
    <w:rsid w:val="00E77E7E"/>
    <w:rsid w:val="00E81AD2"/>
    <w:rsid w:val="00E824A6"/>
    <w:rsid w:val="00E828F4"/>
    <w:rsid w:val="00E837F3"/>
    <w:rsid w:val="00E85690"/>
    <w:rsid w:val="00E8618B"/>
    <w:rsid w:val="00E868DE"/>
    <w:rsid w:val="00E86BFA"/>
    <w:rsid w:val="00E8777B"/>
    <w:rsid w:val="00E905C2"/>
    <w:rsid w:val="00E90746"/>
    <w:rsid w:val="00E92082"/>
    <w:rsid w:val="00E93967"/>
    <w:rsid w:val="00EA030F"/>
    <w:rsid w:val="00EA1B4C"/>
    <w:rsid w:val="00EA44DB"/>
    <w:rsid w:val="00EA5AA4"/>
    <w:rsid w:val="00EA5B39"/>
    <w:rsid w:val="00EB02BF"/>
    <w:rsid w:val="00EB0467"/>
    <w:rsid w:val="00EB2262"/>
    <w:rsid w:val="00EB285E"/>
    <w:rsid w:val="00EB4197"/>
    <w:rsid w:val="00EB476C"/>
    <w:rsid w:val="00EB59C6"/>
    <w:rsid w:val="00EB5DCF"/>
    <w:rsid w:val="00EB61D0"/>
    <w:rsid w:val="00EB6CEA"/>
    <w:rsid w:val="00EB7889"/>
    <w:rsid w:val="00EC2A53"/>
    <w:rsid w:val="00EC3710"/>
    <w:rsid w:val="00EC680B"/>
    <w:rsid w:val="00EC70D0"/>
    <w:rsid w:val="00EC744C"/>
    <w:rsid w:val="00ED16CC"/>
    <w:rsid w:val="00ED183B"/>
    <w:rsid w:val="00ED3829"/>
    <w:rsid w:val="00ED3FA0"/>
    <w:rsid w:val="00ED43FE"/>
    <w:rsid w:val="00ED4CE7"/>
    <w:rsid w:val="00ED5A64"/>
    <w:rsid w:val="00ED5FD9"/>
    <w:rsid w:val="00ED7DD4"/>
    <w:rsid w:val="00EE209F"/>
    <w:rsid w:val="00EE24D0"/>
    <w:rsid w:val="00EE3B66"/>
    <w:rsid w:val="00EE5229"/>
    <w:rsid w:val="00EE5C13"/>
    <w:rsid w:val="00EF0239"/>
    <w:rsid w:val="00EF17EA"/>
    <w:rsid w:val="00EF1FAD"/>
    <w:rsid w:val="00EF20C2"/>
    <w:rsid w:val="00EF35CE"/>
    <w:rsid w:val="00EF3D1B"/>
    <w:rsid w:val="00EF472E"/>
    <w:rsid w:val="00EF5563"/>
    <w:rsid w:val="00F04F21"/>
    <w:rsid w:val="00F05360"/>
    <w:rsid w:val="00F054ED"/>
    <w:rsid w:val="00F06E56"/>
    <w:rsid w:val="00F07709"/>
    <w:rsid w:val="00F07CE9"/>
    <w:rsid w:val="00F10286"/>
    <w:rsid w:val="00F120EC"/>
    <w:rsid w:val="00F13433"/>
    <w:rsid w:val="00F13BC2"/>
    <w:rsid w:val="00F21E74"/>
    <w:rsid w:val="00F23CC9"/>
    <w:rsid w:val="00F246DF"/>
    <w:rsid w:val="00F24EF3"/>
    <w:rsid w:val="00F25626"/>
    <w:rsid w:val="00F271FA"/>
    <w:rsid w:val="00F30572"/>
    <w:rsid w:val="00F31446"/>
    <w:rsid w:val="00F37815"/>
    <w:rsid w:val="00F37BCC"/>
    <w:rsid w:val="00F41562"/>
    <w:rsid w:val="00F41746"/>
    <w:rsid w:val="00F41CCF"/>
    <w:rsid w:val="00F41E92"/>
    <w:rsid w:val="00F530EC"/>
    <w:rsid w:val="00F54999"/>
    <w:rsid w:val="00F57D58"/>
    <w:rsid w:val="00F62769"/>
    <w:rsid w:val="00F62B06"/>
    <w:rsid w:val="00F633ED"/>
    <w:rsid w:val="00F637D0"/>
    <w:rsid w:val="00F6716B"/>
    <w:rsid w:val="00F70799"/>
    <w:rsid w:val="00F70BB2"/>
    <w:rsid w:val="00F7188E"/>
    <w:rsid w:val="00F72AC2"/>
    <w:rsid w:val="00F7359C"/>
    <w:rsid w:val="00F7468E"/>
    <w:rsid w:val="00F74CF5"/>
    <w:rsid w:val="00F75330"/>
    <w:rsid w:val="00F765EB"/>
    <w:rsid w:val="00F76A1F"/>
    <w:rsid w:val="00F77A0F"/>
    <w:rsid w:val="00F802AA"/>
    <w:rsid w:val="00F813DB"/>
    <w:rsid w:val="00F81B19"/>
    <w:rsid w:val="00F830E5"/>
    <w:rsid w:val="00F83C12"/>
    <w:rsid w:val="00F83D48"/>
    <w:rsid w:val="00F844C7"/>
    <w:rsid w:val="00F84CDA"/>
    <w:rsid w:val="00F84FA8"/>
    <w:rsid w:val="00F865BD"/>
    <w:rsid w:val="00F86B70"/>
    <w:rsid w:val="00F87925"/>
    <w:rsid w:val="00F906C4"/>
    <w:rsid w:val="00F91536"/>
    <w:rsid w:val="00F919D8"/>
    <w:rsid w:val="00F9294C"/>
    <w:rsid w:val="00F94917"/>
    <w:rsid w:val="00F95EBC"/>
    <w:rsid w:val="00F96129"/>
    <w:rsid w:val="00FA0A4C"/>
    <w:rsid w:val="00FA0ED6"/>
    <w:rsid w:val="00FA2BF4"/>
    <w:rsid w:val="00FA34E4"/>
    <w:rsid w:val="00FA3E9D"/>
    <w:rsid w:val="00FA4EBD"/>
    <w:rsid w:val="00FA6FAD"/>
    <w:rsid w:val="00FB0D49"/>
    <w:rsid w:val="00FB414A"/>
    <w:rsid w:val="00FC265B"/>
    <w:rsid w:val="00FC3B25"/>
    <w:rsid w:val="00FC5D75"/>
    <w:rsid w:val="00FC685B"/>
    <w:rsid w:val="00FD17EF"/>
    <w:rsid w:val="00FD2286"/>
    <w:rsid w:val="00FD26F4"/>
    <w:rsid w:val="00FD2F7D"/>
    <w:rsid w:val="00FD4CBF"/>
    <w:rsid w:val="00FD5649"/>
    <w:rsid w:val="00FD6330"/>
    <w:rsid w:val="00FD63E5"/>
    <w:rsid w:val="00FD7D1D"/>
    <w:rsid w:val="00FE1018"/>
    <w:rsid w:val="00FE1144"/>
    <w:rsid w:val="00FE30CB"/>
    <w:rsid w:val="00FE4484"/>
    <w:rsid w:val="00FE77BF"/>
    <w:rsid w:val="00FF1600"/>
    <w:rsid w:val="00FF1858"/>
    <w:rsid w:val="00FF2800"/>
    <w:rsid w:val="00FF3A03"/>
    <w:rsid w:val="00FF4347"/>
    <w:rsid w:val="621C452B"/>
    <w:rsid w:val="6EB6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4AC367B-D1D0-489D-93AD-20774E1EF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qFormat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  <w:jc w:val="both"/>
    </w:pPr>
    <w:rPr>
      <w:rFonts w:eastAsia="Malgun Gothic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jc w:val="both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Char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Char"/>
    <w:qFormat/>
    <w:pPr>
      <w:overflowPunct w:val="0"/>
      <w:autoSpaceDE w:val="0"/>
      <w:autoSpaceDN w:val="0"/>
      <w:adjustRightInd w:val="0"/>
      <w:spacing w:before="120" w:after="180" w:line="240" w:lineRule="auto"/>
      <w:ind w:left="1701" w:hanging="1701"/>
      <w:jc w:val="left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ja-JP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overflowPunct w:val="0"/>
      <w:autoSpaceDE w:val="0"/>
      <w:autoSpaceDN w:val="0"/>
      <w:adjustRightInd w:val="0"/>
      <w:spacing w:line="240" w:lineRule="auto"/>
      <w:ind w:left="0" w:firstLine="0"/>
      <w:jc w:val="left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spacing w:line="240" w:lineRule="auto"/>
      <w:ind w:left="568" w:hanging="284"/>
      <w:jc w:val="left"/>
      <w:textAlignment w:val="baseline"/>
    </w:pPr>
    <w:rPr>
      <w:rFonts w:eastAsia="Times New Roman"/>
      <w:lang w:eastAsia="ja-JP"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Char"/>
    <w:uiPriority w:val="99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lang w:eastAsia="ja-JP"/>
    </w:rPr>
  </w:style>
  <w:style w:type="paragraph" w:styleId="33">
    <w:name w:val="Body Text 3"/>
    <w:basedOn w:val="a"/>
    <w:link w:val="3Char0"/>
    <w:qFormat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eastAsia="Times New Roman"/>
      <w:sz w:val="16"/>
      <w:szCs w:val="16"/>
      <w:lang w:eastAsia="ja-JP"/>
    </w:rPr>
  </w:style>
  <w:style w:type="paragraph" w:styleId="a7">
    <w:name w:val="Body Text"/>
    <w:basedOn w:val="a"/>
    <w:link w:val="Char0"/>
    <w:qFormat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eastAsia="Times New Roman"/>
      <w:lang w:eastAsia="ja-JP"/>
    </w:rPr>
  </w:style>
  <w:style w:type="paragraph" w:styleId="a8">
    <w:name w:val="Plain Text"/>
    <w:basedOn w:val="a"/>
    <w:link w:val="Char1"/>
    <w:uiPriority w:val="99"/>
    <w:qFormat/>
    <w:pPr>
      <w:spacing w:after="160"/>
      <w:jc w:val="left"/>
    </w:pPr>
    <w:rPr>
      <w:rFonts w:ascii="Courier New" w:eastAsiaTheme="minorHAnsi" w:hAnsi="Courier New" w:cstheme="minorBidi"/>
      <w:sz w:val="22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semiHidden/>
    <w:unhideWhenUsed/>
    <w:qFormat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Segoe UI" w:eastAsia="Times New Roman" w:hAnsi="Segoe UI" w:cs="Segoe UI"/>
      <w:sz w:val="18"/>
      <w:szCs w:val="18"/>
      <w:lang w:eastAsia="ja-JP"/>
    </w:rPr>
  </w:style>
  <w:style w:type="paragraph" w:styleId="aa">
    <w:name w:val="footer"/>
    <w:basedOn w:val="a"/>
    <w:link w:val="Char3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b">
    <w:name w:val="header"/>
    <w:basedOn w:val="a"/>
    <w:link w:val="Char4"/>
    <w:uiPriority w:val="99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c">
    <w:name w:val="footnote text"/>
    <w:basedOn w:val="a"/>
    <w:link w:val="Char5"/>
    <w:qFormat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jc w:val="left"/>
      <w:textAlignment w:val="baseline"/>
    </w:pPr>
    <w:rPr>
      <w:rFonts w:eastAsia="Times New Roman"/>
      <w:sz w:val="16"/>
      <w:lang w:eastAsia="ja-JP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jc w:val="left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/>
      <w:lang w:eastAsia="ja-JP"/>
    </w:rPr>
  </w:style>
  <w:style w:type="paragraph" w:styleId="24">
    <w:name w:val="index 2"/>
    <w:basedOn w:val="11"/>
    <w:next w:val="a"/>
    <w:qFormat/>
    <w:pPr>
      <w:ind w:left="284"/>
    </w:pPr>
  </w:style>
  <w:style w:type="paragraph" w:styleId="ae">
    <w:name w:val="annotation subject"/>
    <w:basedOn w:val="a6"/>
    <w:next w:val="a6"/>
    <w:link w:val="Char6"/>
    <w:qFormat/>
    <w:rPr>
      <w:b/>
      <w:bCs/>
    </w:rPr>
  </w:style>
  <w:style w:type="table" w:styleId="af">
    <w:name w:val="Table Grid"/>
    <w:basedOn w:val="a1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qFormat/>
  </w:style>
  <w:style w:type="character" w:styleId="af1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2">
    <w:name w:val="Emphasis"/>
    <w:basedOn w:val="a0"/>
    <w:uiPriority w:val="20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basedOn w:val="a0"/>
    <w:qFormat/>
    <w:rPr>
      <w:sz w:val="16"/>
      <w:szCs w:val="16"/>
    </w:rPr>
  </w:style>
  <w:style w:type="character" w:styleId="af5">
    <w:name w:val="footnote reference"/>
    <w:basedOn w:val="a0"/>
    <w:qFormat/>
    <w:rPr>
      <w:b/>
      <w:position w:val="6"/>
      <w:sz w:val="16"/>
    </w:rPr>
  </w:style>
  <w:style w:type="paragraph" w:customStyle="1" w:styleId="CRCoverPage">
    <w:name w:val="CR Cover Page"/>
    <w:link w:val="CRCoverPageChar"/>
    <w:qFormat/>
    <w:pPr>
      <w:spacing w:after="120" w:line="259" w:lineRule="auto"/>
      <w:jc w:val="both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eastAsia="Malgun Gothic" w:hAnsi="Arial" w:cs="Times New Roman"/>
      <w:sz w:val="32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Theme="minorEastAsia" w:hAnsi="Arial" w:cstheme="minorBidi"/>
      <w:sz w:val="22"/>
      <w:szCs w:val="24"/>
      <w:lang w:val="en-US" w:eastAsia="en-GB"/>
    </w:rPr>
  </w:style>
  <w:style w:type="character" w:customStyle="1" w:styleId="Char4">
    <w:name w:val="页眉 Char"/>
    <w:basedOn w:val="a0"/>
    <w:link w:val="ab"/>
    <w:uiPriority w:val="99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Char3">
    <w:name w:val="页脚 Char"/>
    <w:basedOn w:val="a0"/>
    <w:link w:val="aa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eastAsia="Times New Roman" w:hAnsi="Arial" w:cs="Times New Roman"/>
      <w:szCs w:val="20"/>
      <w:lang w:val="en-GB" w:eastAsia="ja-JP"/>
    </w:rPr>
  </w:style>
  <w:style w:type="character" w:customStyle="1" w:styleId="6Char">
    <w:name w:val="标题 6 Char"/>
    <w:basedOn w:val="a0"/>
    <w:link w:val="6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lang w:eastAsia="ja-JP"/>
    </w:r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  <w:outlineLvl w:val="9"/>
    </w:pPr>
    <w:rPr>
      <w:rFonts w:eastAsia="Times New Roman"/>
      <w:lang w:eastAsia="ja-JP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line="240" w:lineRule="auto"/>
      <w:ind w:left="1135" w:hanging="851"/>
      <w:jc w:val="left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spacing w:line="240" w:lineRule="auto"/>
      <w:ind w:left="1702" w:hanging="1418"/>
      <w:jc w:val="left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5">
    <w:name w:val="脚注文本 Char"/>
    <w:basedOn w:val="a0"/>
    <w:link w:val="ac"/>
    <w:qFormat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2">
    <w:name w:val="批注框文本 Char"/>
    <w:basedOn w:val="a0"/>
    <w:link w:val="a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RCoverPageZchn">
    <w:name w:val="CR Cover Page Zchn"/>
    <w:qFormat/>
    <w:locked/>
    <w:rPr>
      <w:rFonts w:ascii="Arial" w:eastAsia="Times New Roman" w:hAnsi="Arial"/>
      <w:lang w:val="en-GB" w:eastAsia="en-US"/>
    </w:rPr>
  </w:style>
  <w:style w:type="character" w:customStyle="1" w:styleId="Char">
    <w:name w:val="批注文字 Char"/>
    <w:basedOn w:val="a0"/>
    <w:link w:val="a6"/>
    <w:uiPriority w:val="9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6">
    <w:name w:val="批注主题 Char"/>
    <w:basedOn w:val="Char"/>
    <w:link w:val="ae"/>
    <w:qFormat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af6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"/>
    <w:basedOn w:val="a"/>
    <w:link w:val="Char7"/>
    <w:uiPriority w:val="34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jc w:val="left"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7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Times New Roman"/>
      <w:sz w:val="24"/>
      <w:szCs w:val="24"/>
      <w:lang w:val="en-GB" w:eastAsia="en-US"/>
    </w:rPr>
  </w:style>
  <w:style w:type="character" w:customStyle="1" w:styleId="Char0">
    <w:name w:val="正文文本 Char"/>
    <w:basedOn w:val="a0"/>
    <w:link w:val="a7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Char1">
    <w:name w:val="纯文本 Char"/>
    <w:basedOn w:val="a0"/>
    <w:link w:val="a8"/>
    <w:uiPriority w:val="99"/>
    <w:rPr>
      <w:rFonts w:ascii="Courier New" w:eastAsiaTheme="minorHAnsi" w:hAnsi="Courier New"/>
      <w:lang w:val="nb-NO" w:eastAsia="en-US"/>
    </w:rPr>
  </w:style>
  <w:style w:type="character" w:customStyle="1" w:styleId="Char7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6"/>
    <w:uiPriority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a1"/>
    <w:uiPriority w:val="39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paragraph" w:customStyle="1" w:styleId="25">
    <w:name w:val="修订2"/>
    <w:hidden/>
    <w:uiPriority w:val="99"/>
    <w:semiHidden/>
    <w:qFormat/>
    <w:rPr>
      <w:lang w:val="en-GB" w:eastAsia="en-US"/>
    </w:rPr>
  </w:style>
  <w:style w:type="character" w:customStyle="1" w:styleId="3Char0">
    <w:name w:val="正文文本 3 Char"/>
    <w:basedOn w:val="a0"/>
    <w:link w:val="33"/>
    <w:qFormat/>
    <w:rPr>
      <w:rFonts w:eastAsia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Pr>
      <w:rFonts w:eastAsia="Times New Roman"/>
      <w:lang w:val="en-GB" w:eastAsia="ja-JP"/>
    </w:rPr>
  </w:style>
  <w:style w:type="character" w:customStyle="1" w:styleId="ui-provider">
    <w:name w:val="ui-provider"/>
    <w:basedOn w:val="a0"/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  <w:jc w:val="left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3">
    <w:name w:val="网格型1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pPr>
      <w:spacing w:line="240" w:lineRule="auto"/>
      <w:jc w:val="left"/>
    </w:pPr>
    <w:rPr>
      <w:rFonts w:eastAsia="MS Mincho" w:cs="Times New Roman"/>
      <w:sz w:val="20"/>
      <w:lang w:val="en-GB"/>
    </w:rPr>
  </w:style>
  <w:style w:type="table" w:customStyle="1" w:styleId="43">
    <w:name w:val="网格型4"/>
    <w:basedOn w:val="a1"/>
    <w:uiPriority w:val="39"/>
    <w:rPr>
      <w:rFonts w:ascii="Calibri" w:eastAsia="Yu Mincho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11">
    <w:name w:val="cf11"/>
    <w:basedOn w:val="a0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eastAsia="Times New Roman"/>
      <w:lang w:val="en-GB" w:eastAsia="ja-JP"/>
    </w:rPr>
  </w:style>
  <w:style w:type="paragraph" w:customStyle="1" w:styleId="14">
    <w:name w:val="正文1"/>
    <w:pPr>
      <w:jc w:val="both"/>
    </w:pPr>
    <w:rPr>
      <w:rFonts w:ascii="Calibri" w:eastAsia="宋体" w:hAnsi="Calibri" w:cs="Calibri"/>
      <w:kern w:val="2"/>
      <w:sz w:val="21"/>
      <w:szCs w:val="21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Doc-title">
    <w:name w:val="Doc-title"/>
    <w:basedOn w:val="a"/>
    <w:next w:val="Doc-text2"/>
    <w:pPr>
      <w:overflowPunct w:val="0"/>
      <w:autoSpaceDE w:val="0"/>
      <w:autoSpaceDN w:val="0"/>
      <w:adjustRightInd w:val="0"/>
      <w:spacing w:before="60" w:after="100" w:afterAutospacing="1" w:line="240" w:lineRule="auto"/>
      <w:ind w:left="1259" w:hanging="1259"/>
      <w:jc w:val="left"/>
      <w:textAlignment w:val="baseline"/>
    </w:pPr>
    <w:rPr>
      <w:rFonts w:ascii="Arial" w:eastAsia="Times New Roman" w:hAnsi="Arial"/>
      <w:sz w:val="24"/>
      <w:szCs w:val="24"/>
      <w:lang w:val="en-US" w:eastAsia="zh-CN"/>
    </w:rPr>
  </w:style>
  <w:style w:type="character" w:customStyle="1" w:styleId="EQChar">
    <w:name w:val="EQ Char"/>
    <w:link w:val="EQ"/>
    <w:qFormat/>
    <w:locked/>
    <w:rsid w:val="00C66959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88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2565</Words>
  <Characters>14623</Characters>
  <Application>Microsoft Office Word</Application>
  <DocSecurity>0</DocSecurity>
  <Lines>121</Lines>
  <Paragraphs>34</Paragraphs>
  <ScaleCrop>false</ScaleCrop>
  <Company>ZTE</Company>
  <LinksUpToDate>false</LinksUpToDate>
  <CharactersWithSpaces>17154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 - Yumin Wu</dc:creator>
  <cp:keywords/>
  <dc:description/>
  <cp:lastModifiedBy>ZTE</cp:lastModifiedBy>
  <cp:revision>3</cp:revision>
  <dcterms:created xsi:type="dcterms:W3CDTF">2024-10-01T22:55:00Z</dcterms:created>
  <dcterms:modified xsi:type="dcterms:W3CDTF">2024-10-03T19:55:00Z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cadfc0b0425c11ee80001d4800001d48">
    <vt:lpwstr>CWMHkzjP0b8G+COL0mhPrOL6t1AaN9H46cFHBJ4u1M1wmMfTWsBRbI9Cka1OOKoiExPzMjCxC1MRQ7UF9J79+hd2g==</vt:lpwstr>
  </property>
  <property fmtid="{D5CDD505-2E9C-101B-9397-08002B2CF9AE}" pid="3" name="KSOProductBuildVer">
    <vt:lpwstr>2052-11.8.2.10393</vt:lpwstr>
  </property>
</Properties>
</file>