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D374" w14:textId="6145C20E" w:rsidR="00677A33" w:rsidRPr="00677A33" w:rsidRDefault="00677A33" w:rsidP="00677A3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677A33">
        <w:rPr>
          <w:rFonts w:ascii="Arial" w:hAnsi="Arial"/>
          <w:b/>
          <w:noProof/>
          <w:sz w:val="24"/>
          <w:lang w:eastAsia="en-US"/>
        </w:rPr>
        <w:t>3GPP TSG RAN WG2#125bis</w:t>
      </w:r>
      <w:r w:rsidRPr="00677A33">
        <w:rPr>
          <w:rFonts w:ascii="Arial" w:hAnsi="Arial"/>
          <w:b/>
          <w:noProof/>
          <w:sz w:val="24"/>
          <w:lang w:eastAsia="en-US"/>
        </w:rPr>
        <w:tab/>
        <w:t>R2-240210</w:t>
      </w:r>
      <w:r>
        <w:rPr>
          <w:rFonts w:ascii="Arial" w:hAnsi="Arial"/>
          <w:b/>
          <w:noProof/>
          <w:sz w:val="24"/>
          <w:lang w:eastAsia="en-US"/>
        </w:rPr>
        <w:t>6</w:t>
      </w:r>
    </w:p>
    <w:p w14:paraId="6260B725" w14:textId="77777777" w:rsidR="00677A33" w:rsidRPr="00677A33" w:rsidRDefault="00677A33" w:rsidP="00677A3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677A33">
        <w:rPr>
          <w:rFonts w:ascii="Arial" w:hAnsi="Arial"/>
          <w:b/>
          <w:noProof/>
          <w:sz w:val="24"/>
          <w:lang w:eastAsia="en-US"/>
        </w:rPr>
        <w:t>Changsha, China, 15</w:t>
      </w:r>
      <w:r w:rsidRPr="00677A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677A33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677A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677A33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335EF483" w14:textId="77777777" w:rsidR="00677A33" w:rsidRPr="00677A33" w:rsidRDefault="00677A33" w:rsidP="00677A3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p w14:paraId="5CD718E9" w14:textId="77777777" w:rsidR="00677A33" w:rsidRPr="00677A33" w:rsidRDefault="00677A33" w:rsidP="00677A33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noProof/>
          <w:lang w:eastAsia="ko-KR"/>
        </w:rPr>
      </w:pPr>
    </w:p>
    <w:p w14:paraId="71D2C03B" w14:textId="69CE7518" w:rsidR="007B235D" w:rsidRPr="002B2174" w:rsidRDefault="007B235D" w:rsidP="00CA670B">
      <w:pPr>
        <w:tabs>
          <w:tab w:val="right" w:pos="9923"/>
        </w:tabs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B47FDE" w:rsidRPr="00B47FDE">
        <w:rPr>
          <w:rFonts w:ascii="Arial" w:eastAsia="Batang" w:hAnsi="Arial" w:cs="Arial"/>
          <w:b/>
          <w:bCs/>
          <w:sz w:val="24"/>
          <w:szCs w:val="24"/>
          <w:lang w:val="de-DE"/>
        </w:rPr>
        <w:t>R1-240155</w:t>
      </w:r>
      <w:r w:rsidR="006D0758">
        <w:rPr>
          <w:rFonts w:ascii="Arial" w:eastAsia="Batang" w:hAnsi="Arial" w:cs="Arial"/>
          <w:b/>
          <w:bCs/>
          <w:sz w:val="24"/>
          <w:szCs w:val="24"/>
          <w:lang w:val="de-DE"/>
        </w:rPr>
        <w:t>2</w:t>
      </w:r>
    </w:p>
    <w:p w14:paraId="0F3DE769" w14:textId="3CC9F33A" w:rsidR="00F10548" w:rsidRPr="004A016B" w:rsidRDefault="004A016B" w:rsidP="00CA670B">
      <w:pPr>
        <w:spacing w:after="0"/>
        <w:ind w:left="1990" w:hanging="1990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5C081C4" w:rsidR="00F10548" w:rsidRPr="00CA670B" w:rsidRDefault="00F10548" w:rsidP="00CA670B">
      <w:pPr>
        <w:spacing w:after="60"/>
        <w:ind w:left="1988" w:hanging="1988"/>
        <w:rPr>
          <w:rFonts w:ascii="Arial" w:hAnsi="Arial" w:cs="Arial"/>
          <w:b/>
        </w:rPr>
      </w:pPr>
      <w:r w:rsidRPr="00CA670B">
        <w:rPr>
          <w:rFonts w:ascii="Arial" w:hAnsi="Arial" w:cs="Arial"/>
          <w:b/>
        </w:rPr>
        <w:t>Title:</w:t>
      </w:r>
      <w:r w:rsidR="00C642CA" w:rsidRPr="00CA670B">
        <w:rPr>
          <w:rFonts w:ascii="Arial" w:hAnsi="Arial" w:cs="Arial"/>
          <w:b/>
        </w:rPr>
        <w:tab/>
      </w:r>
      <w:r w:rsidR="004A016B" w:rsidRPr="00CA670B">
        <w:rPr>
          <w:rFonts w:ascii="Arial" w:hAnsi="Arial" w:cs="Arial"/>
          <w:b/>
        </w:rPr>
        <w:t xml:space="preserve">Reply </w:t>
      </w:r>
      <w:r w:rsidR="002032CE" w:rsidRPr="00CA670B">
        <w:rPr>
          <w:rFonts w:ascii="Arial" w:hAnsi="Arial" w:cs="Arial"/>
          <w:b/>
        </w:rPr>
        <w:t xml:space="preserve">LS on </w:t>
      </w:r>
      <w:r w:rsidR="004A016B" w:rsidRPr="00CA670B">
        <w:rPr>
          <w:rFonts w:ascii="Arial" w:hAnsi="Arial" w:cs="Arial"/>
          <w:b/>
        </w:rPr>
        <w:t>MAC agreements</w:t>
      </w:r>
      <w:r w:rsidR="001B36A9" w:rsidRPr="00CA670B">
        <w:rPr>
          <w:rFonts w:ascii="Arial" w:hAnsi="Arial" w:cs="Arial"/>
          <w:b/>
        </w:rPr>
        <w:t xml:space="preserve"> for SL Positioning</w:t>
      </w:r>
    </w:p>
    <w:p w14:paraId="149C4C5B" w14:textId="58AA7BA9" w:rsidR="00C51783" w:rsidRPr="00CA670B" w:rsidRDefault="00C51783" w:rsidP="00CA670B">
      <w:pPr>
        <w:spacing w:after="60"/>
        <w:ind w:left="1988" w:hanging="1988"/>
        <w:rPr>
          <w:rFonts w:ascii="Arial" w:hAnsi="Arial" w:cs="Arial"/>
          <w:b/>
        </w:rPr>
      </w:pPr>
      <w:r w:rsidRPr="00CA670B">
        <w:rPr>
          <w:rFonts w:ascii="Arial" w:hAnsi="Arial" w:cs="Arial"/>
          <w:b/>
        </w:rPr>
        <w:t>Response to:</w:t>
      </w:r>
      <w:r w:rsidR="00CA670B" w:rsidRPr="00CA670B">
        <w:rPr>
          <w:rFonts w:ascii="Arial" w:hAnsi="Arial" w:cs="Arial"/>
          <w:b/>
        </w:rPr>
        <w:tab/>
      </w:r>
      <w:r w:rsidRPr="00CA670B">
        <w:rPr>
          <w:rFonts w:ascii="Arial" w:hAnsi="Arial" w:cs="Arial"/>
          <w:b/>
        </w:rPr>
        <w:t>R1-2400008 (R2-2313848)</w:t>
      </w:r>
    </w:p>
    <w:p w14:paraId="6C504685" w14:textId="10612E10" w:rsidR="00836959" w:rsidRPr="00CA670B" w:rsidRDefault="00836959" w:rsidP="00CA670B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CA670B">
        <w:rPr>
          <w:rFonts w:ascii="Arial" w:hAnsi="Arial" w:cs="Arial"/>
          <w:b/>
        </w:rPr>
        <w:t>Release:</w:t>
      </w:r>
      <w:r w:rsidRPr="00CA670B">
        <w:rPr>
          <w:rFonts w:ascii="Arial" w:hAnsi="Arial" w:cs="Arial"/>
          <w:b/>
        </w:rPr>
        <w:tab/>
        <w:t>Rel-1</w:t>
      </w:r>
      <w:r w:rsidR="00AE0FFC" w:rsidRPr="00CA670B">
        <w:rPr>
          <w:rFonts w:ascii="Arial" w:hAnsi="Arial" w:cs="Arial"/>
          <w:b/>
        </w:rPr>
        <w:t>8</w:t>
      </w:r>
    </w:p>
    <w:p w14:paraId="5EAE5600" w14:textId="5497470D" w:rsidR="00836959" w:rsidRPr="00CA670B" w:rsidRDefault="00836959" w:rsidP="00CA670B">
      <w:pPr>
        <w:spacing w:after="60"/>
        <w:ind w:left="1985" w:hanging="1985"/>
        <w:jc w:val="both"/>
        <w:rPr>
          <w:rFonts w:ascii="Arial" w:eastAsia="Batang" w:hAnsi="Arial" w:cs="Arial"/>
          <w:bCs/>
        </w:rPr>
      </w:pPr>
      <w:r w:rsidRPr="00CA670B">
        <w:rPr>
          <w:rFonts w:ascii="Arial" w:eastAsia="Batang" w:hAnsi="Arial" w:cs="Arial"/>
          <w:b/>
        </w:rPr>
        <w:t>Work Item:</w:t>
      </w:r>
      <w:r w:rsidRPr="00CA670B">
        <w:rPr>
          <w:rFonts w:ascii="Arial" w:eastAsia="Batang" w:hAnsi="Arial" w:cs="Arial"/>
          <w:bCs/>
        </w:rPr>
        <w:tab/>
      </w:r>
      <w:r w:rsidR="001B36A9" w:rsidRPr="00CA670B">
        <w:rPr>
          <w:rFonts w:ascii="Arial" w:hAnsi="Arial" w:cs="Arial"/>
          <w:b/>
          <w:lang w:eastAsia="en-GB"/>
        </w:rPr>
        <w:t>NR_pos_enh2</w:t>
      </w:r>
      <w:r w:rsidR="00E343D1" w:rsidRPr="00CA670B">
        <w:rPr>
          <w:rFonts w:ascii="Arial" w:hAnsi="Arial" w:cs="Arial"/>
          <w:b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</w:rPr>
      </w:pPr>
    </w:p>
    <w:p w14:paraId="0D5665D1" w14:textId="2DBAFD79" w:rsidR="00836959" w:rsidRPr="00CA670B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eastAsia="en-GB"/>
        </w:rPr>
      </w:pPr>
      <w:r w:rsidRPr="00CA670B">
        <w:rPr>
          <w:rFonts w:ascii="Arial" w:eastAsia="Batang" w:hAnsi="Arial" w:cs="Arial"/>
          <w:b/>
        </w:rPr>
        <w:t>Source:</w:t>
      </w:r>
      <w:r w:rsidRPr="00CA670B">
        <w:rPr>
          <w:rFonts w:ascii="Arial" w:eastAsia="Batang" w:hAnsi="Arial" w:cs="Arial"/>
          <w:bCs/>
        </w:rPr>
        <w:tab/>
      </w:r>
      <w:r w:rsidRPr="00CA670B">
        <w:rPr>
          <w:rFonts w:ascii="Arial" w:eastAsia="DengXian" w:hAnsi="Arial" w:cs="Arial"/>
          <w:b/>
          <w:bCs/>
          <w:szCs w:val="22"/>
          <w:lang w:eastAsia="en-GB"/>
        </w:rPr>
        <w:t>RAN1</w:t>
      </w:r>
    </w:p>
    <w:p w14:paraId="468CB08F" w14:textId="33324364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</w:rPr>
      </w:pPr>
      <w:r w:rsidRPr="00836959">
        <w:rPr>
          <w:rFonts w:ascii="Arial" w:eastAsia="Batang" w:hAnsi="Arial" w:cs="Arial"/>
          <w:b/>
        </w:rPr>
        <w:t>To:</w:t>
      </w:r>
      <w:r w:rsidRPr="00836959">
        <w:rPr>
          <w:rFonts w:ascii="Arial" w:eastAsia="Batang" w:hAnsi="Arial" w:cs="Arial"/>
          <w:bCs/>
        </w:rPr>
        <w:tab/>
      </w:r>
      <w:r w:rsidRPr="00836959">
        <w:rPr>
          <w:rFonts w:ascii="Arial" w:eastAsia="DengXian" w:hAnsi="Arial" w:cs="Arial"/>
          <w:b/>
          <w:bCs/>
          <w:szCs w:val="22"/>
          <w:lang w:eastAsia="en-GB"/>
        </w:rPr>
        <w:t>RAN</w:t>
      </w:r>
      <w:r w:rsidR="001B36A9">
        <w:rPr>
          <w:rFonts w:ascii="Arial" w:eastAsia="DengXian" w:hAnsi="Arial" w:cs="Arial"/>
          <w:b/>
          <w:bCs/>
          <w:szCs w:val="22"/>
          <w:lang w:eastAsia="en-GB"/>
        </w:rPr>
        <w:t>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eastAsia="en-GB"/>
        </w:rPr>
      </w:pPr>
      <w:r w:rsidRPr="00836959">
        <w:rPr>
          <w:rFonts w:ascii="Arial" w:eastAsia="Batang" w:hAnsi="Arial" w:cs="Arial"/>
          <w:b/>
        </w:rPr>
        <w:t>CC:</w:t>
      </w:r>
      <w:r w:rsidRPr="00836959">
        <w:rPr>
          <w:rFonts w:ascii="Arial" w:eastAsia="Batang" w:hAnsi="Arial" w:cs="Arial"/>
          <w:bCs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</w:rPr>
      </w:pPr>
      <w:r w:rsidRPr="00F400CF">
        <w:rPr>
          <w:rFonts w:ascii="Arial" w:eastAsia="Batang" w:hAnsi="Arial" w:cs="Arial"/>
          <w:b/>
        </w:rPr>
        <w:t>Contact Person:</w:t>
      </w:r>
      <w:r w:rsidRPr="00F400CF">
        <w:rPr>
          <w:rFonts w:ascii="Arial" w:eastAsia="Batang" w:hAnsi="Arial" w:cs="Arial"/>
          <w:bCs/>
        </w:rPr>
        <w:tab/>
      </w:r>
    </w:p>
    <w:p w14:paraId="54F372E2" w14:textId="7FF99DD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Name:</w:t>
      </w:r>
      <w:r w:rsidR="00C6405C">
        <w:rPr>
          <w:rFonts w:ascii="Arial" w:hAnsi="Arial" w:cs="Arial"/>
          <w:bCs/>
        </w:rPr>
        <w:tab/>
        <w:t>Debdeep Chatterjee</w:t>
      </w:r>
    </w:p>
    <w:p w14:paraId="1A8B198D" w14:textId="06D82D2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</w:rPr>
      </w:pPr>
      <w:r w:rsidRPr="00F400CF">
        <w:rPr>
          <w:rFonts w:ascii="Arial" w:hAnsi="Arial" w:cs="Arial"/>
          <w:b/>
        </w:rPr>
        <w:t>E-mail Address:</w:t>
      </w:r>
      <w:r w:rsidRPr="00F400CF">
        <w:rPr>
          <w:rFonts w:ascii="Arial" w:hAnsi="Arial" w:cs="Arial"/>
          <w:b/>
        </w:rPr>
        <w:tab/>
      </w:r>
      <w:r w:rsidR="00C6405C" w:rsidRPr="00C6405C">
        <w:rPr>
          <w:rFonts w:ascii="Arial" w:hAnsi="Arial" w:cs="Arial"/>
          <w:bCs/>
        </w:rPr>
        <w:t>debdeep.chatterjee@intel.com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3" w:name="_Ref47259910"/>
      <w:bookmarkStart w:id="4" w:name="_Ref20730972"/>
      <w:bookmarkStart w:id="5" w:name="_Ref16193927"/>
      <w:bookmarkStart w:id="6" w:name="_Ref6926730"/>
      <w:bookmarkStart w:id="7" w:name="_Ref7107393"/>
      <w:bookmarkStart w:id="8" w:name="_Ref521318726"/>
      <w:bookmarkStart w:id="9" w:name="_Ref524340861"/>
      <w:bookmarkStart w:id="10" w:name="_Ref510774888"/>
      <w:bookmarkStart w:id="11" w:name="_Ref3884257"/>
    </w:p>
    <w:p w14:paraId="5BBE5360" w14:textId="7D4997F4" w:rsidR="00760D7C" w:rsidRDefault="009A7765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would like to thank RAN2 for sharing the MAC agreements from RAN2</w:t>
      </w:r>
      <w:r w:rsidR="009E5B1E">
        <w:rPr>
          <w:szCs w:val="22"/>
        </w:rPr>
        <w:t xml:space="preserve">#124 related to SL positioning and the related questions. </w:t>
      </w:r>
    </w:p>
    <w:p w14:paraId="14A740FC" w14:textId="277EC59E" w:rsidR="00DA28DC" w:rsidRDefault="00DA28DC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has discussed the questions in the RAN2 LS and would like to reply as below.</w:t>
      </w:r>
    </w:p>
    <w:p w14:paraId="2E0ED8DA" w14:textId="77777777" w:rsidR="00100165" w:rsidRDefault="001D141E" w:rsidP="0084662D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 w:rsidR="0084662D" w:rsidRPr="00100165">
        <w:rPr>
          <w:rFonts w:eastAsia="Calibri"/>
          <w:b/>
          <w:bCs/>
          <w:i/>
          <w:iCs/>
        </w:rPr>
        <w:t>a (RAN2)</w:t>
      </w:r>
      <w:r w:rsidRPr="00100165">
        <w:rPr>
          <w:rFonts w:eastAsia="Calibri"/>
          <w:b/>
          <w:bCs/>
          <w:i/>
          <w:iCs/>
        </w:rPr>
        <w:t>:</w:t>
      </w:r>
      <w:r w:rsidRPr="001D141E">
        <w:rPr>
          <w:rFonts w:eastAsia="Calibri"/>
        </w:rPr>
        <w:t xml:space="preserve"> </w:t>
      </w:r>
    </w:p>
    <w:p w14:paraId="3FA49D1D" w14:textId="04E05AFA" w:rsidR="001D141E" w:rsidRPr="00E02B90" w:rsidRDefault="001D141E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292C2C04" w14:textId="77777777" w:rsidR="001D141E" w:rsidRPr="00E02B90" w:rsidRDefault="001D141E" w:rsidP="001D141E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total number of parallel SL-PRS transmission on SL-PRS shared/dedicated resource pool?</w:t>
      </w:r>
    </w:p>
    <w:p w14:paraId="58386A7C" w14:textId="77777777" w:rsidR="00100165" w:rsidRDefault="001D141E" w:rsidP="001D141E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EA15E10" w14:textId="44B44C91" w:rsidR="001D141E" w:rsidRPr="001D141E" w:rsidRDefault="00DD17C8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4F647B">
        <w:rPr>
          <w:rFonts w:eastAsia="Calibri"/>
        </w:rPr>
        <w:t>While the interpretation intended by RAN2 for “</w:t>
      </w:r>
      <w:r w:rsidRPr="004F647B">
        <w:t>parallel SL PRS transmission</w:t>
      </w:r>
      <w:r w:rsidRPr="004F647B">
        <w:rPr>
          <w:rFonts w:eastAsia="Calibri"/>
        </w:rPr>
        <w:t xml:space="preserve">” is not fully clear, RAN1 understands that it is referring to </w:t>
      </w:r>
      <w:r w:rsidRPr="004F647B">
        <w:t>the number of processes similar to the number of SL processes associated with a SL HARQ entity for SL communications. There is no concept of parallel SL PRS transmission processes defined/used in RAN1 and such a concept is expected to be transparent to RAN1 specifications. Accordingly, the maximum total number of parallel SL PRS transmission in a shared/dedicated SL PRS resource pool can be up to RAN2</w:t>
      </w:r>
      <w:r w:rsidR="001D141E" w:rsidRPr="001D141E">
        <w:t xml:space="preserve">. </w:t>
      </w:r>
    </w:p>
    <w:p w14:paraId="42626B1E" w14:textId="77777777" w:rsidR="001D141E" w:rsidRDefault="001D141E" w:rsidP="130DFD7D">
      <w:pPr>
        <w:spacing w:line="256" w:lineRule="auto"/>
        <w:jc w:val="both"/>
      </w:pPr>
    </w:p>
    <w:p w14:paraId="3EFB6EAE" w14:textId="47CD78E4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>
        <w:rPr>
          <w:rFonts w:eastAsia="Calibri"/>
          <w:b/>
          <w:bCs/>
          <w:i/>
          <w:iCs/>
        </w:rPr>
        <w:t>b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4ED1E00D" w14:textId="77777777" w:rsidR="00100165" w:rsidRPr="00E02B90" w:rsidRDefault="00100165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648D4091" w14:textId="57A0F04D" w:rsidR="00100165" w:rsidRPr="00E02B90" w:rsidRDefault="0071208C" w:rsidP="00100165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number of parallel SL-PRS transmission supported on a SL-PRS shared resource pool and SL-PRS dedicated resource pool, respectively?</w:t>
      </w:r>
    </w:p>
    <w:p w14:paraId="19F2DF75" w14:textId="77777777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5734ABF" w14:textId="4D04351A" w:rsidR="00100165" w:rsidRPr="001D141E" w:rsidRDefault="00D15EB9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Following from the response to the first question</w:t>
      </w:r>
      <w:r>
        <w:t>, the maximum number of parallel SL PRS transmission in a shared/dedicated SL PRS resource pool respectively can be up to RAN2</w:t>
      </w:r>
      <w:r w:rsidR="00100165" w:rsidRPr="001D141E">
        <w:t xml:space="preserve">. </w:t>
      </w:r>
    </w:p>
    <w:p w14:paraId="238BC2D5" w14:textId="77777777" w:rsidR="00100165" w:rsidRDefault="00100165" w:rsidP="130DFD7D">
      <w:pPr>
        <w:spacing w:line="256" w:lineRule="auto"/>
        <w:jc w:val="both"/>
      </w:pPr>
    </w:p>
    <w:p w14:paraId="68B27A77" w14:textId="47C34E78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 xml:space="preserve">Question </w:t>
      </w:r>
      <w:r>
        <w:rPr>
          <w:rFonts w:eastAsia="Calibri"/>
          <w:b/>
          <w:bCs/>
          <w:i/>
          <w:iCs/>
        </w:rPr>
        <w:t>2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05063750" w14:textId="3553D785" w:rsidR="00C32235" w:rsidRPr="00E02B90" w:rsidRDefault="000720EA" w:rsidP="000720EA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lastRenderedPageBreak/>
        <w:t>When SL-PRS is transmitted on a SL-PRS shared resource pool where PSFCH is configured, if the associated PSSCH transmission is positively acknowledged, should the UE continue to perform SL-PRS retransmission?</w:t>
      </w:r>
    </w:p>
    <w:p w14:paraId="5A84B295" w14:textId="77777777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2FC3D2A6" w14:textId="49224A4B" w:rsidR="00C32235" w:rsidRPr="00FA39BF" w:rsidRDefault="00B91EF5" w:rsidP="00C3223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Since there is no notion of Layer 1 feedback in response to SL PRS transmission, a positive acknowledgement for an associated PSSCH may not be interpreted to indicate successful reception of SL PRS (see RAN1 conclusion from RAN1 #113 below)</w:t>
      </w:r>
      <w:r>
        <w:t xml:space="preserve">. Accordingly, a Tx UE may continue to perform </w:t>
      </w:r>
      <w:r>
        <w:rPr>
          <w:rFonts w:eastAsia="Calibri"/>
        </w:rPr>
        <w:t>SL PRS retransmissions if it has been provided with multiple resources for (re-)transmission by the MAC layer, subject to any restrictions on the maximum number of retransmissions</w:t>
      </w:r>
      <w:r w:rsidR="00C32235" w:rsidRPr="001D141E">
        <w:t xml:space="preserve">. </w:t>
      </w:r>
    </w:p>
    <w:tbl>
      <w:tblPr>
        <w:tblW w:w="7820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FA39BF" w14:paraId="28873122" w14:textId="77777777" w:rsidTr="00140AC3">
        <w:trPr>
          <w:trHeight w:val="478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C6A" w14:textId="77777777" w:rsidR="00FA39BF" w:rsidRDefault="00FA39BF" w:rsidP="00140AC3">
            <w:pPr>
              <w:rPr>
                <w:b/>
                <w:iCs/>
              </w:rPr>
            </w:pPr>
            <w:r>
              <w:rPr>
                <w:b/>
                <w:iCs/>
              </w:rPr>
              <w:t>Conclusion</w:t>
            </w:r>
          </w:p>
          <w:p w14:paraId="5694E0F6" w14:textId="77777777" w:rsidR="00FA39BF" w:rsidRDefault="00FA39BF" w:rsidP="00140AC3">
            <w:pPr>
              <w:rPr>
                <w:iCs/>
              </w:rPr>
            </w:pPr>
            <w:r>
              <w:t>Do not support ACK/NACK feedback for SL-PRS or lower-layer feedback-based retransmissions in Release 18.</w:t>
            </w:r>
          </w:p>
        </w:tc>
      </w:tr>
    </w:tbl>
    <w:p w14:paraId="2E028327" w14:textId="77777777" w:rsidR="00FA39BF" w:rsidRPr="001D141E" w:rsidRDefault="00FA39BF" w:rsidP="00FA39BF">
      <w:pPr>
        <w:tabs>
          <w:tab w:val="left" w:pos="0"/>
        </w:tabs>
        <w:overflowPunct/>
        <w:autoSpaceDE/>
        <w:autoSpaceDN/>
        <w:adjustRightInd/>
        <w:spacing w:after="0"/>
        <w:ind w:left="720"/>
        <w:textAlignment w:val="auto"/>
        <w:rPr>
          <w:rFonts w:eastAsia="Calibri"/>
        </w:rPr>
      </w:pPr>
    </w:p>
    <w:p w14:paraId="17334FC7" w14:textId="51BD5D56" w:rsidR="00C32235" w:rsidRDefault="00C32235" w:rsidP="130DFD7D">
      <w:pPr>
        <w:spacing w:line="256" w:lineRule="auto"/>
        <w:jc w:val="both"/>
      </w:pPr>
    </w:p>
    <w:p w14:paraId="4A538DBF" w14:textId="77777777" w:rsidR="00BE1A1A" w:rsidRPr="002E4E3E" w:rsidRDefault="00BE1A1A" w:rsidP="002E4E3E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2E4E3E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To </w:t>
      </w:r>
      <w:r w:rsidR="00AE5687">
        <w:rPr>
          <w:rFonts w:ascii="Arial" w:eastAsia="DengXian" w:hAnsi="Arial" w:cs="Arial"/>
          <w:b/>
        </w:rPr>
        <w:t>RAN WG</w:t>
      </w:r>
      <w:r w:rsidRPr="00BE1A1A">
        <w:rPr>
          <w:rFonts w:ascii="Arial" w:eastAsia="DengXian" w:hAnsi="Arial" w:cs="Arial"/>
          <w:b/>
          <w:lang w:eastAsia="en-GB"/>
        </w:rPr>
        <w:t xml:space="preserve">2 </w:t>
      </w:r>
    </w:p>
    <w:p w14:paraId="73F7088C" w14:textId="6A07F4FA" w:rsidR="00BE1A1A" w:rsidRPr="003A15F7" w:rsidRDefault="00BE1A1A" w:rsidP="008B626E">
      <w:pPr>
        <w:ind w:left="993" w:hanging="993"/>
        <w:rPr>
          <w:rFonts w:ascii="Times" w:eastAsia="DengXian" w:hAnsi="Times" w:cs="Times"/>
          <w:szCs w:val="22"/>
          <w:lang w:eastAsia="en-GB"/>
        </w:rPr>
      </w:pPr>
      <w:r w:rsidRPr="003A15F7">
        <w:rPr>
          <w:rFonts w:ascii="Arial" w:eastAsia="DengXian" w:hAnsi="Arial" w:cs="Arial"/>
          <w:b/>
          <w:lang w:eastAsia="en-GB"/>
        </w:rPr>
        <w:t xml:space="preserve">ACTION: </w:t>
      </w:r>
      <w:r w:rsidRPr="003A15F7">
        <w:rPr>
          <w:rFonts w:ascii="Arial" w:eastAsia="DengXian" w:hAnsi="Arial" w:cs="Arial"/>
          <w:b/>
          <w:lang w:eastAsia="en-GB"/>
        </w:rPr>
        <w:tab/>
      </w:r>
      <w:r w:rsidRPr="003A15F7">
        <w:rPr>
          <w:rFonts w:ascii="Times" w:eastAsia="DengXian" w:hAnsi="Times" w:cs="Times"/>
          <w:szCs w:val="22"/>
          <w:lang w:eastAsia="en-GB"/>
        </w:rPr>
        <w:t xml:space="preserve">RAN1 respectfully asks </w:t>
      </w:r>
      <w:r w:rsidR="00C6405C" w:rsidRPr="003A15F7">
        <w:rPr>
          <w:rFonts w:ascii="Times" w:eastAsia="DengXian" w:hAnsi="Times" w:cs="Times"/>
          <w:szCs w:val="22"/>
        </w:rPr>
        <w:t>RAN WG</w:t>
      </w:r>
      <w:r w:rsidRPr="003A15F7">
        <w:rPr>
          <w:rFonts w:ascii="Times" w:eastAsia="DengXian" w:hAnsi="Times" w:cs="Times"/>
          <w:szCs w:val="22"/>
        </w:rPr>
        <w:t>2</w:t>
      </w:r>
      <w:r w:rsidRPr="003A15F7">
        <w:rPr>
          <w:rFonts w:ascii="Times" w:eastAsia="DengXian" w:hAnsi="Times" w:cs="Times"/>
          <w:szCs w:val="22"/>
          <w:lang w:eastAsia="en-GB"/>
        </w:rPr>
        <w:t xml:space="preserve"> to take the</w:t>
      </w:r>
      <w:r w:rsidR="00C51783" w:rsidRPr="003A15F7">
        <w:rPr>
          <w:rFonts w:ascii="Times" w:eastAsia="DengXian" w:hAnsi="Times" w:cs="Times"/>
          <w:szCs w:val="22"/>
          <w:lang w:eastAsia="en-GB"/>
        </w:rPr>
        <w:t xml:space="preserve"> above </w:t>
      </w:r>
      <w:r w:rsidR="007A5B7D" w:rsidRPr="003A15F7">
        <w:rPr>
          <w:rFonts w:ascii="Times" w:eastAsia="DengXian" w:hAnsi="Times" w:cs="Times"/>
          <w:szCs w:val="22"/>
          <w:lang w:eastAsia="en-GB"/>
        </w:rPr>
        <w:t>responses</w:t>
      </w:r>
      <w:r w:rsidR="00320533" w:rsidRPr="003A15F7">
        <w:rPr>
          <w:rFonts w:ascii="Times" w:eastAsia="DengXian" w:hAnsi="Times" w:cs="Times"/>
          <w:szCs w:val="22"/>
          <w:lang w:eastAsia="en-GB"/>
        </w:rPr>
        <w:t xml:space="preserve"> into account</w:t>
      </w:r>
      <w:r w:rsidR="00F50BF1" w:rsidRPr="003A15F7">
        <w:rPr>
          <w:rFonts w:ascii="Times" w:eastAsia="DengXian" w:hAnsi="Times" w:cs="Times"/>
          <w:szCs w:val="22"/>
          <w:lang w:eastAsia="en-GB"/>
        </w:rPr>
        <w:t xml:space="preserve"> in their further work</w:t>
      </w:r>
      <w:r w:rsidRPr="003A15F7">
        <w:rPr>
          <w:rFonts w:ascii="Times" w:eastAsia="DengXian" w:hAnsi="Times" w:cs="Times"/>
          <w:szCs w:val="22"/>
          <w:lang w:eastAsia="en-GB"/>
        </w:rPr>
        <w:t>.</w:t>
      </w:r>
    </w:p>
    <w:p w14:paraId="670FC64A" w14:textId="259FFE84" w:rsidR="00BE1A1A" w:rsidRPr="00BE1A1A" w:rsidRDefault="00BE1A1A" w:rsidP="002E4E3E">
      <w:pPr>
        <w:pStyle w:val="Heading1"/>
        <w:numPr>
          <w:ilvl w:val="0"/>
          <w:numId w:val="2"/>
        </w:numPr>
        <w:ind w:left="450"/>
        <w:textAlignment w:val="auto"/>
        <w:rPr>
          <w:rFonts w:eastAsia="DengXian"/>
          <w:szCs w:val="36"/>
          <w:lang w:eastAsia="en-GB"/>
        </w:rPr>
      </w:pPr>
      <w:r w:rsidRPr="002E4E3E">
        <w:rPr>
          <w:lang w:val="en-US"/>
        </w:rPr>
        <w:t>Dates of next TSG RAN WG 1 meetings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8B82D1B" w14:textId="15E7A9A3" w:rsidR="007A5B7D" w:rsidRDefault="007A5B7D" w:rsidP="003A15F7">
      <w:pPr>
        <w:tabs>
          <w:tab w:val="left" w:pos="2977"/>
          <w:tab w:val="left" w:pos="5954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bCs/>
          <w:color w:val="000000"/>
          <w:lang w:eastAsia="en-GB"/>
        </w:rPr>
        <w:t>TSG-WG1 Meeting #11</w:t>
      </w:r>
      <w:r>
        <w:rPr>
          <w:rFonts w:ascii="Arial" w:eastAsia="DengXian" w:hAnsi="Arial" w:cs="Arial"/>
          <w:bCs/>
          <w:color w:val="000000"/>
        </w:rPr>
        <w:t xml:space="preserve">6-bis </w:t>
      </w:r>
      <w:r>
        <w:rPr>
          <w:rFonts w:ascii="Arial" w:eastAsia="DengXian" w:hAnsi="Arial" w:cs="Arial"/>
          <w:bCs/>
          <w:color w:val="000000"/>
          <w:lang w:eastAsia="en-GB"/>
        </w:rPr>
        <w:tab/>
      </w:r>
      <w:r>
        <w:rPr>
          <w:rFonts w:ascii="Arial" w:eastAsia="DengXian" w:hAnsi="Arial" w:cs="Arial"/>
          <w:bCs/>
          <w:color w:val="000000"/>
        </w:rPr>
        <w:t>15</w:t>
      </w:r>
      <w:r>
        <w:rPr>
          <w:rFonts w:ascii="Arial" w:eastAsia="DengXian" w:hAnsi="Arial" w:cs="Arial"/>
          <w:bCs/>
          <w:color w:val="000000"/>
          <w:vertAlign w:val="superscript"/>
        </w:rPr>
        <w:t>th</w:t>
      </w:r>
      <w:r>
        <w:rPr>
          <w:rFonts w:ascii="Arial" w:eastAsia="DengXian" w:hAnsi="Arial" w:cs="Arial"/>
          <w:bCs/>
          <w:color w:val="000000"/>
        </w:rPr>
        <w:t xml:space="preserve"> April </w:t>
      </w:r>
      <w:r>
        <w:rPr>
          <w:rFonts w:ascii="Arial" w:eastAsia="DengXian" w:hAnsi="Arial" w:cs="Arial"/>
          <w:bCs/>
          <w:color w:val="000000"/>
          <w:lang w:eastAsia="en-GB"/>
        </w:rPr>
        <w:t>– 19</w:t>
      </w:r>
      <w:r>
        <w:rPr>
          <w:rFonts w:ascii="Arial" w:eastAsia="DengXian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eastAsia="DengXian" w:hAnsi="Arial" w:cs="Arial"/>
          <w:bCs/>
          <w:color w:val="000000"/>
          <w:lang w:eastAsia="en-GB"/>
        </w:rPr>
        <w:t xml:space="preserve"> April, 2024</w:t>
      </w:r>
      <w:r>
        <w:rPr>
          <w:rFonts w:ascii="Arial" w:eastAsia="DengXian" w:hAnsi="Arial" w:cs="Arial"/>
          <w:bCs/>
          <w:color w:val="000000"/>
          <w:lang w:eastAsia="en-GB"/>
        </w:rPr>
        <w:tab/>
        <w:t>Changsha, CN</w:t>
      </w:r>
    </w:p>
    <w:p w14:paraId="5CA73222" w14:textId="4B99AE25" w:rsidR="007A5B7D" w:rsidRDefault="007A5B7D" w:rsidP="003A15F7">
      <w:pPr>
        <w:tabs>
          <w:tab w:val="left" w:pos="2977"/>
          <w:tab w:val="left" w:pos="5954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color w:val="000000" w:themeColor="text1"/>
          <w:lang w:eastAsia="en-GB"/>
        </w:rPr>
        <w:t>TSG-WG1 Meeting #11</w:t>
      </w:r>
      <w:r>
        <w:rPr>
          <w:rFonts w:ascii="Arial" w:eastAsia="DengXian" w:hAnsi="Arial" w:cs="Arial"/>
          <w:color w:val="000000" w:themeColor="text1"/>
        </w:rPr>
        <w:t xml:space="preserve">7  </w:t>
      </w:r>
      <w:r>
        <w:tab/>
      </w:r>
      <w:r>
        <w:rPr>
          <w:rFonts w:ascii="Arial" w:eastAsia="DengXian" w:hAnsi="Arial" w:cs="Arial"/>
          <w:color w:val="000000" w:themeColor="text1"/>
        </w:rPr>
        <w:t>20</w:t>
      </w:r>
      <w:r>
        <w:rPr>
          <w:rFonts w:ascii="Arial" w:eastAsia="DengXian" w:hAnsi="Arial" w:cs="Arial"/>
          <w:color w:val="000000" w:themeColor="text1"/>
          <w:vertAlign w:val="superscript"/>
        </w:rPr>
        <w:t>th</w:t>
      </w:r>
      <w:r>
        <w:rPr>
          <w:rFonts w:ascii="Arial" w:eastAsia="DengXian" w:hAnsi="Arial" w:cs="Arial"/>
          <w:color w:val="000000" w:themeColor="text1"/>
        </w:rPr>
        <w:t xml:space="preserve"> May </w:t>
      </w:r>
      <w:r>
        <w:rPr>
          <w:rFonts w:ascii="Arial" w:eastAsia="DengXian" w:hAnsi="Arial" w:cs="Arial"/>
          <w:color w:val="000000" w:themeColor="text1"/>
          <w:lang w:eastAsia="en-GB"/>
        </w:rPr>
        <w:t>– 24</w:t>
      </w:r>
      <w:r>
        <w:rPr>
          <w:rFonts w:ascii="Arial" w:eastAsia="DengXian" w:hAnsi="Arial" w:cs="Arial"/>
          <w:color w:val="000000" w:themeColor="text1"/>
          <w:vertAlign w:val="superscript"/>
          <w:lang w:eastAsia="en-GB"/>
        </w:rPr>
        <w:t>th</w:t>
      </w:r>
      <w:r>
        <w:rPr>
          <w:rFonts w:ascii="Arial" w:eastAsia="DengXian" w:hAnsi="Arial" w:cs="Arial"/>
          <w:color w:val="000000" w:themeColor="text1"/>
          <w:lang w:eastAsia="en-GB"/>
        </w:rPr>
        <w:t xml:space="preserve"> May, 2024</w:t>
      </w:r>
      <w:r>
        <w:tab/>
      </w:r>
      <w:r>
        <w:rPr>
          <w:rFonts w:ascii="Arial" w:eastAsia="DengXian" w:hAnsi="Arial" w:cs="Arial"/>
          <w:color w:val="000000" w:themeColor="text1"/>
          <w:lang w:eastAsia="en-GB"/>
        </w:rPr>
        <w:t>Fukuoka City, Japan</w:t>
      </w:r>
    </w:p>
    <w:p w14:paraId="1AD8B13F" w14:textId="44DEFE61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</w:rPr>
      </w:pPr>
    </w:p>
    <w:sectPr w:rsidR="00BE1A1A" w:rsidRPr="006B25AD" w:rsidSect="004309F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73D45" w14:textId="77777777" w:rsidR="004309F9" w:rsidRDefault="004309F9">
      <w:r>
        <w:separator/>
      </w:r>
    </w:p>
  </w:endnote>
  <w:endnote w:type="continuationSeparator" w:id="0">
    <w:p w14:paraId="2E90D96C" w14:textId="77777777" w:rsidR="004309F9" w:rsidRDefault="004309F9">
      <w:r>
        <w:continuationSeparator/>
      </w:r>
    </w:p>
  </w:endnote>
  <w:endnote w:type="continuationNotice" w:id="1">
    <w:p w14:paraId="29FE3ACB" w14:textId="77777777" w:rsidR="004309F9" w:rsidRDefault="00430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9EE3E" w14:textId="77777777" w:rsidR="004309F9" w:rsidRDefault="004309F9">
      <w:r>
        <w:separator/>
      </w:r>
    </w:p>
  </w:footnote>
  <w:footnote w:type="continuationSeparator" w:id="0">
    <w:p w14:paraId="17E18A05" w14:textId="77777777" w:rsidR="004309F9" w:rsidRDefault="004309F9">
      <w:r>
        <w:continuationSeparator/>
      </w:r>
    </w:p>
  </w:footnote>
  <w:footnote w:type="continuationNotice" w:id="1">
    <w:p w14:paraId="27DBC638" w14:textId="77777777" w:rsidR="004309F9" w:rsidRDefault="004309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4D8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E3E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2BD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5F7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9F9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1D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A33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00D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70B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uiPriority="99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A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677A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677A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77A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677A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77A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77A3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77A3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77A3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77A33"/>
    <w:pPr>
      <w:outlineLvl w:val="8"/>
    </w:pPr>
  </w:style>
  <w:style w:type="character" w:default="1" w:styleId="DefaultParagraphFont">
    <w:name w:val="Default Paragraph Font"/>
    <w:semiHidden/>
    <w:rsid w:val="00677A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7A33"/>
  </w:style>
  <w:style w:type="paragraph" w:styleId="TOC8">
    <w:name w:val="toc 8"/>
    <w:basedOn w:val="TOC1"/>
    <w:semiHidden/>
    <w:rsid w:val="00677A33"/>
    <w:pPr>
      <w:spacing w:before="180"/>
      <w:ind w:left="2693" w:hanging="2693"/>
    </w:pPr>
    <w:rPr>
      <w:b/>
    </w:rPr>
  </w:style>
  <w:style w:type="paragraph" w:styleId="TOC1">
    <w:name w:val="toc 1"/>
    <w:semiHidden/>
    <w:rsid w:val="00677A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677A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77A33"/>
    <w:pPr>
      <w:ind w:left="1701" w:hanging="1701"/>
    </w:pPr>
  </w:style>
  <w:style w:type="paragraph" w:styleId="TOC4">
    <w:name w:val="toc 4"/>
    <w:basedOn w:val="TOC3"/>
    <w:semiHidden/>
    <w:rsid w:val="00677A33"/>
    <w:pPr>
      <w:ind w:left="1418" w:hanging="1418"/>
    </w:pPr>
  </w:style>
  <w:style w:type="paragraph" w:styleId="TOC3">
    <w:name w:val="toc 3"/>
    <w:basedOn w:val="TOC2"/>
    <w:semiHidden/>
    <w:rsid w:val="00677A33"/>
    <w:pPr>
      <w:ind w:left="1134" w:hanging="1134"/>
    </w:pPr>
  </w:style>
  <w:style w:type="paragraph" w:styleId="TOC2">
    <w:name w:val="toc 2"/>
    <w:basedOn w:val="TOC1"/>
    <w:semiHidden/>
    <w:rsid w:val="00677A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7A33"/>
    <w:pPr>
      <w:ind w:left="284"/>
    </w:pPr>
  </w:style>
  <w:style w:type="paragraph" w:styleId="Index1">
    <w:name w:val="index 1"/>
    <w:basedOn w:val="Normal"/>
    <w:semiHidden/>
    <w:rsid w:val="00677A33"/>
    <w:pPr>
      <w:keepLines/>
      <w:spacing w:after="0"/>
    </w:pPr>
  </w:style>
  <w:style w:type="paragraph" w:customStyle="1" w:styleId="ZH">
    <w:name w:val="ZH"/>
    <w:rsid w:val="00677A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677A33"/>
    <w:pPr>
      <w:outlineLvl w:val="9"/>
    </w:pPr>
  </w:style>
  <w:style w:type="paragraph" w:styleId="ListNumber2">
    <w:name w:val="List Number 2"/>
    <w:basedOn w:val="ListNumber"/>
    <w:rsid w:val="00677A33"/>
    <w:pPr>
      <w:ind w:left="851"/>
    </w:pPr>
  </w:style>
  <w:style w:type="paragraph" w:styleId="Header">
    <w:name w:val="header"/>
    <w:link w:val="HeaderChar"/>
    <w:rsid w:val="00677A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677A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7A33"/>
    <w:rPr>
      <w:b/>
    </w:rPr>
  </w:style>
  <w:style w:type="paragraph" w:customStyle="1" w:styleId="TAC">
    <w:name w:val="TAC"/>
    <w:basedOn w:val="TAL"/>
    <w:link w:val="TACChar"/>
    <w:rsid w:val="00677A33"/>
    <w:pPr>
      <w:jc w:val="center"/>
    </w:pPr>
  </w:style>
  <w:style w:type="paragraph" w:customStyle="1" w:styleId="TF">
    <w:name w:val="TF"/>
    <w:basedOn w:val="TH"/>
    <w:rsid w:val="00677A33"/>
    <w:pPr>
      <w:keepNext w:val="0"/>
      <w:spacing w:before="0" w:after="240"/>
    </w:pPr>
  </w:style>
  <w:style w:type="paragraph" w:customStyle="1" w:styleId="NO">
    <w:name w:val="NO"/>
    <w:basedOn w:val="Normal"/>
    <w:rsid w:val="00677A33"/>
    <w:pPr>
      <w:keepLines/>
      <w:ind w:left="1135" w:hanging="851"/>
    </w:pPr>
  </w:style>
  <w:style w:type="paragraph" w:styleId="TOC9">
    <w:name w:val="toc 9"/>
    <w:basedOn w:val="TOC8"/>
    <w:semiHidden/>
    <w:rsid w:val="00677A33"/>
    <w:pPr>
      <w:ind w:left="1418" w:hanging="1418"/>
    </w:pPr>
  </w:style>
  <w:style w:type="paragraph" w:customStyle="1" w:styleId="EX">
    <w:name w:val="EX"/>
    <w:basedOn w:val="Normal"/>
    <w:link w:val="EXChar"/>
    <w:rsid w:val="00677A33"/>
    <w:pPr>
      <w:keepLines/>
      <w:ind w:left="1702" w:hanging="1418"/>
    </w:pPr>
  </w:style>
  <w:style w:type="paragraph" w:customStyle="1" w:styleId="FP">
    <w:name w:val="FP"/>
    <w:basedOn w:val="Normal"/>
    <w:rsid w:val="00677A33"/>
    <w:pPr>
      <w:spacing w:after="0"/>
    </w:pPr>
  </w:style>
  <w:style w:type="paragraph" w:customStyle="1" w:styleId="LD">
    <w:name w:val="LD"/>
    <w:rsid w:val="00677A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677A33"/>
    <w:pPr>
      <w:spacing w:after="0"/>
    </w:pPr>
  </w:style>
  <w:style w:type="paragraph" w:customStyle="1" w:styleId="EW">
    <w:name w:val="EW"/>
    <w:basedOn w:val="EX"/>
    <w:rsid w:val="00677A33"/>
    <w:pPr>
      <w:spacing w:after="0"/>
    </w:pPr>
  </w:style>
  <w:style w:type="paragraph" w:styleId="TOC6">
    <w:name w:val="toc 6"/>
    <w:basedOn w:val="TOC5"/>
    <w:next w:val="Normal"/>
    <w:semiHidden/>
    <w:rsid w:val="00677A33"/>
    <w:pPr>
      <w:ind w:left="1985" w:hanging="1985"/>
    </w:pPr>
  </w:style>
  <w:style w:type="paragraph" w:styleId="TOC7">
    <w:name w:val="toc 7"/>
    <w:basedOn w:val="TOC6"/>
    <w:next w:val="Normal"/>
    <w:semiHidden/>
    <w:rsid w:val="00677A33"/>
    <w:pPr>
      <w:ind w:left="2268" w:hanging="2268"/>
    </w:pPr>
  </w:style>
  <w:style w:type="paragraph" w:styleId="ListBullet2">
    <w:name w:val="List Bullet 2"/>
    <w:basedOn w:val="ListBullet"/>
    <w:rsid w:val="00677A33"/>
    <w:pPr>
      <w:ind w:left="851"/>
    </w:pPr>
  </w:style>
  <w:style w:type="paragraph" w:styleId="ListBullet3">
    <w:name w:val="List Bullet 3"/>
    <w:basedOn w:val="ListBullet2"/>
    <w:rsid w:val="00677A33"/>
    <w:pPr>
      <w:ind w:left="1135"/>
    </w:pPr>
  </w:style>
  <w:style w:type="paragraph" w:styleId="ListNumber">
    <w:name w:val="List Number"/>
    <w:basedOn w:val="List"/>
    <w:rsid w:val="00677A33"/>
  </w:style>
  <w:style w:type="paragraph" w:customStyle="1" w:styleId="EQ">
    <w:name w:val="EQ"/>
    <w:basedOn w:val="Normal"/>
    <w:next w:val="Normal"/>
    <w:rsid w:val="00677A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7A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7A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77A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77A33"/>
    <w:pPr>
      <w:jc w:val="right"/>
    </w:pPr>
  </w:style>
  <w:style w:type="paragraph" w:customStyle="1" w:styleId="H6">
    <w:name w:val="H6"/>
    <w:basedOn w:val="Heading5"/>
    <w:next w:val="Normal"/>
    <w:rsid w:val="00677A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7A33"/>
    <w:pPr>
      <w:ind w:left="851" w:hanging="851"/>
    </w:pPr>
  </w:style>
  <w:style w:type="paragraph" w:customStyle="1" w:styleId="TAL">
    <w:name w:val="TAL"/>
    <w:basedOn w:val="Normal"/>
    <w:link w:val="TALCar"/>
    <w:rsid w:val="00677A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7A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77A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677A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677A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677A33"/>
    <w:pPr>
      <w:framePr w:wrap="notBeside" w:y="16161"/>
    </w:pPr>
  </w:style>
  <w:style w:type="character" w:customStyle="1" w:styleId="ZGSM">
    <w:name w:val="ZGSM"/>
    <w:rsid w:val="00677A33"/>
  </w:style>
  <w:style w:type="paragraph" w:styleId="List2">
    <w:name w:val="List 2"/>
    <w:basedOn w:val="List"/>
    <w:rsid w:val="00677A33"/>
    <w:pPr>
      <w:ind w:left="851"/>
    </w:pPr>
  </w:style>
  <w:style w:type="paragraph" w:customStyle="1" w:styleId="ZG">
    <w:name w:val="ZG"/>
    <w:rsid w:val="00677A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677A33"/>
    <w:pPr>
      <w:ind w:left="1135"/>
    </w:pPr>
  </w:style>
  <w:style w:type="paragraph" w:styleId="List4">
    <w:name w:val="List 4"/>
    <w:basedOn w:val="List3"/>
    <w:rsid w:val="00677A33"/>
    <w:pPr>
      <w:ind w:left="1418"/>
    </w:pPr>
  </w:style>
  <w:style w:type="paragraph" w:styleId="List5">
    <w:name w:val="List 5"/>
    <w:basedOn w:val="List4"/>
    <w:rsid w:val="00677A33"/>
    <w:pPr>
      <w:ind w:left="1702"/>
    </w:pPr>
  </w:style>
  <w:style w:type="paragraph" w:customStyle="1" w:styleId="EditorsNote">
    <w:name w:val="Editor's Note"/>
    <w:basedOn w:val="NO"/>
    <w:rsid w:val="00677A33"/>
    <w:rPr>
      <w:color w:val="FF0000"/>
    </w:rPr>
  </w:style>
  <w:style w:type="paragraph" w:styleId="List">
    <w:name w:val="List"/>
    <w:basedOn w:val="Normal"/>
    <w:rsid w:val="00677A33"/>
    <w:pPr>
      <w:ind w:left="568" w:hanging="284"/>
    </w:pPr>
  </w:style>
  <w:style w:type="paragraph" w:styleId="ListBullet">
    <w:name w:val="List Bullet"/>
    <w:basedOn w:val="List"/>
    <w:rsid w:val="00677A33"/>
  </w:style>
  <w:style w:type="paragraph" w:styleId="ListBullet4">
    <w:name w:val="List Bullet 4"/>
    <w:basedOn w:val="ListBullet3"/>
    <w:rsid w:val="00677A33"/>
    <w:pPr>
      <w:ind w:left="1418"/>
    </w:pPr>
  </w:style>
  <w:style w:type="paragraph" w:styleId="ListBullet5">
    <w:name w:val="List Bullet 5"/>
    <w:basedOn w:val="ListBullet4"/>
    <w:rsid w:val="00677A33"/>
    <w:pPr>
      <w:ind w:left="1702"/>
    </w:pPr>
  </w:style>
  <w:style w:type="paragraph" w:customStyle="1" w:styleId="B1">
    <w:name w:val="B1"/>
    <w:basedOn w:val="List"/>
    <w:link w:val="B1Char1"/>
    <w:rsid w:val="00677A33"/>
  </w:style>
  <w:style w:type="paragraph" w:customStyle="1" w:styleId="B3">
    <w:name w:val="B3"/>
    <w:basedOn w:val="List3"/>
    <w:link w:val="B3Char"/>
    <w:rsid w:val="00677A33"/>
  </w:style>
  <w:style w:type="paragraph" w:customStyle="1" w:styleId="B4">
    <w:name w:val="B4"/>
    <w:basedOn w:val="List4"/>
    <w:rsid w:val="00677A33"/>
  </w:style>
  <w:style w:type="paragraph" w:customStyle="1" w:styleId="B5">
    <w:name w:val="B5"/>
    <w:basedOn w:val="List5"/>
    <w:rsid w:val="00677A33"/>
  </w:style>
  <w:style w:type="paragraph" w:styleId="Footer">
    <w:name w:val="footer"/>
    <w:basedOn w:val="Header"/>
    <w:link w:val="FooterChar"/>
    <w:rsid w:val="00677A33"/>
    <w:pPr>
      <w:jc w:val="center"/>
    </w:pPr>
    <w:rPr>
      <w:i/>
    </w:rPr>
  </w:style>
  <w:style w:type="paragraph" w:customStyle="1" w:styleId="ZTD">
    <w:name w:val="ZTD"/>
    <w:basedOn w:val="ZB"/>
    <w:rsid w:val="00677A33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A1ED6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HeaderChar">
    <w:name w:val="Header Char"/>
    <w:link w:val="Header"/>
    <w:rsid w:val="00ED04CE"/>
    <w:rPr>
      <w:rFonts w:ascii="Arial" w:eastAsia="Times New Roman" w:hAnsi="Arial"/>
      <w:b/>
      <w:noProof/>
      <w:sz w:val="18"/>
      <w:lang w:val="en-GB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eastAsia="Times New Roman" w:hAnsi="Arial"/>
      <w:sz w:val="18"/>
      <w:lang w:val="en-GB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eastAsia="Times New Roman" w:hAnsi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eastAsia="Times New Roman" w:hAnsi="Arial"/>
      <w:b/>
      <w:lang w:val="en-GB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eastAsia="Times New Roman" w:hAnsi="Courier New"/>
      <w:noProof/>
      <w:sz w:val="16"/>
      <w:lang w:val="en-GB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hAnsi="Symbol" w:cs="Symbol"/>
    </w:rPr>
  </w:style>
  <w:style w:type="character" w:customStyle="1" w:styleId="TALCar">
    <w:name w:val="TAL Car"/>
    <w:link w:val="TAL"/>
    <w:qFormat/>
    <w:rsid w:val="00234CD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234CDE"/>
    <w:rPr>
      <w:rFonts w:ascii="Arial" w:eastAsia="Times New Roman" w:hAnsi="Arial"/>
      <w:b/>
      <w:sz w:val="18"/>
      <w:lang w:val="en-GB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eastAsia="Times New Roman" w:hAnsi="Times New Roman"/>
      <w:sz w:val="16"/>
      <w:lang w:val="en-GB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B3Char">
    <w:name w:val="B3 Char"/>
    <w:link w:val="B3"/>
    <w:rsid w:val="00234CDE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eastAsia="Times New Roman" w:hAnsi="Arial"/>
      <w:lang w:val="en-GB"/>
    </w:rPr>
  </w:style>
  <w:style w:type="character" w:customStyle="1" w:styleId="EXChar">
    <w:name w:val="EX Char"/>
    <w:link w:val="EX"/>
    <w:locked/>
    <w:rsid w:val="00234CDE"/>
    <w:rPr>
      <w:rFonts w:ascii="Times New Roman" w:eastAsia="Times New Roman" w:hAnsi="Times New Roman"/>
      <w:lang w:val="en-GB"/>
    </w:rPr>
  </w:style>
  <w:style w:type="paragraph" w:customStyle="1" w:styleId="BN">
    <w:name w:val="BN"/>
    <w:basedOn w:val="Normal"/>
    <w:rsid w:val="00234CDE"/>
    <w:pPr>
      <w:numPr>
        <w:numId w:val="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eastAsia="Times New Roman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sz w:val="24"/>
      <w:szCs w:val="24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rsid w:val="00677A33"/>
  </w:style>
  <w:style w:type="character" w:customStyle="1" w:styleId="B2Char">
    <w:name w:val="B2 Char"/>
    <w:link w:val="B2"/>
    <w:qFormat/>
    <w:rsid w:val="00E875B1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FootnoteReference">
    <w:name w:val="footnote reference"/>
    <w:basedOn w:val="DefaultParagraphFont"/>
    <w:rsid w:val="00677A33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Draft_v5</cp:lastModifiedBy>
  <cp:revision>2</cp:revision>
  <cp:lastPrinted>2011-11-11T17:49:00Z</cp:lastPrinted>
  <dcterms:created xsi:type="dcterms:W3CDTF">2024-04-02T19:38:00Z</dcterms:created>
  <dcterms:modified xsi:type="dcterms:W3CDTF">2024-04-02T19:38:00Z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