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4"/>
        <w:tabs>
          <w:tab w:val="right" w:pos="9639"/>
        </w:tabs>
        <w:spacing w:after="0"/>
        <w:rPr>
          <w:b/>
          <w:sz w:val="24"/>
          <w:szCs w:val="24"/>
        </w:rPr>
      </w:pPr>
      <w:bookmarkStart w:id="0" w:name="_Hlk115193383"/>
      <w:bookmarkEnd w:id="0"/>
      <w:r>
        <w:rPr>
          <w:b/>
          <w:sz w:val="24"/>
          <w:szCs w:val="24"/>
        </w:rPr>
        <w:t xml:space="preserve">3GPP TSG-RAN </w:t>
      </w:r>
      <w:r>
        <w:rPr>
          <w:rFonts w:hint="eastAsia"/>
          <w:b/>
          <w:sz w:val="24"/>
          <w:szCs w:val="24"/>
          <w:lang w:eastAsia="zh-CN"/>
        </w:rPr>
        <w:t>WG</w:t>
      </w:r>
      <w:r>
        <w:rPr>
          <w:b/>
          <w:sz w:val="24"/>
          <w:szCs w:val="24"/>
        </w:rPr>
        <w:t>2 Meeting #121bis-e</w:t>
      </w:r>
      <w:r>
        <w:rPr>
          <w:b/>
          <w:i/>
          <w:sz w:val="24"/>
          <w:szCs w:val="24"/>
        </w:rPr>
        <w:tab/>
      </w:r>
      <w:r>
        <w:rPr>
          <w:b/>
          <w:sz w:val="24"/>
          <w:szCs w:val="24"/>
        </w:rPr>
        <w:t>R2-23xxxxx</w:t>
      </w:r>
    </w:p>
    <w:p>
      <w:pPr>
        <w:pStyle w:val="55"/>
        <w:rPr>
          <w:szCs w:val="24"/>
          <w:lang w:eastAsia="ko-KR"/>
        </w:rPr>
      </w:pPr>
      <w:r>
        <w:rPr>
          <w:szCs w:val="24"/>
          <w:lang w:eastAsia="ko-KR"/>
        </w:rPr>
        <w:t>Electronic, 17th – 26th April, 2023</w:t>
      </w:r>
    </w:p>
    <w:p>
      <w:pPr>
        <w:tabs>
          <w:tab w:val="left" w:pos="1980"/>
        </w:tabs>
        <w:spacing w:after="180"/>
        <w:rPr>
          <w:rFonts w:cs="Arial"/>
          <w:b/>
          <w:bCs/>
          <w:sz w:val="24"/>
          <w:lang w:val="en-US" w:eastAsia="en-US"/>
        </w:rPr>
      </w:pPr>
    </w:p>
    <w:p>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7.6.2.1</w:t>
      </w:r>
    </w:p>
    <w:p>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hint="eastAsia" w:cs="Arial"/>
          <w:b/>
          <w:bCs/>
          <w:sz w:val="24"/>
          <w:lang w:val="en-US" w:eastAsia="en-US"/>
        </w:rPr>
        <w:t>OPPO</w:t>
      </w:r>
    </w:p>
    <w:p>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Pr>
          <w:rFonts w:cs="Arial"/>
          <w:b/>
          <w:bCs/>
          <w:sz w:val="24"/>
          <w:lang w:val="en-US" w:eastAsia="en-US"/>
        </w:rPr>
        <w:t>Summary of [AT1</w:t>
      </w:r>
      <w:r>
        <w:rPr>
          <w:rFonts w:hint="eastAsia" w:cs="Arial"/>
          <w:b/>
          <w:bCs/>
          <w:sz w:val="24"/>
          <w:lang w:val="en-US"/>
        </w:rPr>
        <w:t>21</w:t>
      </w:r>
      <w:r>
        <w:rPr>
          <w:rFonts w:cs="Arial"/>
          <w:b/>
          <w:bCs/>
          <w:sz w:val="24"/>
          <w:lang w:val="en-US"/>
        </w:rPr>
        <w:t>bis-e</w:t>
      </w:r>
      <w:r>
        <w:rPr>
          <w:rFonts w:cs="Arial"/>
          <w:b/>
          <w:bCs/>
          <w:sz w:val="24"/>
          <w:lang w:val="en-US" w:eastAsia="en-US"/>
        </w:rPr>
        <w:t>][103][</w:t>
      </w:r>
      <w:r>
        <w:t xml:space="preserve"> </w:t>
      </w:r>
      <w:r>
        <w:rPr>
          <w:rFonts w:cs="Arial"/>
          <w:b/>
          <w:bCs/>
          <w:sz w:val="24"/>
          <w:lang w:val="en-US" w:eastAsia="en-US"/>
        </w:rPr>
        <w:t>IoT NTN Enh] HARQ enhancements (OPPO)</w:t>
      </w:r>
    </w:p>
    <w:p>
      <w:pPr>
        <w:tabs>
          <w:tab w:val="left" w:pos="1979"/>
        </w:tabs>
        <w:spacing w:after="180"/>
      </w:pPr>
      <w:r>
        <w:rPr>
          <w:rFonts w:cs="Arial"/>
          <w:b/>
          <w:bCs/>
          <w:sz w:val="24"/>
          <w:lang w:val="en-US" w:eastAsia="en-US"/>
        </w:rPr>
        <w:t>Document for:</w:t>
      </w:r>
      <w:r>
        <w:rPr>
          <w:rFonts w:cs="Arial"/>
          <w:b/>
          <w:bCs/>
          <w:sz w:val="24"/>
          <w:lang w:val="en-US" w:eastAsia="en-US"/>
        </w:rPr>
        <w:tab/>
      </w:r>
      <w:r>
        <w:rPr>
          <w:rFonts w:cs="Arial"/>
          <w:b/>
          <w:bCs/>
          <w:sz w:val="24"/>
          <w:lang w:val="en-US" w:eastAsia="en-US"/>
        </w:rPr>
        <w:t>Discussion and Decision</w:t>
      </w:r>
    </w:p>
    <w:p>
      <w:pPr>
        <w:pStyle w:val="2"/>
        <w:numPr>
          <w:ilvl w:val="0"/>
          <w:numId w:val="10"/>
        </w:numPr>
      </w:pPr>
      <w:bookmarkStart w:id="1" w:name="_Ref488331639"/>
      <w:r>
        <w:t>Introduction</w:t>
      </w:r>
      <w:bookmarkEnd w:id="1"/>
    </w:p>
    <w:p>
      <w:pPr>
        <w:spacing w:before="120" w:after="156" w:afterLines="50"/>
        <w:rPr>
          <w:rFonts w:eastAsia="Arial Unicode MS"/>
        </w:rPr>
      </w:pPr>
      <w:bookmarkStart w:id="2" w:name="_Ref178064866"/>
      <w:r>
        <w:rPr>
          <w:rFonts w:eastAsia="Arial Unicode MS"/>
        </w:rPr>
        <w:t xml:space="preserve">This document aims to </w:t>
      </w:r>
      <w:r>
        <w:rPr>
          <w:rFonts w:hint="eastAsia" w:eastAsia="Arial Unicode MS"/>
        </w:rPr>
        <w:t>collect</w:t>
      </w:r>
      <w:r>
        <w:rPr>
          <w:rFonts w:eastAsia="Arial Unicode MS"/>
        </w:rPr>
        <w:t xml:space="preserve"> companies’ views for the following offline discussion and provide the summary report. Note that the discussion only focuses on HARQ related issues.</w:t>
      </w:r>
    </w:p>
    <w:p>
      <w:pPr>
        <w:pStyle w:val="41"/>
        <w:spacing w:before="75" w:beforeAutospacing="0" w:after="75" w:afterAutospacing="0" w:line="360" w:lineRule="atLeast"/>
        <w:rPr>
          <w:rFonts w:ascii="Arial" w:hAnsi="Arial" w:cs="Arial"/>
          <w:color w:val="000000"/>
          <w:sz w:val="20"/>
          <w:szCs w:val="21"/>
        </w:rPr>
      </w:pPr>
      <w:r>
        <w:rPr>
          <w:rStyle w:val="48"/>
          <w:rFonts w:ascii="Wingdings" w:hAnsi="Wingdings" w:cs="Arial"/>
          <w:b w:val="0"/>
          <w:bCs w:val="0"/>
          <w:color w:val="000000"/>
          <w:sz w:val="20"/>
          <w:szCs w:val="21"/>
        </w:rPr>
        <w:t></w:t>
      </w:r>
      <w:r>
        <w:rPr>
          <w:rStyle w:val="48"/>
          <w:rFonts w:ascii="Wingdings" w:cs="Arial"/>
          <w:b w:val="0"/>
          <w:bCs w:val="0"/>
          <w:color w:val="000000"/>
          <w:sz w:val="20"/>
          <w:szCs w:val="21"/>
        </w:rPr>
        <w:t></w:t>
      </w:r>
      <w:r>
        <w:rPr>
          <w:rStyle w:val="48"/>
          <w:rFonts w:ascii="Arial" w:hAnsi="Arial" w:cs="Arial"/>
          <w:color w:val="000000"/>
          <w:sz w:val="20"/>
          <w:szCs w:val="21"/>
        </w:rPr>
        <w:t>[AT121bis-e][103][IoT NTN Enh] HARQ enhancements (Oppo)</w:t>
      </w:r>
    </w:p>
    <w:p>
      <w:pPr>
        <w:pStyle w:val="41"/>
        <w:spacing w:before="75" w:beforeAutospacing="0" w:after="75" w:afterAutospacing="0" w:line="360" w:lineRule="atLeast"/>
        <w:ind w:left="1620"/>
        <w:rPr>
          <w:rFonts w:ascii="Arial" w:hAnsi="Arial" w:cs="Arial"/>
          <w:color w:val="000000"/>
          <w:sz w:val="20"/>
          <w:szCs w:val="21"/>
        </w:rPr>
      </w:pPr>
      <w:r>
        <w:rPr>
          <w:rFonts w:ascii="Arial" w:hAnsi="Arial" w:cs="Arial"/>
          <w:color w:val="000000"/>
          <w:sz w:val="20"/>
          <w:szCs w:val="21"/>
        </w:rPr>
        <w:t>Initial scope: Discuss the proposals in the submitted contributions in AI 7.6.2.1 </w:t>
      </w:r>
    </w:p>
    <w:p>
      <w:pPr>
        <w:pStyle w:val="41"/>
        <w:spacing w:before="75" w:beforeAutospacing="0" w:after="75" w:afterAutospacing="0" w:line="360" w:lineRule="atLeast"/>
        <w:ind w:left="1620"/>
        <w:rPr>
          <w:rFonts w:ascii="Arial" w:hAnsi="Arial" w:cs="Arial"/>
          <w:color w:val="000000"/>
          <w:sz w:val="20"/>
          <w:szCs w:val="21"/>
        </w:rPr>
      </w:pPr>
      <w:r>
        <w:rPr>
          <w:rFonts w:ascii="Arial" w:hAnsi="Arial" w:cs="Arial"/>
          <w:color w:val="000000"/>
          <w:sz w:val="20"/>
          <w:szCs w:val="21"/>
        </w:rPr>
        <w:t>Initial intended outcome: Summary of the offline discussion with e.g.:</w:t>
      </w:r>
    </w:p>
    <w:p>
      <w:pPr>
        <w:pStyle w:val="41"/>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for agreement (if any)</w:t>
      </w:r>
    </w:p>
    <w:p>
      <w:pPr>
        <w:pStyle w:val="41"/>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that require online discussions</w:t>
      </w:r>
    </w:p>
    <w:p>
      <w:pPr>
        <w:pStyle w:val="41"/>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that should not be pursued (if any)</w:t>
      </w:r>
    </w:p>
    <w:p>
      <w:pPr>
        <w:pStyle w:val="41"/>
        <w:spacing w:before="75" w:beforeAutospacing="0" w:after="0" w:afterAutospacing="0" w:line="360" w:lineRule="atLeast"/>
        <w:ind w:left="1620"/>
        <w:rPr>
          <w:rFonts w:ascii="Arial" w:hAnsi="Arial" w:cs="Arial"/>
          <w:color w:val="000000"/>
          <w:sz w:val="20"/>
          <w:szCs w:val="21"/>
        </w:rPr>
      </w:pPr>
      <w:r>
        <w:rPr>
          <w:rFonts w:ascii="Arial" w:hAnsi="Arial" w:cs="Arial"/>
          <w:color w:val="000000"/>
          <w:sz w:val="20"/>
          <w:szCs w:val="21"/>
        </w:rPr>
        <w:t>Deadline for companies' feedback: Wednesday 2023-04-19 12:00 UTC</w:t>
      </w:r>
    </w:p>
    <w:p>
      <w:pPr>
        <w:pStyle w:val="41"/>
        <w:spacing w:before="75" w:beforeAutospacing="0" w:after="0" w:afterAutospacing="0" w:line="360" w:lineRule="atLeast"/>
        <w:ind w:left="1620"/>
        <w:rPr>
          <w:rFonts w:ascii="Arial" w:hAnsi="Arial" w:cs="Arial"/>
          <w:color w:val="000000"/>
          <w:sz w:val="20"/>
          <w:szCs w:val="21"/>
        </w:rPr>
      </w:pPr>
      <w:r>
        <w:rPr>
          <w:rFonts w:ascii="Arial" w:hAnsi="Arial" w:cs="Arial"/>
          <w:color w:val="000000"/>
          <w:sz w:val="20"/>
          <w:szCs w:val="21"/>
        </w:rPr>
        <w:t>Deadline for rapporteur's summary (in R2-2304243): Wednesday 2023-04-19 16:00 UTC</w:t>
      </w:r>
    </w:p>
    <w:p>
      <w:pPr>
        <w:pStyle w:val="2"/>
      </w:pPr>
      <w:r>
        <w:t>2. Contact information</w:t>
      </w:r>
    </w:p>
    <w:tbl>
      <w:tblPr>
        <w:tblStyle w:val="45"/>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shd w:val="clear" w:color="auto" w:fill="BFBFBF"/>
            <w:tcMar>
              <w:top w:w="0" w:type="dxa"/>
              <w:left w:w="108" w:type="dxa"/>
              <w:bottom w:w="0" w:type="dxa"/>
              <w:right w:w="108" w:type="dxa"/>
            </w:tcMar>
            <w:vAlign w:val="center"/>
          </w:tcPr>
          <w:p>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pPr>
              <w:spacing w:line="252" w:lineRule="auto"/>
              <w:jc w:val="center"/>
              <w:rPr>
                <w:rFonts w:eastAsia="Calibri" w:cs="Arial"/>
                <w:sz w:val="22"/>
                <w:szCs w:val="22"/>
              </w:rPr>
            </w:pPr>
            <w:r>
              <w:rPr>
                <w:rFonts w:eastAsia="Calibri" w:cs="Arial"/>
                <w:color w:val="000000"/>
                <w:sz w:val="22"/>
                <w:szCs w:val="22"/>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Calibri" w:cs="Calibri"/>
                <w:lang w:val="de-DE"/>
              </w:rPr>
            </w:pPr>
            <w:r>
              <w:rPr>
                <w:rFonts w:ascii="Calibri" w:hAnsi="Calibri" w:eastAsia="Calibri" w:cs="Calibri"/>
                <w:lang w:val="de-DE"/>
              </w:rPr>
              <w:t>COMPANY_NAME</w:t>
            </w:r>
          </w:p>
        </w:tc>
        <w:tc>
          <w:tcPr>
            <w:tcW w:w="6373" w:type="dxa"/>
            <w:tcMar>
              <w:top w:w="0" w:type="dxa"/>
              <w:left w:w="108" w:type="dxa"/>
              <w:bottom w:w="0" w:type="dxa"/>
              <w:right w:w="108" w:type="dxa"/>
            </w:tcMar>
          </w:tcPr>
          <w:p>
            <w:pPr>
              <w:spacing w:after="0"/>
              <w:jc w:val="center"/>
              <w:rPr>
                <w:rFonts w:ascii="Calibri" w:hAnsi="Calibri" w:eastAsia="Calibri" w:cs="Calibri"/>
                <w:sz w:val="22"/>
                <w:szCs w:val="22"/>
                <w:lang w:val="de-DE"/>
              </w:rPr>
            </w:pPr>
            <w:r>
              <w:rPr>
                <w:rFonts w:ascii="Calibri" w:hAnsi="Calibri" w:eastAsia="Calibri" w:cs="Calibri"/>
                <w:sz w:val="22"/>
                <w:szCs w:val="22"/>
                <w:lang w:val="de-DE"/>
              </w:rPr>
              <w:t>NAME (</w:t>
            </w:r>
            <w:r>
              <w:fldChar w:fldCharType="begin"/>
            </w:r>
            <w:r>
              <w:instrText xml:space="preserve"> HYPERLINK "mailto:email@address.com" </w:instrText>
            </w:r>
            <w:r>
              <w:fldChar w:fldCharType="separate"/>
            </w:r>
            <w:r>
              <w:rPr>
                <w:rFonts w:ascii="Calibri" w:hAnsi="Calibri" w:eastAsia="Calibri" w:cs="Calibri"/>
                <w:color w:val="0563C1"/>
                <w:sz w:val="22"/>
                <w:szCs w:val="22"/>
                <w:u w:val="single"/>
                <w:lang w:val="de-DE"/>
              </w:rPr>
              <w:t>email@address.com</w:t>
            </w:r>
            <w:r>
              <w:rPr>
                <w:rFonts w:ascii="Calibri" w:hAnsi="Calibri" w:eastAsia="Calibri" w:cs="Calibri"/>
                <w:color w:val="0563C1"/>
                <w:sz w:val="22"/>
                <w:szCs w:val="22"/>
                <w:u w:val="single"/>
                <w:lang w:val="de-DE"/>
              </w:rPr>
              <w:fldChar w:fldCharType="end"/>
            </w:r>
            <w:r>
              <w:rPr>
                <w:rFonts w:ascii="Calibri" w:hAnsi="Calibri" w:eastAsia="Calibri" w:cs="Calibri"/>
                <w:sz w:val="22"/>
                <w:szCs w:val="22"/>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r>
              <w:rPr>
                <w:rFonts w:hint="eastAsia" w:ascii="Calibri" w:hAnsi="Calibri" w:eastAsia="等线" w:cs="Calibri"/>
                <w:sz w:val="22"/>
                <w:szCs w:val="22"/>
                <w:lang w:val="de-DE"/>
              </w:rPr>
              <w:t>O</w:t>
            </w:r>
            <w:r>
              <w:rPr>
                <w:rFonts w:ascii="Calibri" w:hAnsi="Calibri" w:eastAsia="等线" w:cs="Calibri"/>
                <w:sz w:val="22"/>
                <w:szCs w:val="22"/>
                <w:lang w:val="de-DE"/>
              </w:rPr>
              <w:t>PPO</w:t>
            </w:r>
          </w:p>
        </w:tc>
        <w:tc>
          <w:tcPr>
            <w:tcW w:w="6373" w:type="dxa"/>
            <w:tcMar>
              <w:top w:w="0" w:type="dxa"/>
              <w:left w:w="108" w:type="dxa"/>
              <w:bottom w:w="0" w:type="dxa"/>
              <w:right w:w="108" w:type="dxa"/>
            </w:tcMar>
          </w:tcPr>
          <w:p>
            <w:pPr>
              <w:spacing w:after="0"/>
              <w:jc w:val="center"/>
              <w:rPr>
                <w:rFonts w:ascii="Calibri" w:hAnsi="Calibri" w:eastAsia="等线" w:cs="Calibri"/>
                <w:sz w:val="22"/>
                <w:szCs w:val="22"/>
                <w:lang w:val="it-IT"/>
              </w:rPr>
            </w:pPr>
            <w:r>
              <w:rPr>
                <w:rFonts w:hint="eastAsia" w:ascii="Calibri" w:hAnsi="Calibri" w:eastAsia="等线" w:cs="Calibri"/>
                <w:sz w:val="22"/>
                <w:szCs w:val="22"/>
                <w:lang w:val="it-IT"/>
              </w:rPr>
              <w:t>H</w:t>
            </w:r>
            <w:r>
              <w:rPr>
                <w:rFonts w:ascii="Calibri" w:hAnsi="Calibri" w:eastAsia="等线" w:cs="Calibri"/>
                <w:sz w:val="22"/>
                <w:szCs w:val="22"/>
                <w:lang w:val="it-IT"/>
              </w:rPr>
              <w:t>aitao L</w:t>
            </w:r>
            <w:r>
              <w:rPr>
                <w:rFonts w:hint="eastAsia" w:ascii="Calibri" w:hAnsi="Calibri" w:eastAsia="等线" w:cs="Calibri"/>
                <w:sz w:val="22"/>
                <w:szCs w:val="22"/>
                <w:lang w:val="it-IT"/>
              </w:rPr>
              <w:t>i</w:t>
            </w:r>
            <w:r>
              <w:rPr>
                <w:rFonts w:ascii="Calibri" w:hAnsi="Calibri" w:eastAsia="等线" w:cs="Calibri"/>
                <w:sz w:val="22"/>
                <w:szCs w:val="22"/>
                <w:lang w:val="it-IT"/>
              </w:rPr>
              <w:t xml:space="preserve"> (lihaitao@oppo.com)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r>
              <w:rPr>
                <w:rFonts w:hint="eastAsia" w:ascii="Calibri" w:hAnsi="Calibri" w:cs="Calibri" w:eastAsiaTheme="minorEastAsia"/>
                <w:sz w:val="22"/>
                <w:szCs w:val="22"/>
                <w:lang w:val="it-IT"/>
              </w:rPr>
              <w:t>CATT</w:t>
            </w: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it-IT"/>
              </w:rPr>
            </w:pPr>
            <w:r>
              <w:rPr>
                <w:rFonts w:hint="eastAsia" w:ascii="Calibri" w:hAnsi="Calibri" w:cs="Calibri" w:eastAsiaTheme="minorEastAsia"/>
                <w:sz w:val="22"/>
                <w:szCs w:val="22"/>
                <w:lang w:val="it-IT"/>
              </w:rPr>
              <w:t>Xiangdong Zhang (zhangxiangdong@catt.cn)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Nokia</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sz w:val="22"/>
                <w:szCs w:val="22"/>
                <w:lang w:val="it-IT"/>
              </w:rPr>
            </w:pPr>
            <w:r>
              <w:rPr>
                <w:rFonts w:ascii="Calibri" w:hAnsi="Calibri" w:cs="Calibri"/>
                <w:sz w:val="22"/>
                <w:szCs w:val="22"/>
                <w:lang w:val="it-IT"/>
              </w:rPr>
              <w:t>Ping Yuan (</w:t>
            </w:r>
            <w:r>
              <w:fldChar w:fldCharType="begin"/>
            </w:r>
            <w:r>
              <w:instrText xml:space="preserve"> HYPERLINK "mailto:Ping.1.Yuan@nokia-sbell.com" </w:instrText>
            </w:r>
            <w:r>
              <w:fldChar w:fldCharType="separate"/>
            </w:r>
            <w:r>
              <w:rPr>
                <w:rStyle w:val="51"/>
                <w:rFonts w:ascii="Calibri" w:hAnsi="Calibri" w:cs="Calibri"/>
                <w:sz w:val="22"/>
                <w:szCs w:val="22"/>
                <w:lang w:val="it-IT"/>
              </w:rPr>
              <w:t>Ping.1.Yuan@nokia-sbell.com</w:t>
            </w:r>
            <w:r>
              <w:rPr>
                <w:rStyle w:val="51"/>
                <w:rFonts w:ascii="Calibri" w:hAnsi="Calibri" w:cs="Calibri"/>
                <w:sz w:val="22"/>
                <w:szCs w:val="22"/>
                <w:lang w:val="it-IT"/>
              </w:rPr>
              <w:fldChar w:fldCharType="end"/>
            </w:r>
            <w:r>
              <w:rPr>
                <w:rFonts w:ascii="Calibri" w:hAnsi="Calibri" w:cs="Calibri"/>
                <w:sz w:val="22"/>
                <w:szCs w:val="22"/>
                <w:lang w:val="it-IT"/>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en-US"/>
              </w:rPr>
            </w:pPr>
            <w:r>
              <w:rPr>
                <w:rFonts w:hint="eastAsia" w:ascii="Calibri" w:hAnsi="Calibri" w:eastAsia="等线" w:cs="Calibri"/>
                <w:sz w:val="22"/>
                <w:szCs w:val="22"/>
                <w:lang w:val="en-US"/>
              </w:rPr>
              <w:t>Xiaomi</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en-US"/>
              </w:rPr>
            </w:pPr>
            <w:r>
              <w:rPr>
                <w:rFonts w:hint="eastAsia" w:ascii="Calibri" w:hAnsi="Calibri" w:eastAsia="等线" w:cs="Calibri"/>
                <w:sz w:val="22"/>
                <w:szCs w:val="22"/>
                <w:lang w:val="en-US"/>
              </w:rPr>
              <w:t>Xiaowei jiang(jiangxiaowei@xiaomi.com)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r>
              <w:rPr>
                <w:rFonts w:ascii="Calibri" w:hAnsi="Calibri" w:eastAsia="等线" w:cs="Calibri"/>
                <w:sz w:val="22"/>
                <w:szCs w:val="22"/>
                <w:lang w:val="de-DE"/>
              </w:rPr>
              <w:t>MediaTek</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en-US"/>
              </w:rPr>
              <w:t>Abhishek Roy (</w:t>
            </w:r>
            <w:r>
              <w:rPr>
                <w:rFonts w:ascii="Calibri" w:hAnsi="Calibri" w:eastAsia="等线" w:cs="Calibri"/>
                <w:sz w:val="22"/>
                <w:szCs w:val="22"/>
                <w:lang w:val="it-IT"/>
              </w:rPr>
              <w:t>Abhishek.Roy@mediatek.com)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Qualcomm</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it-IT"/>
              </w:rPr>
            </w:pPr>
            <w:r>
              <w:rPr>
                <w:rFonts w:ascii="Calibri" w:hAnsi="Calibri" w:cs="Calibri" w:eastAsiaTheme="minorEastAsia"/>
                <w:sz w:val="22"/>
                <w:szCs w:val="22"/>
                <w:lang w:val="it-IT"/>
              </w:rPr>
              <w:t>Bharat Shrestha (bshrestha@qti.qualcomm.com)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r>
              <w:rPr>
                <w:rFonts w:hint="eastAsia" w:ascii="Calibri" w:hAnsi="Calibri" w:cs="Calibri" w:eastAsiaTheme="minorEastAsia"/>
                <w:sz w:val="22"/>
                <w:szCs w:val="22"/>
                <w:lang w:val="it-IT"/>
              </w:rPr>
              <w:t>L</w:t>
            </w:r>
            <w:r>
              <w:rPr>
                <w:rFonts w:ascii="Calibri" w:hAnsi="Calibri" w:cs="Calibri" w:eastAsiaTheme="minorEastAsia"/>
                <w:sz w:val="22"/>
                <w:szCs w:val="22"/>
                <w:lang w:val="it-IT"/>
              </w:rPr>
              <w:t>enovo</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it-IT"/>
              </w:rPr>
            </w:pPr>
            <w:r>
              <w:rPr>
                <w:rFonts w:hint="eastAsia" w:ascii="Calibri" w:hAnsi="Calibri" w:cs="Calibri" w:eastAsiaTheme="minorEastAsia"/>
                <w:sz w:val="22"/>
                <w:szCs w:val="22"/>
                <w:lang w:val="it-IT"/>
              </w:rPr>
              <w:t>X</w:t>
            </w:r>
            <w:r>
              <w:rPr>
                <w:rFonts w:ascii="Calibri" w:hAnsi="Calibri" w:cs="Calibri" w:eastAsiaTheme="minorEastAsia"/>
                <w:sz w:val="22"/>
                <w:szCs w:val="22"/>
                <w:lang w:val="it-IT"/>
              </w:rPr>
              <w:t>u Min (xumin13@lenovo.com)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r>
              <w:rPr>
                <w:rFonts w:ascii="Calibri" w:hAnsi="Calibri" w:cs="Calibri" w:eastAsiaTheme="minorEastAsia"/>
                <w:sz w:val="22"/>
                <w:szCs w:val="22"/>
                <w:lang w:val="it-IT"/>
              </w:rPr>
              <w:t>Huawei, HiSilicon</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it-IT"/>
              </w:rPr>
            </w:pPr>
            <w:r>
              <w:rPr>
                <w:rFonts w:hint="eastAsia" w:ascii="Calibri" w:hAnsi="Calibri" w:cs="Calibri" w:eastAsiaTheme="minorEastAsia"/>
                <w:sz w:val="22"/>
                <w:szCs w:val="22"/>
                <w:lang w:val="it-IT"/>
              </w:rPr>
              <w:t>X</w:t>
            </w:r>
            <w:r>
              <w:rPr>
                <w:rFonts w:ascii="Calibri" w:hAnsi="Calibri" w:cs="Calibri" w:eastAsiaTheme="minorEastAsia"/>
                <w:sz w:val="22"/>
                <w:szCs w:val="22"/>
                <w:lang w:val="it-IT"/>
              </w:rPr>
              <w:t>ubin (xubin10@huawei.com)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r>
              <w:rPr>
                <w:rFonts w:ascii="Calibri" w:hAnsi="Calibri" w:eastAsia="等线" w:cs="Calibri"/>
                <w:sz w:val="22"/>
                <w:szCs w:val="22"/>
                <w:lang w:val="de-DE"/>
              </w:rPr>
              <w:t>Samsung</w:t>
            </w:r>
          </w:p>
        </w:tc>
        <w:tc>
          <w:tcPr>
            <w:tcW w:w="6373" w:type="dxa"/>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Jonas Sedin (j.sedin@samsung.com)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r>
              <w:rPr>
                <w:rFonts w:ascii="Calibri" w:hAnsi="Calibri" w:eastAsia="等线" w:cs="Calibri"/>
                <w:sz w:val="22"/>
                <w:szCs w:val="22"/>
                <w:lang w:val="de-DE"/>
              </w:rPr>
              <w:t>Ericsson</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de-DE"/>
              </w:rPr>
            </w:pPr>
            <w:r>
              <w:rPr>
                <w:rFonts w:ascii="Calibri" w:hAnsi="Calibri" w:eastAsia="MS Mincho" w:cs="Calibri"/>
                <w:sz w:val="22"/>
                <w:szCs w:val="22"/>
                <w:lang w:val="it-IT" w:eastAsia="ja-JP"/>
              </w:rPr>
              <w:t>robert.s.karlsson@ericsson.com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hint="default" w:ascii="Calibri" w:hAnsi="Calibri" w:eastAsia="宋体" w:cs="Calibri"/>
                <w:sz w:val="22"/>
                <w:szCs w:val="22"/>
                <w:lang w:val="en-US" w:eastAsia="zh-CN"/>
              </w:rPr>
            </w:pPr>
            <w:r>
              <w:rPr>
                <w:rFonts w:hint="eastAsia" w:ascii="Calibri" w:hAnsi="Calibri" w:cs="Calibri"/>
                <w:sz w:val="22"/>
                <w:szCs w:val="22"/>
                <w:lang w:val="en-US" w:eastAsia="zh-CN"/>
              </w:rPr>
              <w:t>CMCC</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hint="default" w:ascii="Calibri" w:hAnsi="Calibri" w:eastAsia="宋体" w:cs="Calibri"/>
                <w:sz w:val="22"/>
                <w:szCs w:val="22"/>
                <w:lang w:val="en-US" w:eastAsia="zh-CN"/>
              </w:rPr>
            </w:pPr>
            <w:r>
              <w:rPr>
                <w:rFonts w:hint="eastAsia" w:ascii="Calibri" w:hAnsi="Calibri" w:cs="Calibri"/>
                <w:sz w:val="22"/>
                <w:szCs w:val="22"/>
                <w:lang w:val="en-US" w:eastAsia="zh-CN"/>
              </w:rPr>
              <w:t>Jiayao Tan (tanjiayao@chinamobile.com)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nl-NL"/>
              </w:rPr>
            </w:pPr>
          </w:p>
        </w:tc>
      </w:tr>
    </w:tbl>
    <w:p>
      <w:pPr>
        <w:pStyle w:val="2"/>
        <w:numPr>
          <w:ilvl w:val="0"/>
          <w:numId w:val="11"/>
        </w:numPr>
        <w:jc w:val="both"/>
      </w:pPr>
      <w:r>
        <w:t>Discussion</w:t>
      </w:r>
      <w:bookmarkEnd w:id="2"/>
      <w:r>
        <w:rPr>
          <w:rFonts w:hint="eastAsia"/>
        </w:rPr>
        <w:t xml:space="preserve"> </w:t>
      </w:r>
    </w:p>
    <w:p>
      <w:pPr>
        <w:pStyle w:val="3"/>
      </w:pPr>
      <w:bookmarkStart w:id="3" w:name="_Hlk111505141"/>
      <w:r>
        <w:t>3.1</w:t>
      </w:r>
      <w:r>
        <w:tab/>
      </w:r>
      <w:r>
        <w:t>DL HARQ enhancements</w:t>
      </w:r>
    </w:p>
    <w:p>
      <w:pPr>
        <w:jc w:val="left"/>
        <w:rPr>
          <w:rFonts w:cs="Arial"/>
          <w:b/>
          <w:i/>
          <w:u w:val="single"/>
        </w:rPr>
      </w:pPr>
      <w:r>
        <w:rPr>
          <w:rFonts w:cs="Arial"/>
          <w:b/>
          <w:i/>
          <w:u w:val="single"/>
        </w:rPr>
        <w:t>C</w:t>
      </w:r>
      <w:r>
        <w:rPr>
          <w:rFonts w:hint="eastAsia" w:cs="Arial"/>
          <w:b/>
          <w:i/>
          <w:u w:val="single"/>
        </w:rPr>
        <w:t>orrecting</w:t>
      </w:r>
      <w:r>
        <w:rPr>
          <w:rFonts w:cs="Arial"/>
          <w:b/>
          <w:i/>
          <w:u w:val="single"/>
        </w:rPr>
        <w:t xml:space="preserve"> </w:t>
      </w:r>
      <w:r>
        <w:rPr>
          <w:rFonts w:hint="eastAsia" w:cs="Arial"/>
          <w:b/>
          <w:i/>
          <w:u w:val="single"/>
        </w:rPr>
        <w:t>previous</w:t>
      </w:r>
      <w:r>
        <w:rPr>
          <w:rFonts w:cs="Arial"/>
          <w:b/>
          <w:i/>
          <w:u w:val="single"/>
        </w:rPr>
        <w:t xml:space="preserve"> </w:t>
      </w:r>
      <w:r>
        <w:rPr>
          <w:rFonts w:hint="eastAsia" w:cs="Arial"/>
          <w:b/>
          <w:i/>
          <w:u w:val="single"/>
        </w:rPr>
        <w:t>agreement</w:t>
      </w:r>
      <w:r>
        <w:rPr>
          <w:rFonts w:cs="Arial"/>
          <w:b/>
          <w:i/>
          <w:u w:val="single"/>
        </w:rPr>
        <w:t>s</w:t>
      </w:r>
      <w:r>
        <w:rPr>
          <w:rFonts w:hint="eastAsia" w:cs="Arial"/>
          <w:b/>
          <w:i/>
          <w:u w:val="single"/>
        </w:rPr>
        <w:t>?</w:t>
      </w:r>
    </w:p>
    <w:p>
      <w:pPr>
        <w:jc w:val="left"/>
        <w:rPr>
          <w:rFonts w:cs="Arial"/>
        </w:rPr>
      </w:pPr>
      <w:r>
        <w:rPr>
          <w:rFonts w:cs="Arial"/>
        </w:rPr>
        <w:t>I</w:t>
      </w:r>
      <w:r>
        <w:rPr>
          <w:rFonts w:hint="eastAsia" w:cs="Arial"/>
        </w:rPr>
        <w:t>n</w:t>
      </w:r>
      <w:r>
        <w:rPr>
          <w:rFonts w:cs="Arial"/>
        </w:rPr>
        <w:t xml:space="preserve"> </w:t>
      </w:r>
      <w:r>
        <w:rPr>
          <w:rFonts w:hint="eastAsia" w:cs="Arial"/>
        </w:rPr>
        <w:t>following</w:t>
      </w:r>
      <w:r>
        <w:rPr>
          <w:rFonts w:cs="Arial"/>
        </w:rPr>
        <w:t xml:space="preserve"> </w:t>
      </w:r>
      <w:r>
        <w:rPr>
          <w:rFonts w:hint="eastAsia" w:cs="Arial"/>
        </w:rPr>
        <w:t>contribution,</w:t>
      </w:r>
      <w:r>
        <w:rPr>
          <w:rFonts w:cs="Arial"/>
        </w:rPr>
        <w:t xml:space="preserve"> companies want to correct a previous agreement.</w:t>
      </w:r>
    </w:p>
    <w:p>
      <w:pPr>
        <w:pStyle w:val="89"/>
        <w:numPr>
          <w:ilvl w:val="0"/>
          <w:numId w:val="12"/>
        </w:numPr>
        <w:pBdr>
          <w:top w:val="single" w:color="auto" w:sz="4" w:space="1"/>
          <w:left w:val="single" w:color="auto" w:sz="4" w:space="4"/>
          <w:bottom w:val="single" w:color="auto" w:sz="4" w:space="1"/>
          <w:right w:val="single" w:color="auto" w:sz="4" w:space="4"/>
        </w:pBdr>
      </w:pPr>
      <w:r>
        <w:t>For NB-IoT NTN with single HARQ process when the HARQ feedback is disabled, the UE will start/restart drx-inactivity timer in the subframe containing the last repetition of the corresponding PDSCH reception plus 12 subframes.</w:t>
      </w:r>
    </w:p>
    <w:p>
      <w:pPr>
        <w:jc w:val="left"/>
        <w:rPr>
          <w:rFonts w:cs="Arial"/>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rPr>
                <w:rFonts w:cs="Arial"/>
              </w:rPr>
            </w:pPr>
            <w:r>
              <w:rPr>
                <w:rFonts w:cs="Arial"/>
              </w:rPr>
              <w:t xml:space="preserve">Contributions </w:t>
            </w:r>
          </w:p>
        </w:tc>
        <w:tc>
          <w:tcPr>
            <w:tcW w:w="8358" w:type="dxa"/>
          </w:tcPr>
          <w:p>
            <w:pPr>
              <w:jc w:val="left"/>
              <w:rPr>
                <w:rFonts w:cs="Arial"/>
              </w:rPr>
            </w:pPr>
            <w:r>
              <w:rPr>
                <w:rFonts w:cs="Arial"/>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rPr>
                <w:rFonts w:cs="Arial"/>
              </w:rPr>
            </w:pPr>
            <w:r>
              <w:rPr>
                <w:rFonts w:hint="eastAsia" w:cs="Arial"/>
              </w:rPr>
              <w:t>[</w:t>
            </w:r>
            <w:r>
              <w:rPr>
                <w:rFonts w:cs="Arial"/>
              </w:rPr>
              <w:t>5]</w:t>
            </w:r>
          </w:p>
        </w:tc>
        <w:tc>
          <w:tcPr>
            <w:tcW w:w="8358" w:type="dxa"/>
          </w:tcPr>
          <w:p>
            <w:pPr>
              <w:spacing w:after="100" w:line="264" w:lineRule="auto"/>
              <w:rPr>
                <w:bCs/>
              </w:rPr>
            </w:pPr>
            <w:r>
              <w:rPr>
                <w:rFonts w:hint="eastAsia"/>
                <w:bCs/>
              </w:rPr>
              <w:t xml:space="preserve">Proposal 1: </w:t>
            </w:r>
            <w:r>
              <w:rPr>
                <w:bCs/>
              </w:rPr>
              <w:t>To correct a previous agreement as below:</w:t>
            </w:r>
          </w:p>
          <w:p>
            <w:pPr>
              <w:spacing w:line="264" w:lineRule="auto"/>
              <w:rPr>
                <w:bCs/>
              </w:rPr>
            </w:pPr>
            <w:r>
              <w:rPr>
                <w:bCs/>
              </w:rPr>
              <w:t>For NB-IoT NTN with single HARQ process when the HARQ feedback is disabled, the UE will start/restart drx-inactivity timer in the subframe containing the last repetition of the corresponding PDSCH reception plus 12 subframes</w:t>
            </w:r>
            <w:r>
              <w:rPr>
                <w:rFonts w:hint="eastAsia"/>
                <w:bCs/>
                <w:color w:val="FF0000"/>
              </w:rPr>
              <w:t xml:space="preserve"> plus deltaPDCCH</w:t>
            </w:r>
            <w:r>
              <w:rPr>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rPr>
                <w:rFonts w:cs="Arial"/>
              </w:rPr>
            </w:pPr>
            <w:r>
              <w:rPr>
                <w:rFonts w:hint="eastAsia" w:cs="Arial"/>
              </w:rPr>
              <w:t>[</w:t>
            </w:r>
            <w:r>
              <w:rPr>
                <w:rFonts w:cs="Arial"/>
              </w:rPr>
              <w:t>4]</w:t>
            </w:r>
          </w:p>
        </w:tc>
        <w:tc>
          <w:tcPr>
            <w:tcW w:w="8358" w:type="dxa"/>
          </w:tcPr>
          <w:p>
            <w:pPr>
              <w:spacing w:after="100" w:line="264" w:lineRule="auto"/>
              <w:rPr>
                <w:bCs/>
              </w:rPr>
            </w:pPr>
            <w:r>
              <w:rPr>
                <w:bCs/>
              </w:rPr>
              <w:t>Observation 1: The drx-inactivity timer also applies to two DL HARQ processes case.</w:t>
            </w:r>
          </w:p>
          <w:p>
            <w:pPr>
              <w:spacing w:after="100" w:line="264" w:lineRule="auto"/>
              <w:rPr>
                <w:bCs/>
              </w:rPr>
            </w:pPr>
            <w:r>
              <w:rPr>
                <w:bCs/>
              </w:rPr>
              <w:t>Observation 2: The drx-inactivity timer is in unit of PP, if it is not started at the beginning of PDCCH period, it will lead to a PDCCH decode failure.</w:t>
            </w:r>
          </w:p>
          <w:p>
            <w:pPr>
              <w:spacing w:after="100" w:line="264" w:lineRule="auto"/>
              <w:rPr>
                <w:bCs/>
              </w:rPr>
            </w:pPr>
            <w:r>
              <w:rPr>
                <w:bCs/>
              </w:rPr>
              <w:t xml:space="preserve">Proposal 1: For NB-Iot NTN, when the HARQ feedback is disabled for the transmission, the UE will start/restart drx-inactivity timer in the subframe containing the last repetition of the corresponding PDSCH reception + 12 subframes </w:t>
            </w:r>
            <w:r>
              <w:rPr>
                <w:bCs/>
                <w:color w:val="FF0000"/>
              </w:rPr>
              <w:t>+ PDCCH offset.</w:t>
            </w:r>
          </w:p>
        </w:tc>
      </w:tr>
    </w:tbl>
    <w:p>
      <w:pPr>
        <w:jc w:val="left"/>
        <w:rPr>
          <w:rFonts w:cs="Arial"/>
        </w:rPr>
      </w:pPr>
    </w:p>
    <w:p>
      <w:pPr>
        <w:jc w:val="left"/>
        <w:rPr>
          <w:rFonts w:cs="Arial"/>
        </w:rPr>
      </w:pPr>
      <w:r>
        <w:rPr>
          <w:rFonts w:cs="Arial"/>
        </w:rPr>
        <w:t xml:space="preserve">Note that in RAN2#120, </w:t>
      </w:r>
      <w:r>
        <w:rPr>
          <w:rFonts w:cs="Arial"/>
          <w:highlight w:val="yellow"/>
        </w:rPr>
        <w:t>comments related to deltaPDCCH was raised but not agreed.</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18"/>
            </w:pPr>
            <w:r>
              <w:t>Proposal 1</w:t>
            </w:r>
            <w:r>
              <w:tab/>
            </w:r>
            <w:r>
              <w:t>For NB-IoT NTN with single HARQ process when the HARQ feedback is disabled, the UE will start/restart drx-inactivity timer in the subframe containing the last repetition of the corresponding PDSCH reception plus 12 subframes.</w:t>
            </w:r>
          </w:p>
          <w:p>
            <w:pPr>
              <w:pStyle w:val="126"/>
              <w:numPr>
                <w:ilvl w:val="0"/>
                <w:numId w:val="13"/>
              </w:numPr>
              <w:rPr>
                <w:i w:val="0"/>
                <w:highlight w:val="yellow"/>
              </w:rPr>
            </w:pPr>
            <w:r>
              <w:rPr>
                <w:i w:val="0"/>
                <w:highlight w:val="yellow"/>
              </w:rPr>
              <w:t>Oppo wonders if we need to take into account deltaPDCCH. Nokia thinks this should not be considered</w:t>
            </w:r>
          </w:p>
          <w:p>
            <w:pPr>
              <w:pStyle w:val="89"/>
              <w:numPr>
                <w:ilvl w:val="0"/>
                <w:numId w:val="13"/>
              </w:numPr>
            </w:pPr>
            <w:r>
              <w:t>CATT supports this</w:t>
            </w:r>
          </w:p>
          <w:p>
            <w:pPr>
              <w:pStyle w:val="89"/>
              <w:numPr>
                <w:ilvl w:val="0"/>
                <w:numId w:val="13"/>
              </w:numPr>
            </w:pPr>
            <w:r>
              <w:t xml:space="preserve">ZTE would like to reconsider this </w:t>
            </w:r>
          </w:p>
          <w:p>
            <w:pPr>
              <w:pStyle w:val="89"/>
              <w:numPr>
                <w:ilvl w:val="0"/>
                <w:numId w:val="13"/>
              </w:numPr>
            </w:pPr>
            <w:r>
              <w:t>Oppo thinks we should keep it simple and align to RAN1. Samsung agrees with Oppo</w:t>
            </w:r>
          </w:p>
          <w:p>
            <w:pPr>
              <w:pStyle w:val="89"/>
              <w:numPr>
                <w:ilvl w:val="0"/>
                <w:numId w:val="13"/>
              </w:numPr>
            </w:pPr>
            <w:r>
              <w:t>Ericsson wonders about the situation for eMTC</w:t>
            </w:r>
          </w:p>
          <w:p>
            <w:pPr>
              <w:pStyle w:val="89"/>
              <w:numPr>
                <w:ilvl w:val="0"/>
                <w:numId w:val="14"/>
              </w:numPr>
            </w:pPr>
            <w:r>
              <w:t>Agreed</w:t>
            </w:r>
          </w:p>
        </w:tc>
      </w:tr>
    </w:tbl>
    <w:p>
      <w:pPr>
        <w:jc w:val="left"/>
        <w:rPr>
          <w:rFonts w:cs="Arial"/>
        </w:rPr>
      </w:pPr>
    </w:p>
    <w:p>
      <w:pPr>
        <w:rPr>
          <w:rFonts w:cs="Arial"/>
          <w:b/>
          <w:lang w:val="en-US"/>
        </w:rPr>
      </w:pPr>
      <w:r>
        <w:rPr>
          <w:rFonts w:cs="Arial"/>
          <w:b/>
          <w:bCs/>
        </w:rPr>
        <w:t xml:space="preserve">Question </w:t>
      </w:r>
      <w:r>
        <w:rPr>
          <w:rFonts w:cs="Arial"/>
          <w:b/>
          <w:bCs/>
          <w:lang w:val="en-US"/>
        </w:rPr>
        <w:t>1</w:t>
      </w:r>
      <w:r>
        <w:rPr>
          <w:rFonts w:cs="Arial"/>
          <w:b/>
        </w:rPr>
        <w:t>: Do com</w:t>
      </w:r>
      <w:r>
        <w:rPr>
          <w:rFonts w:cs="Arial"/>
          <w:b/>
          <w:lang w:val="en-US"/>
        </w:rPr>
        <w:t>panies support correcting a previous agreement by adding “plus deltaPDCCH”</w:t>
      </w:r>
      <w:r>
        <w:rPr>
          <w:rFonts w:hint="eastAsia" w:cs="Arial"/>
          <w:b/>
          <w:lang w:val="en-US"/>
        </w:rPr>
        <w:t>?</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tabs>
                <w:tab w:val="left" w:pos="100"/>
              </w:tabs>
              <w:rPr>
                <w:rFonts w:eastAsia="等线"/>
              </w:rPr>
            </w:pPr>
            <w:r>
              <w:rPr>
                <w:rFonts w:eastAsia="等线"/>
              </w:rPr>
              <w:tab/>
            </w:r>
            <w:r>
              <w:rPr>
                <w:rFonts w:eastAsia="等线"/>
              </w:rPr>
              <w:t>OPPO</w:t>
            </w:r>
          </w:p>
        </w:tc>
        <w:tc>
          <w:tcPr>
            <w:tcW w:w="2113" w:type="dxa"/>
            <w:shd w:val="clear" w:color="auto" w:fill="auto"/>
          </w:tcPr>
          <w:p>
            <w:pPr>
              <w:rPr>
                <w:rFonts w:eastAsia="等线"/>
              </w:rPr>
            </w:pPr>
            <w:r>
              <w:rPr>
                <w:rFonts w:hint="eastAsia" w:eastAsia="等线"/>
              </w:rPr>
              <w:t>Agree</w:t>
            </w:r>
          </w:p>
        </w:tc>
        <w:tc>
          <w:tcPr>
            <w:tcW w:w="5954" w:type="dxa"/>
            <w:shd w:val="clear" w:color="auto" w:fill="auto"/>
          </w:tcPr>
          <w:p>
            <w:pPr>
              <w:jc w:val="left"/>
              <w:rPr>
                <w:rFonts w:eastAsia="等线"/>
              </w:rPr>
            </w:pPr>
            <w:r>
              <w:rPr>
                <w:rFonts w:eastAsia="等线"/>
              </w:rPr>
              <w:t xml:space="preserve">As </w:t>
            </w:r>
            <w:r>
              <w:t>drx-inactivity timer is in unit of PP, it would be better if it starts at the beginning of a PDCCH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CATT</w:t>
            </w:r>
          </w:p>
        </w:tc>
        <w:tc>
          <w:tcPr>
            <w:tcW w:w="2113" w:type="dxa"/>
            <w:shd w:val="clear" w:color="auto" w:fill="auto"/>
          </w:tcPr>
          <w:p>
            <w:pPr>
              <w:rPr>
                <w:rFonts w:eastAsia="等线"/>
              </w:rPr>
            </w:pPr>
          </w:p>
        </w:tc>
        <w:tc>
          <w:tcPr>
            <w:tcW w:w="5954" w:type="dxa"/>
            <w:shd w:val="clear" w:color="auto" w:fill="auto"/>
          </w:tcPr>
          <w:p>
            <w:pPr>
              <w:rPr>
                <w:rFonts w:eastAsia="等线"/>
              </w:rPr>
            </w:pPr>
            <w:r>
              <w:rPr>
                <w:rFonts w:eastAsia="等线"/>
              </w:rPr>
              <w:t>U</w:t>
            </w:r>
            <w:r>
              <w:rPr>
                <w:rFonts w:hint="eastAsia" w:eastAsia="等线"/>
              </w:rPr>
              <w:t xml:space="preserve">nderstand the intention, but as the </w:t>
            </w:r>
            <w:r>
              <w:rPr>
                <w:rFonts w:eastAsia="等线"/>
              </w:rPr>
              <w:t>Rapporteur</w:t>
            </w:r>
            <w:r>
              <w:rPr>
                <w:rFonts w:hint="eastAsia" w:eastAsia="等线"/>
              </w:rPr>
              <w:t xml:space="preserve"> reminded, maybe not necessary to re-open the discussion on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p>
        </w:tc>
        <w:tc>
          <w:tcPr>
            <w:tcW w:w="5954" w:type="dxa"/>
            <w:shd w:val="clear" w:color="auto" w:fill="auto"/>
          </w:tcPr>
          <w:p>
            <w:pPr>
              <w:rPr>
                <w:rFonts w:eastAsia="等线"/>
              </w:rPr>
            </w:pPr>
            <w:r>
              <w:rPr>
                <w:rFonts w:eastAsia="等线"/>
              </w:rPr>
              <w:t>Though it is a further optimization, we can accept the proposal to revise the agreement if this is the majority review.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lang w:val="en-US"/>
              </w:rPr>
            </w:pPr>
            <w:r>
              <w:rPr>
                <w:rFonts w:hint="eastAsia" w:eastAsia="等线"/>
                <w:lang w:val="en-US"/>
              </w:rPr>
              <w:t>Xiaomi</w:t>
            </w:r>
          </w:p>
        </w:tc>
        <w:tc>
          <w:tcPr>
            <w:tcW w:w="2113" w:type="dxa"/>
            <w:shd w:val="clear" w:color="auto" w:fill="auto"/>
          </w:tcPr>
          <w:p>
            <w:pPr>
              <w:rPr>
                <w:rFonts w:eastAsia="等线"/>
              </w:rPr>
            </w:pPr>
          </w:p>
        </w:tc>
        <w:tc>
          <w:tcPr>
            <w:tcW w:w="5954" w:type="dxa"/>
            <w:shd w:val="clear" w:color="auto" w:fill="auto"/>
          </w:tcPr>
          <w:p>
            <w:pPr>
              <w:rPr>
                <w:rFonts w:eastAsia="等线"/>
                <w:lang w:val="en-US"/>
              </w:rPr>
            </w:pPr>
            <w:r>
              <w:rPr>
                <w:rFonts w:hint="eastAsia" w:eastAsia="等线"/>
                <w:lang w:val="en-US"/>
              </w:rPr>
              <w:t>Do not see strong need to further optimize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MediaTek</w:t>
            </w:r>
          </w:p>
        </w:tc>
        <w:tc>
          <w:tcPr>
            <w:tcW w:w="2113" w:type="dxa"/>
            <w:shd w:val="clear" w:color="auto" w:fill="auto"/>
          </w:tcPr>
          <w:p>
            <w:pPr>
              <w:rPr>
                <w:rFonts w:eastAsia="等线"/>
              </w:rPr>
            </w:pPr>
            <w:r>
              <w:rPr>
                <w:rFonts w:eastAsia="等线"/>
              </w:rPr>
              <w:t>Agree</w:t>
            </w:r>
          </w:p>
        </w:tc>
        <w:tc>
          <w:tcPr>
            <w:tcW w:w="5954" w:type="dxa"/>
            <w:shd w:val="clear" w:color="auto" w:fill="auto"/>
          </w:tcPr>
          <w:p>
            <w:pPr>
              <w:jc w:val="left"/>
              <w:rPr>
                <w:rFonts w:eastAsia="等线"/>
              </w:rPr>
            </w:pPr>
            <w:r>
              <w:rPr>
                <w:rFonts w:eastAsia="等线"/>
              </w:rPr>
              <w:t>As mentioned in our Tdoc [4], to avoid monitoring partial PDCCH occasion, PDCCH offset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Qualcomm</w:t>
            </w:r>
          </w:p>
        </w:tc>
        <w:tc>
          <w:tcPr>
            <w:tcW w:w="2113" w:type="dxa"/>
            <w:shd w:val="clear" w:color="auto" w:fill="auto"/>
          </w:tcPr>
          <w:p>
            <w:pPr>
              <w:rPr>
                <w:rFonts w:eastAsia="等线"/>
              </w:rPr>
            </w:pPr>
            <w:r>
              <w:rPr>
                <w:rFonts w:eastAsia="等线"/>
              </w:rPr>
              <w:t>Agree</w:t>
            </w:r>
          </w:p>
        </w:tc>
        <w:tc>
          <w:tcPr>
            <w:tcW w:w="5954" w:type="dxa"/>
            <w:shd w:val="clear" w:color="auto" w:fill="auto"/>
          </w:tcPr>
          <w:p>
            <w:pPr>
              <w:rPr>
                <w:rFonts w:eastAsia="等线"/>
              </w:rPr>
            </w:pPr>
            <w:r>
              <w:rPr>
                <w:rFonts w:eastAsia="等线"/>
              </w:rPr>
              <w:t>This is needed to start the timer from the PDCCH occasion. The value of deltaPDCCH can be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L</w:t>
            </w:r>
            <w:r>
              <w:rPr>
                <w:rFonts w:eastAsia="等线"/>
              </w:rPr>
              <w:t>enovo</w:t>
            </w:r>
          </w:p>
        </w:tc>
        <w:tc>
          <w:tcPr>
            <w:tcW w:w="2113" w:type="dxa"/>
            <w:shd w:val="clear" w:color="auto" w:fill="auto"/>
          </w:tcPr>
          <w:p>
            <w:pPr>
              <w:rPr>
                <w:rFonts w:eastAsia="等线"/>
              </w:rPr>
            </w:pPr>
          </w:p>
        </w:tc>
        <w:tc>
          <w:tcPr>
            <w:tcW w:w="5954" w:type="dxa"/>
            <w:shd w:val="clear" w:color="auto" w:fill="auto"/>
          </w:tcPr>
          <w:p>
            <w:pPr>
              <w:rPr>
                <w:rFonts w:eastAsia="等线"/>
              </w:rPr>
            </w:pPr>
            <w:r>
              <w:rPr>
                <w:rFonts w:hint="eastAsia" w:eastAsia="等线"/>
              </w:rPr>
              <w:t>W</w:t>
            </w:r>
            <w:r>
              <w:rPr>
                <w:rFonts w:eastAsia="等线"/>
              </w:rPr>
              <w:t>e see no essential need but can follow majority’s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ascii="Calibri" w:hAnsi="Calibri" w:cs="Calibri" w:eastAsiaTheme="minorEastAsia"/>
                <w:sz w:val="22"/>
                <w:szCs w:val="22"/>
                <w:lang w:val="it-IT"/>
              </w:rPr>
              <w:t>Huawei, HiSilicon</w:t>
            </w:r>
          </w:p>
        </w:tc>
        <w:tc>
          <w:tcPr>
            <w:tcW w:w="2113" w:type="dxa"/>
            <w:shd w:val="clear" w:color="auto" w:fill="auto"/>
          </w:tcPr>
          <w:p>
            <w:pPr>
              <w:rPr>
                <w:rFonts w:eastAsia="等线"/>
              </w:rPr>
            </w:pPr>
            <w:r>
              <w:rPr>
                <w:rFonts w:hint="eastAsia" w:eastAsia="等线"/>
              </w:rPr>
              <w:t>A</w:t>
            </w:r>
            <w:r>
              <w:rPr>
                <w:rFonts w:eastAsia="等线"/>
              </w:rPr>
              <w:t>gree</w:t>
            </w:r>
          </w:p>
        </w:tc>
        <w:tc>
          <w:tcPr>
            <w:tcW w:w="5954" w:type="dxa"/>
            <w:shd w:val="clear" w:color="auto" w:fill="auto"/>
          </w:tcPr>
          <w:p>
            <w:pPr>
              <w:rPr>
                <w:rFonts w:eastAsia="等线"/>
              </w:rPr>
            </w:pPr>
            <w:r>
              <w:rPr>
                <w:rFonts w:hint="eastAsia" w:eastAsia="等线"/>
              </w:rPr>
              <w:t>N</w:t>
            </w:r>
            <w:r>
              <w:rPr>
                <w:rFonts w:eastAsia="等线"/>
              </w:rPr>
              <w:t>ot essential but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ascii="Calibri" w:hAnsi="Calibri" w:cs="Calibri" w:eastAsiaTheme="minorEastAsia"/>
                <w:sz w:val="22"/>
                <w:szCs w:val="22"/>
                <w:lang w:val="it-IT"/>
              </w:rPr>
            </w:pPr>
            <w:r>
              <w:rPr>
                <w:rFonts w:ascii="Calibri" w:hAnsi="Calibri" w:cs="Calibri" w:eastAsiaTheme="minorEastAsia"/>
                <w:sz w:val="22"/>
                <w:szCs w:val="22"/>
                <w:lang w:val="it-IT"/>
              </w:rPr>
              <w:t>Samsung</w:t>
            </w:r>
          </w:p>
        </w:tc>
        <w:tc>
          <w:tcPr>
            <w:tcW w:w="2113" w:type="dxa"/>
            <w:shd w:val="clear" w:color="auto" w:fill="auto"/>
          </w:tcPr>
          <w:p>
            <w:pPr>
              <w:rPr>
                <w:rFonts w:eastAsia="等线"/>
              </w:rPr>
            </w:pPr>
          </w:p>
        </w:tc>
        <w:tc>
          <w:tcPr>
            <w:tcW w:w="5954" w:type="dxa"/>
            <w:shd w:val="clear" w:color="auto" w:fill="auto"/>
          </w:tcPr>
          <w:p>
            <w:pPr>
              <w:rPr>
                <w:rFonts w:eastAsia="等线"/>
              </w:rPr>
            </w:pPr>
            <w:r>
              <w:rPr>
                <w:rFonts w:eastAsia="等线"/>
              </w:rPr>
              <w:t>Same view as others – not essential but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ascii="Calibri" w:hAnsi="Calibri" w:cs="Calibri" w:eastAsiaTheme="minorEastAsia"/>
                <w:sz w:val="22"/>
                <w:szCs w:val="22"/>
                <w:lang w:val="it-IT"/>
              </w:rPr>
            </w:pPr>
            <w:r>
              <w:rPr>
                <w:rFonts w:eastAsia="等线"/>
              </w:rPr>
              <w:t>Ericsson</w:t>
            </w:r>
          </w:p>
        </w:tc>
        <w:tc>
          <w:tcPr>
            <w:tcW w:w="2113" w:type="dxa"/>
            <w:shd w:val="clear" w:color="auto" w:fill="auto"/>
          </w:tcPr>
          <w:p>
            <w:pPr>
              <w:rPr>
                <w:rFonts w:eastAsia="等线"/>
              </w:rPr>
            </w:pPr>
            <w:r>
              <w:rPr>
                <w:rFonts w:eastAsia="等线"/>
              </w:rPr>
              <w:t>Disagree</w:t>
            </w:r>
          </w:p>
        </w:tc>
        <w:tc>
          <w:tcPr>
            <w:tcW w:w="5954" w:type="dxa"/>
            <w:shd w:val="clear" w:color="auto" w:fill="auto"/>
          </w:tcPr>
          <w:p>
            <w:pPr>
              <w:rPr>
                <w:rFonts w:eastAsia="等线"/>
              </w:rPr>
            </w:pPr>
            <w:r>
              <w:rPr>
                <w:rFonts w:eastAsia="等线"/>
              </w:rPr>
              <w:t>This is a possible optimization, but the same issue seems to be there for legacy too. For onDurationTimer there is this clarification in MAC 5.7:</w:t>
            </w:r>
          </w:p>
          <w:p>
            <w:pPr>
              <w:ind w:left="567"/>
            </w:pPr>
            <w:r>
              <w:t xml:space="preserve">For NB-IoT, </w:t>
            </w:r>
            <w:r>
              <w:rPr>
                <w:i/>
              </w:rPr>
              <w:t>onDurationTimer</w:t>
            </w:r>
            <w:r>
              <w:t xml:space="preserve"> may start within a PDCCH period and end within a PDCCH period. The UE shall monitor NPDCCH during these partial PDCCH periods while </w:t>
            </w:r>
            <w:r>
              <w:rPr>
                <w:i/>
              </w:rPr>
              <w:t>onDurationTimer</w:t>
            </w:r>
            <w:r>
              <w:t xml:space="preserve"> is running.</w:t>
            </w:r>
          </w:p>
          <w:p>
            <w:pPr>
              <w:rPr>
                <w:rFonts w:eastAsia="等线"/>
              </w:rPr>
            </w:pPr>
            <w:r>
              <w:rPr>
                <w:rFonts w:eastAsia="等线"/>
              </w:rPr>
              <w:t xml:space="preserve">We may include a similar statement for InactivityTimer instead, to make it clear how the UE shall behave.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vAlign w:val="top"/>
          </w:tcPr>
          <w:p>
            <w:pPr>
              <w:rPr>
                <w:rFonts w:hint="default" w:ascii="Arial" w:hAnsi="Arial" w:eastAsia="等线" w:cs="Times New Roman"/>
                <w:lang w:val="it-IT" w:eastAsia="zh-CN" w:bidi="ar-SA"/>
              </w:rPr>
            </w:pPr>
            <w:r>
              <w:rPr>
                <w:rFonts w:hint="eastAsia" w:eastAsia="等线"/>
                <w:lang w:val="en-US" w:eastAsia="zh-CN"/>
              </w:rPr>
              <w:t>CMCC</w:t>
            </w:r>
          </w:p>
        </w:tc>
        <w:tc>
          <w:tcPr>
            <w:tcW w:w="2113" w:type="dxa"/>
            <w:shd w:val="clear" w:color="auto" w:fill="auto"/>
            <w:vAlign w:val="top"/>
          </w:tcPr>
          <w:p>
            <w:pPr>
              <w:rPr>
                <w:rFonts w:ascii="Arial" w:hAnsi="Arial" w:eastAsia="等线" w:cs="Times New Roman"/>
                <w:lang w:val="en-GB" w:eastAsia="zh-CN" w:bidi="ar-SA"/>
              </w:rPr>
            </w:pPr>
          </w:p>
        </w:tc>
        <w:tc>
          <w:tcPr>
            <w:tcW w:w="5954" w:type="dxa"/>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Share similar view with CATT.</w:t>
            </w:r>
          </w:p>
        </w:tc>
      </w:tr>
    </w:tbl>
    <w:p>
      <w:pPr>
        <w:jc w:val="left"/>
        <w:rPr>
          <w:rFonts w:cs="Arial"/>
        </w:rPr>
      </w:pPr>
    </w:p>
    <w:p>
      <w:pPr>
        <w:jc w:val="left"/>
        <w:rPr>
          <w:rFonts w:cs="Arial"/>
          <w:b/>
          <w:i/>
          <w:u w:val="single"/>
        </w:rPr>
      </w:pPr>
      <w:r>
        <w:rPr>
          <w:rFonts w:cs="Arial"/>
          <w:b/>
          <w:i/>
          <w:u w:val="single"/>
        </w:rPr>
        <w:t>How to enable/configure DCI-based HARQ feedback enabling/disabling indication</w:t>
      </w:r>
      <w:r>
        <w:rPr>
          <w:rFonts w:hint="eastAsia" w:cs="Arial"/>
          <w:b/>
          <w:i/>
          <w:u w:val="single"/>
        </w:rPr>
        <w:t>?</w:t>
      </w:r>
    </w:p>
    <w:p>
      <w:pPr>
        <w:rPr>
          <w:rFonts w:cs="Arial"/>
        </w:rPr>
      </w:pPr>
      <w:r>
        <w:rPr>
          <w:rFonts w:cs="Arial"/>
        </w:rPr>
        <w:t xml:space="preserve">For DL HARQ feedback enabled/disabled, currently RAN1 is considering both RRC-based and DCI-based solutions. In the last meeting, RAN1 has confirmed the following working assumption, with updates: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r>
              <w:t>Confirm the following working assumption with the following update:</w:t>
            </w:r>
          </w:p>
          <w:p>
            <w:pPr>
              <w:ind w:left="200" w:leftChars="100"/>
              <w:rPr>
                <w:iCs/>
              </w:rPr>
            </w:pPr>
            <w:r>
              <w:rPr>
                <w:iCs/>
                <w:highlight w:val="darkYellow"/>
              </w:rPr>
              <w:t>Working assumption</w:t>
            </w:r>
          </w:p>
          <w:p>
            <w:pPr>
              <w:ind w:left="200" w:leftChars="100"/>
              <w:rPr>
                <w:rFonts w:eastAsia="Calibri"/>
                <w:iCs/>
                <w:sz w:val="18"/>
                <w:szCs w:val="18"/>
                <w:lang w:val="en-US"/>
              </w:rPr>
            </w:pPr>
            <w:r>
              <w:rPr>
                <w:rFonts w:eastAsia="Calibri"/>
                <w:iCs/>
                <w:sz w:val="18"/>
                <w:szCs w:val="18"/>
                <w:lang w:val="en-US"/>
              </w:rPr>
              <w:t>For NB-IoT NTN and eMTC NTN for CE Mode B, to configure/indicate enabling/disabling of HARQ feedback for downlink transmission:</w:t>
            </w:r>
          </w:p>
          <w:p>
            <w:pPr>
              <w:numPr>
                <w:ilvl w:val="0"/>
                <w:numId w:val="15"/>
              </w:numPr>
              <w:overflowPunct/>
              <w:autoSpaceDE/>
              <w:autoSpaceDN/>
              <w:adjustRightInd/>
              <w:snapToGrid w:val="0"/>
              <w:spacing w:after="0"/>
              <w:ind w:left="620" w:leftChars="310"/>
              <w:jc w:val="left"/>
              <w:textAlignment w:val="auto"/>
              <w:rPr>
                <w:iCs/>
                <w:sz w:val="18"/>
                <w:szCs w:val="18"/>
              </w:rPr>
            </w:pPr>
            <w:r>
              <w:rPr>
                <w:iCs/>
                <w:sz w:val="18"/>
                <w:szCs w:val="18"/>
              </w:rPr>
              <w:t xml:space="preserve">Support Option 1 in case only per-HARQ process bitmap signaling is configured </w:t>
            </w:r>
          </w:p>
          <w:p>
            <w:pPr>
              <w:numPr>
                <w:ilvl w:val="0"/>
                <w:numId w:val="15"/>
              </w:numPr>
              <w:overflowPunct/>
              <w:autoSpaceDE/>
              <w:autoSpaceDN/>
              <w:adjustRightInd/>
              <w:snapToGrid w:val="0"/>
              <w:spacing w:after="0"/>
              <w:ind w:left="620" w:leftChars="310"/>
              <w:jc w:val="left"/>
              <w:textAlignment w:val="auto"/>
              <w:rPr>
                <w:iCs/>
                <w:sz w:val="18"/>
                <w:szCs w:val="18"/>
              </w:rPr>
            </w:pPr>
            <w:r>
              <w:rPr>
                <w:iCs/>
                <w:sz w:val="18"/>
                <w:szCs w:val="18"/>
              </w:rPr>
              <w:t>Support Option 3 DCI direct indication of HARQ feedback enable/disable in case only DCI solution enabling/disabling signaling is configured</w:t>
            </w:r>
          </w:p>
          <w:p>
            <w:pPr>
              <w:numPr>
                <w:ilvl w:val="0"/>
                <w:numId w:val="15"/>
              </w:numPr>
              <w:overflowPunct/>
              <w:autoSpaceDE/>
              <w:autoSpaceDN/>
              <w:adjustRightInd/>
              <w:snapToGrid w:val="0"/>
              <w:spacing w:after="0"/>
              <w:ind w:left="620" w:leftChars="310"/>
              <w:jc w:val="left"/>
              <w:textAlignment w:val="auto"/>
              <w:rPr>
                <w:iCs/>
                <w:sz w:val="18"/>
                <w:szCs w:val="18"/>
              </w:rPr>
            </w:pPr>
            <w:r>
              <w:rPr>
                <w:iCs/>
                <w:sz w:val="18"/>
                <w:szCs w:val="18"/>
              </w:rPr>
              <w:t>Support Option 3 DCI indication to override Option 1 configuration for corresponding transmission in case both per-HARQ process bitmap and DCI solution enabling/disabling signaling are configured</w:t>
            </w:r>
          </w:p>
          <w:p>
            <w:pPr>
              <w:numPr>
                <w:ilvl w:val="1"/>
                <w:numId w:val="15"/>
              </w:numPr>
              <w:overflowPunct/>
              <w:autoSpaceDE/>
              <w:autoSpaceDN/>
              <w:adjustRightInd/>
              <w:snapToGrid w:val="0"/>
              <w:spacing w:after="0"/>
              <w:ind w:left="914" w:leftChars="457"/>
              <w:jc w:val="left"/>
              <w:textAlignment w:val="auto"/>
              <w:rPr>
                <w:iCs/>
                <w:sz w:val="18"/>
                <w:szCs w:val="18"/>
              </w:rPr>
            </w:pPr>
            <w:r>
              <w:rPr>
                <w:iCs/>
                <w:sz w:val="18"/>
                <w:szCs w:val="18"/>
              </w:rPr>
              <w:t>FFS #1: Option 3 DCI-based overridden mechanism is applied to both semi-statically HARQ feedback enabled and disabled processes or only applied to semi-statically HARQ feedback disabled processes or only applied to semi-statically HARQ feedback enabled processes.</w:t>
            </w:r>
          </w:p>
          <w:p>
            <w:pPr>
              <w:numPr>
                <w:ilvl w:val="1"/>
                <w:numId w:val="15"/>
              </w:numPr>
              <w:overflowPunct/>
              <w:autoSpaceDE/>
              <w:autoSpaceDN/>
              <w:adjustRightInd/>
              <w:snapToGrid w:val="0"/>
              <w:spacing w:after="0"/>
              <w:ind w:left="914" w:leftChars="457"/>
              <w:jc w:val="left"/>
              <w:textAlignment w:val="auto"/>
              <w:rPr>
                <w:iCs/>
                <w:sz w:val="18"/>
                <w:szCs w:val="18"/>
              </w:rPr>
            </w:pPr>
            <w:r>
              <w:rPr>
                <w:iCs/>
                <w:sz w:val="18"/>
                <w:szCs w:val="18"/>
              </w:rPr>
              <w:t>FFS #2: whether/how to support Option 3 overriding Option 1 configuration for corresponding transmission for multiple TBs scheduled by single DCI</w:t>
            </w:r>
          </w:p>
          <w:p>
            <w:pPr>
              <w:numPr>
                <w:ilvl w:val="1"/>
                <w:numId w:val="15"/>
              </w:numPr>
              <w:overflowPunct/>
              <w:autoSpaceDE/>
              <w:autoSpaceDN/>
              <w:adjustRightInd/>
              <w:snapToGrid w:val="0"/>
              <w:spacing w:after="0"/>
              <w:ind w:left="914" w:leftChars="457"/>
              <w:jc w:val="left"/>
              <w:textAlignment w:val="auto"/>
              <w:rPr>
                <w:iCs/>
                <w:sz w:val="18"/>
                <w:szCs w:val="18"/>
              </w:rPr>
            </w:pPr>
            <w:r>
              <w:rPr>
                <w:sz w:val="18"/>
                <w:szCs w:val="18"/>
              </w:rPr>
              <w:t>FFS#3：Option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pPr>
              <w:ind w:left="200" w:leftChars="100"/>
              <w:rPr>
                <w:sz w:val="18"/>
                <w:szCs w:val="18"/>
              </w:rPr>
            </w:pPr>
            <w:r>
              <w:rPr>
                <w:sz w:val="18"/>
                <w:szCs w:val="18"/>
              </w:rPr>
              <w:t>RAN1 strives to have a common design (in terms of DCI design, PDCCH monitoring, etc.) for “Option 3” and “Option 3 + Option 1”.</w:t>
            </w:r>
          </w:p>
          <w:p>
            <w:pPr>
              <w:ind w:left="200" w:leftChars="100"/>
              <w:rPr>
                <w:iCs/>
                <w:sz w:val="18"/>
                <w:szCs w:val="18"/>
              </w:rPr>
            </w:pPr>
            <w:r>
              <w:rPr>
                <w:iCs/>
                <w:sz w:val="18"/>
                <w:szCs w:val="18"/>
              </w:rPr>
              <w:t>For eMTC NTN, to configure/indicate enabling/disabling of HARQ feedback for downlink transmission, take Option 1 for CE Mode A.</w:t>
            </w:r>
          </w:p>
          <w:p>
            <w:pPr>
              <w:rPr>
                <w:rFonts w:asciiTheme="minorHAnsi" w:hAnsiTheme="minorHAnsi" w:cstheme="minorHAnsi"/>
                <w:sz w:val="22"/>
                <w:szCs w:val="22"/>
              </w:rPr>
            </w:pPr>
          </w:p>
        </w:tc>
      </w:tr>
    </w:tbl>
    <w:p>
      <w:pPr>
        <w:jc w:val="left"/>
        <w:rPr>
          <w:rFonts w:cs="Arial"/>
        </w:rPr>
      </w:pPr>
    </w:p>
    <w:p>
      <w:pPr>
        <w:jc w:val="left"/>
        <w:rPr>
          <w:rFonts w:cs="Arial"/>
        </w:rPr>
      </w:pPr>
      <w:r>
        <w:rPr>
          <w:rFonts w:cs="Arial"/>
        </w:rPr>
        <w:t>Some proposals have been raised by companies in RAN2 on the RRC signalling (e.g. per UE or per HARQ process) to enable the DCI-based solution as follows.</w:t>
      </w:r>
    </w:p>
    <w:p>
      <w:pPr>
        <w:pStyle w:val="27"/>
        <w:numPr>
          <w:ilvl w:val="0"/>
          <w:numId w:val="16"/>
        </w:numPr>
        <w:overflowPunct/>
        <w:autoSpaceDE/>
        <w:autoSpaceDN/>
        <w:adjustRightInd/>
        <w:textAlignment w:val="auto"/>
        <w:rPr>
          <w:rFonts w:eastAsiaTheme="minorEastAsia"/>
        </w:rPr>
      </w:pPr>
      <w:r>
        <w:rPr>
          <w:rFonts w:hint="eastAsia" w:eastAsiaTheme="minorEastAsia"/>
        </w:rPr>
        <w:t>Per UE: if RRC signaling configures Option 3 will be used to configure the HARQ feedback state, the HARQ feedback state of all the HARQ process of the UE can be configured by DCI.</w:t>
      </w:r>
      <w:r>
        <w:rPr>
          <w:rFonts w:cs="Arial"/>
          <w:color w:val="313131"/>
          <w:sz w:val="18"/>
          <w:szCs w:val="18"/>
        </w:rPr>
        <w:t xml:space="preserve"> </w:t>
      </w:r>
    </w:p>
    <w:p>
      <w:pPr>
        <w:pStyle w:val="27"/>
        <w:numPr>
          <w:ilvl w:val="0"/>
          <w:numId w:val="16"/>
        </w:numPr>
        <w:overflowPunct/>
        <w:autoSpaceDE/>
        <w:autoSpaceDN/>
        <w:adjustRightInd/>
        <w:textAlignment w:val="auto"/>
        <w:rPr>
          <w:rFonts w:eastAsiaTheme="minorEastAsia"/>
        </w:rPr>
      </w:pPr>
      <w:r>
        <w:rPr>
          <w:rFonts w:hint="eastAsia" w:eastAsiaTheme="minorEastAsia"/>
        </w:rPr>
        <w:t xml:space="preserve">Per HARQ </w:t>
      </w:r>
      <w:r>
        <w:rPr>
          <w:rFonts w:eastAsiaTheme="minorEastAsia"/>
        </w:rPr>
        <w:t>process</w:t>
      </w:r>
      <w:r>
        <w:rPr>
          <w:rFonts w:hint="eastAsia" w:eastAsiaTheme="minorEastAsia"/>
        </w:rPr>
        <w:t>: if RRC signaling configures Option 3 will be used to configure the HARQ feedback state of a specific HARQ process, only the HARQ feedback state of the specific HARQ process of the UE can be configured by DCI</w:t>
      </w:r>
    </w:p>
    <w:p>
      <w:pPr>
        <w:jc w:val="left"/>
        <w:rPr>
          <w:rFonts w:cs="Arial"/>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jc w:val="left"/>
              <w:rPr>
                <w:rFonts w:cs="Arial"/>
              </w:rPr>
            </w:pPr>
            <w:r>
              <w:rPr>
                <w:rFonts w:cs="Arial"/>
              </w:rPr>
              <w:t xml:space="preserve">Contributions </w:t>
            </w:r>
          </w:p>
        </w:tc>
        <w:tc>
          <w:tcPr>
            <w:tcW w:w="8358" w:type="dxa"/>
          </w:tcPr>
          <w:p>
            <w:pPr>
              <w:jc w:val="left"/>
              <w:rPr>
                <w:rFonts w:cs="Arial"/>
              </w:rPr>
            </w:pPr>
            <w:r>
              <w:rPr>
                <w:rFonts w:cs="Arial"/>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rPr>
                <w:rFonts w:cs="Arial"/>
              </w:rPr>
            </w:pPr>
            <w:r>
              <w:rPr>
                <w:rFonts w:hint="eastAsia" w:cs="Arial"/>
              </w:rPr>
              <w:t>[</w:t>
            </w:r>
            <w:r>
              <w:rPr>
                <w:rFonts w:cs="Arial"/>
              </w:rPr>
              <w:t>3]</w:t>
            </w:r>
          </w:p>
        </w:tc>
        <w:tc>
          <w:tcPr>
            <w:tcW w:w="8358" w:type="dxa"/>
          </w:tcPr>
          <w:p>
            <w:pPr>
              <w:pStyle w:val="27"/>
              <w:rPr>
                <w:rFonts w:cs="Arial" w:eastAsiaTheme="minorEastAsia"/>
                <w:color w:val="313131"/>
                <w:sz w:val="18"/>
                <w:szCs w:val="18"/>
              </w:rPr>
            </w:pPr>
            <w:r>
              <w:t>Proposal</w:t>
            </w:r>
            <w:r>
              <w:rPr>
                <w:rFonts w:hint="eastAsia" w:eastAsiaTheme="minorEastAsia"/>
              </w:rPr>
              <w:t xml:space="preserve"> 6: RAN2 to discuss the following </w:t>
            </w:r>
            <w:r>
              <w:rPr>
                <w:rFonts w:eastAsiaTheme="minorEastAsia"/>
              </w:rPr>
              <w:t>granularity</w:t>
            </w:r>
            <w:r>
              <w:rPr>
                <w:rFonts w:hint="eastAsia" w:eastAsiaTheme="minorEastAsia"/>
              </w:rPr>
              <w:t xml:space="preserve"> options for </w:t>
            </w:r>
            <w:r>
              <w:rPr>
                <w:rFonts w:eastAsiaTheme="minorEastAsia"/>
              </w:rPr>
              <w:t>RRC signaling enabl</w:t>
            </w:r>
            <w:r>
              <w:rPr>
                <w:rFonts w:hint="eastAsia" w:eastAsiaTheme="minorEastAsia"/>
              </w:rPr>
              <w:t>ing</w:t>
            </w:r>
            <w:r>
              <w:rPr>
                <w:rFonts w:eastAsiaTheme="minorEastAsia"/>
              </w:rPr>
              <w:t xml:space="preserve"> Option 3</w:t>
            </w:r>
            <w:r>
              <w:rPr>
                <w:rFonts w:hint="eastAsia" w:eastAsiaTheme="minorEastAsia"/>
              </w:rPr>
              <w:t xml:space="preserve"> based on RAN1 further input of DCI design:</w:t>
            </w:r>
            <w:r>
              <w:rPr>
                <w:rFonts w:cs="Arial"/>
                <w:color w:val="313131"/>
                <w:sz w:val="18"/>
                <w:szCs w:val="18"/>
              </w:rPr>
              <w:t xml:space="preserve"> </w:t>
            </w:r>
          </w:p>
          <w:p>
            <w:pPr>
              <w:pStyle w:val="27"/>
              <w:numPr>
                <w:ilvl w:val="0"/>
                <w:numId w:val="17"/>
              </w:numPr>
              <w:overflowPunct/>
              <w:autoSpaceDE/>
              <w:autoSpaceDN/>
              <w:adjustRightInd/>
              <w:textAlignment w:val="auto"/>
              <w:rPr>
                <w:rFonts w:eastAsiaTheme="minorEastAsia"/>
              </w:rPr>
            </w:pPr>
            <w:r>
              <w:rPr>
                <w:rFonts w:hint="eastAsia" w:eastAsiaTheme="minorEastAsia"/>
              </w:rPr>
              <w:t>Per UE</w:t>
            </w:r>
          </w:p>
          <w:p>
            <w:pPr>
              <w:pStyle w:val="27"/>
              <w:numPr>
                <w:ilvl w:val="0"/>
                <w:numId w:val="17"/>
              </w:numPr>
              <w:overflowPunct/>
              <w:autoSpaceDE/>
              <w:autoSpaceDN/>
              <w:adjustRightInd/>
              <w:textAlignment w:val="auto"/>
              <w:rPr>
                <w:rFonts w:eastAsiaTheme="minorEastAsia"/>
              </w:rPr>
            </w:pPr>
            <w:r>
              <w:rPr>
                <w:rFonts w:hint="eastAsia" w:eastAsiaTheme="minorEastAsia"/>
              </w:rPr>
              <w:t>Per HARQ progress</w:t>
            </w:r>
          </w:p>
          <w:p>
            <w:pPr>
              <w:pStyle w:val="27"/>
              <w:overflowPunct/>
              <w:autoSpaceDE/>
              <w:autoSpaceDN/>
              <w:adjustRightInd/>
              <w:ind w:left="840"/>
              <w:textAlignment w:val="auto"/>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rPr>
                <w:rFonts w:cs="Arial"/>
              </w:rPr>
            </w:pPr>
            <w:r>
              <w:rPr>
                <w:rFonts w:hint="eastAsia" w:cs="Arial"/>
              </w:rPr>
              <w:t>[</w:t>
            </w:r>
            <w:r>
              <w:rPr>
                <w:rFonts w:cs="Arial"/>
              </w:rPr>
              <w:t>9]</w:t>
            </w:r>
          </w:p>
        </w:tc>
        <w:tc>
          <w:tcPr>
            <w:tcW w:w="8358" w:type="dxa"/>
          </w:tcPr>
          <w:p>
            <w:pPr>
              <w:pStyle w:val="27"/>
            </w:pPr>
            <w:r>
              <w:t>Proposal 3a: A single bit is introduced for configuring DCI based HARQ feedback enable/disable.</w:t>
            </w:r>
          </w:p>
        </w:tc>
      </w:tr>
    </w:tbl>
    <w:p>
      <w:pPr>
        <w:jc w:val="left"/>
        <w:rPr>
          <w:rFonts w:cs="Arial"/>
        </w:rPr>
      </w:pPr>
      <w:r>
        <w:rPr>
          <w:rFonts w:cs="Arial"/>
        </w:rPr>
        <w:t xml:space="preserve">Note that </w:t>
      </w:r>
      <w:r>
        <w:rPr>
          <w:rFonts w:hint="eastAsia" w:cs="Arial"/>
        </w:rPr>
        <w:t>a</w:t>
      </w:r>
      <w:r>
        <w:rPr>
          <w:rFonts w:cs="Arial"/>
        </w:rPr>
        <w:t xml:space="preserve">ccording to the latest RAN1 agreement “” above, the additional RRC signalling is not agreed by RAN1 yet. </w:t>
      </w:r>
    </w:p>
    <w:p>
      <w:pPr>
        <w:jc w:val="left"/>
        <w:rPr>
          <w:rFonts w:cs="Arial"/>
        </w:rPr>
      </w:pPr>
    </w:p>
    <w:p>
      <w:pPr>
        <w:rPr>
          <w:rFonts w:cs="Arial"/>
          <w:b/>
        </w:rPr>
      </w:pPr>
      <w:r>
        <w:rPr>
          <w:rFonts w:cs="Arial"/>
          <w:b/>
          <w:bCs/>
        </w:rPr>
        <w:t xml:space="preserve">Question </w:t>
      </w:r>
      <w:r>
        <w:rPr>
          <w:rFonts w:cs="Arial"/>
          <w:b/>
          <w:bCs/>
          <w:lang w:val="en-US"/>
        </w:rPr>
        <w:t>2</w:t>
      </w:r>
      <w:r>
        <w:rPr>
          <w:rFonts w:cs="Arial"/>
          <w:b/>
        </w:rPr>
        <w:t xml:space="preserve">: </w:t>
      </w:r>
      <w:r>
        <w:rPr>
          <w:rFonts w:hint="eastAsia" w:cs="Arial"/>
          <w:b/>
        </w:rPr>
        <w:t>On</w:t>
      </w:r>
      <w:r>
        <w:rPr>
          <w:rFonts w:cs="Arial"/>
          <w:b/>
        </w:rPr>
        <w:t xml:space="preserve"> DL HARQ </w:t>
      </w:r>
      <w:r>
        <w:rPr>
          <w:rFonts w:hint="eastAsia" w:cs="Arial"/>
          <w:b/>
        </w:rPr>
        <w:t>feedback</w:t>
      </w:r>
      <w:r>
        <w:rPr>
          <w:rFonts w:cs="Arial"/>
          <w:b/>
        </w:rPr>
        <w:t xml:space="preserve"> </w:t>
      </w:r>
      <w:r>
        <w:rPr>
          <w:rFonts w:hint="eastAsia" w:cs="Arial"/>
          <w:b/>
        </w:rPr>
        <w:t>enabling</w:t>
      </w:r>
      <w:r>
        <w:rPr>
          <w:rFonts w:cs="Arial"/>
          <w:b/>
        </w:rPr>
        <w:t>/disabling, how to enable/configure the DCI-based solution (e.g. using RRC signalling)?</w:t>
      </w:r>
    </w:p>
    <w:p>
      <w:pPr>
        <w:pStyle w:val="91"/>
        <w:numPr>
          <w:ilvl w:val="0"/>
          <w:numId w:val="18"/>
        </w:numPr>
        <w:rPr>
          <w:rFonts w:cs="Arial"/>
          <w:b/>
          <w:lang w:val="en-US"/>
        </w:rPr>
      </w:pPr>
      <w:r>
        <w:rPr>
          <w:rFonts w:cs="Arial"/>
          <w:b/>
          <w:lang w:val="en-US"/>
        </w:rPr>
        <w:t>Option 1: per UE (using a single bit)</w:t>
      </w:r>
    </w:p>
    <w:p>
      <w:pPr>
        <w:pStyle w:val="91"/>
        <w:numPr>
          <w:ilvl w:val="0"/>
          <w:numId w:val="18"/>
        </w:numPr>
        <w:rPr>
          <w:rFonts w:cs="Arial"/>
          <w:b/>
          <w:lang w:val="en-US"/>
        </w:rPr>
      </w:pPr>
      <w:r>
        <w:rPr>
          <w:rFonts w:cs="Arial"/>
          <w:b/>
          <w:lang w:val="en-US"/>
        </w:rPr>
        <w:t>Option 2: per HARQ process</w:t>
      </w:r>
    </w:p>
    <w:p>
      <w:pPr>
        <w:pStyle w:val="91"/>
        <w:numPr>
          <w:ilvl w:val="0"/>
          <w:numId w:val="18"/>
        </w:numPr>
        <w:rPr>
          <w:rFonts w:cs="Arial"/>
          <w:b/>
          <w:lang w:val="en-US"/>
        </w:rPr>
      </w:pPr>
      <w:r>
        <w:rPr>
          <w:rFonts w:cs="Arial"/>
          <w:b/>
          <w:lang w:val="en-US"/>
        </w:rPr>
        <w:t>Option 3: wait for RAN1</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rPr>
            </w:pPr>
            <w:r>
              <w:rPr>
                <w:b/>
              </w:rPr>
              <w:t>Option</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OPPO</w:t>
            </w:r>
          </w:p>
        </w:tc>
        <w:tc>
          <w:tcPr>
            <w:tcW w:w="2113" w:type="dxa"/>
            <w:shd w:val="clear" w:color="auto" w:fill="auto"/>
          </w:tcPr>
          <w:p>
            <w:pPr>
              <w:rPr>
                <w:rFonts w:eastAsia="等线"/>
              </w:rPr>
            </w:pPr>
            <w:r>
              <w:rPr>
                <w:rFonts w:hint="eastAsia" w:eastAsia="等线"/>
              </w:rPr>
              <w:t>O</w:t>
            </w:r>
            <w:r>
              <w:rPr>
                <w:rFonts w:eastAsia="等线"/>
              </w:rPr>
              <w:t>ption 1</w:t>
            </w:r>
          </w:p>
        </w:tc>
        <w:tc>
          <w:tcPr>
            <w:tcW w:w="5954" w:type="dxa"/>
            <w:shd w:val="clear" w:color="auto" w:fill="auto"/>
          </w:tcPr>
          <w:p>
            <w:pPr>
              <w:jc w:val="left"/>
              <w:rPr>
                <w:rFonts w:eastAsia="等线"/>
              </w:rPr>
            </w:pPr>
            <w:r>
              <w:rPr>
                <w:rFonts w:eastAsia="等线"/>
              </w:rPr>
              <w:t>From RAN2’s perspective, a RRC signalling is need to enable the DCI-based solution. Regarding the granularity, we see no need to support per HARQ process configured, it is sufficient to introduce a single bit for this configuration. But we are also ok to wait for RAN1 or even check with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CATT</w:t>
            </w:r>
          </w:p>
        </w:tc>
        <w:tc>
          <w:tcPr>
            <w:tcW w:w="2113" w:type="dxa"/>
            <w:shd w:val="clear" w:color="auto" w:fill="auto"/>
          </w:tcPr>
          <w:p>
            <w:pPr>
              <w:rPr>
                <w:rFonts w:eastAsia="等线"/>
              </w:rPr>
            </w:pPr>
            <w:r>
              <w:rPr>
                <w:rFonts w:eastAsia="等线"/>
              </w:rPr>
              <w:t>Option</w:t>
            </w:r>
            <w:r>
              <w:rPr>
                <w:rFonts w:hint="eastAsia" w:eastAsia="等线"/>
              </w:rPr>
              <w:t xml:space="preserve"> 2/Option 3</w:t>
            </w:r>
          </w:p>
        </w:tc>
        <w:tc>
          <w:tcPr>
            <w:tcW w:w="5954" w:type="dxa"/>
            <w:shd w:val="clear" w:color="auto" w:fill="auto"/>
          </w:tcPr>
          <w:p>
            <w:pPr>
              <w:rPr>
                <w:rFonts w:eastAsia="等线"/>
              </w:rPr>
            </w:pPr>
            <w:r>
              <w:rPr>
                <w:rFonts w:eastAsia="等线"/>
              </w:rPr>
              <w:t>F</w:t>
            </w:r>
            <w:r>
              <w:rPr>
                <w:rFonts w:hint="eastAsia" w:eastAsia="等线"/>
              </w:rPr>
              <w:t xml:space="preserve">irstly, if a new DCI format is used, the length of the DCI is different according to including the enabling/disabling bit or not. </w:t>
            </w:r>
            <w:r>
              <w:rPr>
                <w:rFonts w:eastAsia="等线"/>
              </w:rPr>
              <w:t>I</w:t>
            </w:r>
            <w:r>
              <w:rPr>
                <w:rFonts w:hint="eastAsia" w:eastAsia="等线"/>
              </w:rPr>
              <w:t xml:space="preserve">f the configuration is per HARQ process, the UE can determine whether the received DCI for a given HARQ process has the new enabling/disabling bit. </w:t>
            </w:r>
            <w:r>
              <w:rPr>
                <w:rFonts w:eastAsia="等线"/>
              </w:rPr>
              <w:t>O</w:t>
            </w:r>
            <w:r>
              <w:rPr>
                <w:rFonts w:hint="eastAsia" w:eastAsia="等线"/>
              </w:rPr>
              <w:t xml:space="preserve">therwise, for </w:t>
            </w:r>
            <w:r>
              <w:rPr>
                <w:rFonts w:eastAsia="等线"/>
              </w:rPr>
              <w:t>example</w:t>
            </w:r>
            <w:r>
              <w:rPr>
                <w:rFonts w:hint="eastAsia" w:eastAsia="等线"/>
              </w:rPr>
              <w:t xml:space="preserve">, if the network only wants to </w:t>
            </w:r>
            <w:r>
              <w:rPr>
                <w:rFonts w:eastAsia="等线"/>
              </w:rPr>
              <w:t>configure</w:t>
            </w:r>
            <w:r>
              <w:rPr>
                <w:rFonts w:hint="eastAsia" w:eastAsia="等线"/>
              </w:rPr>
              <w:t xml:space="preserve"> one HARQ process to use DCI-based solution, the DCI for all the HARQ process will have to include the enabling/disabling bit. RAN1 is discussion the DCI format: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3" w:type="dxa"/>
                </w:tcPr>
                <w:p>
                  <w:pPr>
                    <w:rPr>
                      <w:b/>
                    </w:rPr>
                  </w:pPr>
                  <w:r>
                    <w:rPr>
                      <w:b/>
                      <w:highlight w:val="green"/>
                    </w:rPr>
                    <w:t>Agreement</w:t>
                  </w:r>
                </w:p>
                <w:p>
                  <w:r>
                    <w:t>For DCI-based overridden/direct indication, down select one of the following based on the criteria DCI overhead, PDCCH monitoring</w:t>
                  </w:r>
                  <w:r>
                    <w:rPr>
                      <w:rFonts w:hint="eastAsia"/>
                    </w:rPr>
                    <w:t xml:space="preserve"> behavior</w:t>
                  </w:r>
                  <w:r>
                    <w:t>, impact on scheduling flexibility, UE implementation complexity, etc</w:t>
                  </w:r>
                </w:p>
                <w:p>
                  <w:pPr>
                    <w:numPr>
                      <w:ilvl w:val="0"/>
                      <w:numId w:val="19"/>
                    </w:numPr>
                    <w:overflowPunct/>
                    <w:autoSpaceDE/>
                    <w:autoSpaceDN/>
                    <w:adjustRightInd/>
                    <w:spacing w:after="0"/>
                    <w:jc w:val="left"/>
                    <w:textAlignment w:val="auto"/>
                    <w:rPr>
                      <w:rFonts w:eastAsia="等线"/>
                    </w:rPr>
                  </w:pPr>
                  <w:r>
                    <w:rPr>
                      <w:rFonts w:eastAsia="等线"/>
                    </w:rPr>
                    <w:t>Option 1: Indication by adding one field in DCI</w:t>
                  </w:r>
                </w:p>
                <w:p>
                  <w:pPr>
                    <w:numPr>
                      <w:ilvl w:val="0"/>
                      <w:numId w:val="19"/>
                    </w:numPr>
                    <w:overflowPunct/>
                    <w:autoSpaceDE/>
                    <w:autoSpaceDN/>
                    <w:adjustRightInd/>
                    <w:spacing w:after="0"/>
                    <w:jc w:val="left"/>
                    <w:textAlignment w:val="auto"/>
                    <w:rPr>
                      <w:rFonts w:eastAsia="等线"/>
                    </w:rPr>
                  </w:pPr>
                  <w:r>
                    <w:rPr>
                      <w:rFonts w:eastAsia="等线"/>
                    </w:rPr>
                    <w:t>Option 2: Indication by reusing/reinterpreting existing field in DCI</w:t>
                  </w:r>
                </w:p>
                <w:p>
                  <w:pPr>
                    <w:rPr>
                      <w:rFonts w:eastAsia="等线"/>
                    </w:rPr>
                  </w:pPr>
                </w:p>
              </w:tc>
            </w:tr>
          </w:tbl>
          <w:p>
            <w:pPr>
              <w:rPr>
                <w:rFonts w:eastAsia="等线"/>
              </w:rPr>
            </w:pPr>
            <w:r>
              <w:rPr>
                <w:rFonts w:eastAsia="等线"/>
              </w:rPr>
              <w:t>S</w:t>
            </w:r>
            <w:r>
              <w:rPr>
                <w:rFonts w:hint="eastAsia" w:eastAsia="等线"/>
              </w:rPr>
              <w:t>o at least we can wait for RAN1 (Option 3).</w:t>
            </w:r>
          </w:p>
          <w:p>
            <w:pPr>
              <w:rPr>
                <w:rFonts w:eastAsia="等线"/>
              </w:rPr>
            </w:pPr>
            <w:r>
              <w:rPr>
                <w:rFonts w:eastAsia="等线"/>
              </w:rPr>
              <w:t>S</w:t>
            </w:r>
            <w:r>
              <w:rPr>
                <w:rFonts w:hint="eastAsia" w:eastAsia="等线"/>
              </w:rPr>
              <w:t xml:space="preserve">econdly, the HARQ state (enabling/disabling) is configured by RRC </w:t>
            </w:r>
            <w:r>
              <w:rPr>
                <w:rFonts w:eastAsia="等线"/>
              </w:rPr>
              <w:t>signalling</w:t>
            </w:r>
            <w:r>
              <w:rPr>
                <w:rFonts w:hint="eastAsia" w:eastAsia="等线"/>
              </w:rPr>
              <w:t xml:space="preserve"> per HARQ process, we think we use the same logic, to keep the network configuration </w:t>
            </w:r>
            <w:r>
              <w:rPr>
                <w:rFonts w:eastAsia="等线"/>
              </w:rPr>
              <w:t>flexibility</w:t>
            </w:r>
            <w:r>
              <w:rPr>
                <w:rFonts w:hint="eastAsia" w:eastAsia="等线"/>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r>
              <w:rPr>
                <w:rFonts w:eastAsia="等线"/>
              </w:rPr>
              <w:t>Option 3</w:t>
            </w:r>
          </w:p>
        </w:tc>
        <w:tc>
          <w:tcPr>
            <w:tcW w:w="5954" w:type="dxa"/>
            <w:shd w:val="clear" w:color="auto" w:fill="auto"/>
          </w:tcPr>
          <w:p>
            <w:pPr>
              <w:rPr>
                <w:rFonts w:eastAsia="等线"/>
              </w:rPr>
            </w:pPr>
            <w:r>
              <w:rPr>
                <w:rFonts w:eastAsia="等线"/>
              </w:rPr>
              <w:t>How to configure Option3 (DCI direct indication of HARQ feedback enable/disable) is still open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lang w:val="en-US"/>
              </w:rPr>
            </w:pPr>
            <w:r>
              <w:rPr>
                <w:rFonts w:hint="eastAsia" w:eastAsia="等线"/>
                <w:lang w:val="en-US"/>
              </w:rPr>
              <w:t>Xiaomi</w:t>
            </w:r>
          </w:p>
        </w:tc>
        <w:tc>
          <w:tcPr>
            <w:tcW w:w="2113" w:type="dxa"/>
            <w:shd w:val="clear" w:color="auto" w:fill="auto"/>
          </w:tcPr>
          <w:p>
            <w:pPr>
              <w:rPr>
                <w:rFonts w:eastAsia="等线"/>
                <w:lang w:val="en-US"/>
              </w:rPr>
            </w:pPr>
            <w:r>
              <w:rPr>
                <w:rFonts w:hint="eastAsia" w:eastAsia="等线"/>
                <w:lang w:val="en-US"/>
              </w:rPr>
              <w:t>Option 3</w:t>
            </w:r>
          </w:p>
        </w:tc>
        <w:tc>
          <w:tcPr>
            <w:tcW w:w="5954" w:type="dxa"/>
            <w:shd w:val="clear" w:color="auto" w:fill="auto"/>
          </w:tcPr>
          <w:p>
            <w:pPr>
              <w:rPr>
                <w:rFonts w:eastAsia="等线"/>
                <w:lang w:val="en-US"/>
              </w:rPr>
            </w:pPr>
            <w:r>
              <w:rPr>
                <w:rFonts w:hint="eastAsia" w:eastAsia="等线"/>
                <w:lang w:val="en-US"/>
              </w:rPr>
              <w:t xml:space="preserve">We are not sure RAN1 has any intention to use RRC signalling to configure option 3. But we are ok to wait for RAN1 further progress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MediaTek</w:t>
            </w:r>
          </w:p>
        </w:tc>
        <w:tc>
          <w:tcPr>
            <w:tcW w:w="2113" w:type="dxa"/>
            <w:shd w:val="clear" w:color="auto" w:fill="auto"/>
          </w:tcPr>
          <w:p>
            <w:pPr>
              <w:rPr>
                <w:rFonts w:eastAsia="等线"/>
              </w:rPr>
            </w:pPr>
            <w:r>
              <w:rPr>
                <w:rFonts w:eastAsia="等线"/>
              </w:rPr>
              <w:t>Option 3</w:t>
            </w:r>
          </w:p>
        </w:tc>
        <w:tc>
          <w:tcPr>
            <w:tcW w:w="5954" w:type="dxa"/>
            <w:shd w:val="clear" w:color="auto" w:fill="auto"/>
          </w:tcPr>
          <w:p>
            <w:pPr>
              <w:jc w:val="left"/>
              <w:rPr>
                <w:rFonts w:eastAsia="等线"/>
              </w:rPr>
            </w:pPr>
            <w:r>
              <w:rPr>
                <w:rFonts w:eastAsia="等线"/>
              </w:rPr>
              <w:t>We need to wait for RAN1 regarding this, as RAN1 has brought this out and is already discussing this one since quite long.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Qualcomm</w:t>
            </w:r>
          </w:p>
        </w:tc>
        <w:tc>
          <w:tcPr>
            <w:tcW w:w="2113" w:type="dxa"/>
            <w:shd w:val="clear" w:color="auto" w:fill="auto"/>
          </w:tcPr>
          <w:p>
            <w:pPr>
              <w:rPr>
                <w:rFonts w:eastAsia="等线"/>
              </w:rPr>
            </w:pPr>
            <w:r>
              <w:rPr>
                <w:rFonts w:eastAsia="等线"/>
              </w:rPr>
              <w:t>Option 3</w:t>
            </w:r>
          </w:p>
        </w:tc>
        <w:tc>
          <w:tcPr>
            <w:tcW w:w="5954" w:type="dxa"/>
            <w:shd w:val="clear" w:color="auto" w:fill="auto"/>
          </w:tcPr>
          <w:p>
            <w:pPr>
              <w:rPr>
                <w:rFonts w:eastAsia="等线"/>
              </w:rPr>
            </w:pPr>
            <w:r>
              <w:rPr>
                <w:rFonts w:eastAsia="等线"/>
              </w:rPr>
              <w:t>Let them settle the DCI based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L</w:t>
            </w:r>
            <w:r>
              <w:rPr>
                <w:rFonts w:eastAsia="等线"/>
              </w:rPr>
              <w:t>enovo</w:t>
            </w:r>
          </w:p>
        </w:tc>
        <w:tc>
          <w:tcPr>
            <w:tcW w:w="2113" w:type="dxa"/>
            <w:shd w:val="clear" w:color="auto" w:fill="auto"/>
          </w:tcPr>
          <w:p>
            <w:pPr>
              <w:rPr>
                <w:rFonts w:eastAsia="等线"/>
              </w:rPr>
            </w:pPr>
            <w:r>
              <w:rPr>
                <w:rFonts w:hint="eastAsia" w:eastAsia="等线"/>
              </w:rPr>
              <w:t>O</w:t>
            </w:r>
            <w:r>
              <w:rPr>
                <w:rFonts w:eastAsia="等线"/>
              </w:rPr>
              <w:t>ption 3</w:t>
            </w:r>
          </w:p>
        </w:tc>
        <w:tc>
          <w:tcPr>
            <w:tcW w:w="5954" w:type="dxa"/>
            <w:shd w:val="clear" w:color="auto" w:fill="auto"/>
          </w:tcPr>
          <w:p>
            <w:pPr>
              <w:rPr>
                <w:rFonts w:eastAsia="等线"/>
              </w:rPr>
            </w:pPr>
            <w:r>
              <w:rPr>
                <w:rFonts w:hint="eastAsia" w:eastAsia="等线"/>
              </w:rPr>
              <w:t>B</w:t>
            </w:r>
            <w:r>
              <w:rPr>
                <w:rFonts w:eastAsia="等线"/>
              </w:rPr>
              <w:t>etter to wait for RAN1 on the DCI-based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ascii="Calibri" w:hAnsi="Calibri" w:cs="Calibri" w:eastAsiaTheme="minorEastAsia"/>
                <w:sz w:val="22"/>
                <w:szCs w:val="22"/>
                <w:lang w:val="it-IT"/>
              </w:rPr>
              <w:t>Huawei, HiSilicon</w:t>
            </w:r>
          </w:p>
        </w:tc>
        <w:tc>
          <w:tcPr>
            <w:tcW w:w="2113" w:type="dxa"/>
            <w:shd w:val="clear" w:color="auto" w:fill="auto"/>
          </w:tcPr>
          <w:p>
            <w:pPr>
              <w:rPr>
                <w:rFonts w:eastAsia="等线"/>
              </w:rPr>
            </w:pPr>
            <w:r>
              <w:rPr>
                <w:rFonts w:eastAsia="等线"/>
              </w:rPr>
              <w:t>Option 3</w:t>
            </w:r>
          </w:p>
        </w:tc>
        <w:tc>
          <w:tcPr>
            <w:tcW w:w="5954" w:type="dxa"/>
            <w:shd w:val="clear" w:color="auto" w:fill="auto"/>
          </w:tcPr>
          <w:p>
            <w:pPr>
              <w:rPr>
                <w:rFonts w:eastAsia="等线"/>
              </w:rPr>
            </w:pPr>
            <w:r>
              <w:rPr>
                <w:rFonts w:hint="eastAsia" w:eastAsia="等线"/>
              </w:rPr>
              <w:t>W</w:t>
            </w:r>
            <w:r>
              <w:rPr>
                <w:rFonts w:eastAsia="等线"/>
              </w:rPr>
              <w:t>ait for RAN1 to avoid any potential misalignment and unnecessary coordination.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ascii="Calibri" w:hAnsi="Calibri" w:cs="Calibri" w:eastAsiaTheme="minorEastAsia"/>
                <w:sz w:val="22"/>
                <w:szCs w:val="22"/>
                <w:lang w:val="it-IT"/>
              </w:rPr>
            </w:pPr>
            <w:r>
              <w:rPr>
                <w:rFonts w:eastAsia="等线"/>
              </w:rPr>
              <w:t>Samsung</w:t>
            </w:r>
          </w:p>
        </w:tc>
        <w:tc>
          <w:tcPr>
            <w:tcW w:w="2113" w:type="dxa"/>
            <w:shd w:val="clear" w:color="auto" w:fill="auto"/>
          </w:tcPr>
          <w:p>
            <w:pPr>
              <w:rPr>
                <w:rFonts w:eastAsia="等线"/>
              </w:rPr>
            </w:pPr>
            <w:r>
              <w:rPr>
                <w:rFonts w:eastAsia="等线"/>
              </w:rPr>
              <w:t>Option 1</w:t>
            </w:r>
          </w:p>
        </w:tc>
        <w:tc>
          <w:tcPr>
            <w:tcW w:w="5954" w:type="dxa"/>
            <w:shd w:val="clear" w:color="auto" w:fill="auto"/>
          </w:tcPr>
          <w:p>
            <w:pPr>
              <w:rPr>
                <w:rFonts w:eastAsia="等线"/>
              </w:rPr>
            </w:pPr>
            <w:r>
              <w:rPr>
                <w:rFonts w:eastAsia="等线"/>
              </w:rPr>
              <w:t xml:space="preserve">We tend to think that we should allow RAN1 to decide, but we cannot see how the configuration to use DCI to turn OFF HARQ feedback can be done per HARQ process. RAN2 should able to make these decisions to keep the specs from becoming too complicated.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Ericsson</w:t>
            </w:r>
          </w:p>
        </w:tc>
        <w:tc>
          <w:tcPr>
            <w:tcW w:w="2113" w:type="dxa"/>
            <w:shd w:val="clear" w:color="auto" w:fill="auto"/>
          </w:tcPr>
          <w:p>
            <w:pPr>
              <w:rPr>
                <w:rFonts w:eastAsia="等线"/>
              </w:rPr>
            </w:pPr>
            <w:r>
              <w:rPr>
                <w:rFonts w:eastAsia="等线"/>
              </w:rPr>
              <w:t>Option 1 but fine to wait for RAN1 (option 3)</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CMCC</w:t>
            </w:r>
          </w:p>
        </w:tc>
        <w:tc>
          <w:tcPr>
            <w:tcW w:w="2113" w:type="dxa"/>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Option 3</w:t>
            </w:r>
          </w:p>
        </w:tc>
        <w:tc>
          <w:tcPr>
            <w:tcW w:w="5954" w:type="dxa"/>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Prefer to wait for RAN1.</w:t>
            </w:r>
          </w:p>
        </w:tc>
      </w:tr>
    </w:tbl>
    <w:p>
      <w:pPr>
        <w:jc w:val="left"/>
        <w:rPr>
          <w:rFonts w:cs="Arial"/>
        </w:rPr>
      </w:pPr>
    </w:p>
    <w:p>
      <w:pPr>
        <w:jc w:val="left"/>
        <w:rPr>
          <w:rFonts w:cs="Arial"/>
          <w:b/>
          <w:i/>
          <w:u w:val="single"/>
        </w:rPr>
      </w:pPr>
      <w:r>
        <w:rPr>
          <w:rFonts w:hint="eastAsia" w:cs="Arial"/>
          <w:b/>
          <w:i/>
          <w:u w:val="single"/>
        </w:rPr>
        <w:t>D</w:t>
      </w:r>
      <w:r>
        <w:rPr>
          <w:rFonts w:cs="Arial"/>
          <w:b/>
          <w:i/>
          <w:u w:val="single"/>
        </w:rPr>
        <w:t>RX for HARQ process with HARQ feedback disabled</w:t>
      </w:r>
    </w:p>
    <w:p>
      <w:pPr>
        <w:pStyle w:val="27"/>
        <w:spacing w:before="312" w:beforeLines="100"/>
        <w:rPr>
          <w:lang w:bidi="ar"/>
        </w:rPr>
      </w:pPr>
      <w:r>
        <w:rPr>
          <w:rFonts w:hint="eastAsia"/>
          <w:lang w:bidi="ar"/>
        </w:rPr>
        <w:t>RAN1 has the following agreement in RAN1#110bist meeting:</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rPr>
                <w:rFonts w:cs="Times"/>
                <w:b/>
                <w:u w:val="single"/>
              </w:rPr>
            </w:pPr>
            <w:r>
              <w:rPr>
                <w:rFonts w:cs="Times"/>
                <w:b/>
                <w:highlight w:val="green"/>
                <w:u w:val="single"/>
              </w:rPr>
              <w:t>Agreement</w:t>
            </w:r>
          </w:p>
          <w:p>
            <w:pPr>
              <w:rPr>
                <w:rFonts w:eastAsiaTheme="minorEastAsia"/>
              </w:rPr>
            </w:pPr>
            <w:r>
              <w:rPr>
                <w:rFonts w:cs="Times"/>
              </w:rPr>
              <w:t>For a DL HARQ process with disabled HARQ feedback in NB-IoT, UE is not required to monitor NPDCCH in a period of Y=12(ms) from the end of reception of the NPDSCH.</w:t>
            </w:r>
          </w:p>
        </w:tc>
      </w:tr>
    </w:tbl>
    <w:p>
      <w:pPr>
        <w:jc w:val="left"/>
        <w:rPr>
          <w:rFonts w:cs="Arial"/>
        </w:rPr>
      </w:pPr>
    </w:p>
    <w:p>
      <w:pPr>
        <w:jc w:val="left"/>
        <w:rPr>
          <w:rFonts w:cs="Arial"/>
        </w:rPr>
      </w:pPr>
      <w:r>
        <w:rPr>
          <w:rFonts w:cs="Arial"/>
        </w:rPr>
        <w:t xml:space="preserve">In last RAN2 meetings, </w:t>
      </w:r>
      <w:r>
        <w:rPr>
          <w:rFonts w:hint="eastAsia" w:cs="Arial"/>
        </w:rPr>
        <w:t>R</w:t>
      </w:r>
      <w:r>
        <w:rPr>
          <w:rFonts w:cs="Arial"/>
        </w:rPr>
        <w:t>AN2</w:t>
      </w:r>
      <w:r>
        <w:t xml:space="preserve"> has discussed and made agreement on impact of disabled HARQ feedback on DRX for the case of NB-IoT UEs with single HARQ process. One company thinks RAN2 needs to further discuss the case of NB-IoT UEs with two HARQ processes.</w:t>
      </w:r>
    </w:p>
    <w:p>
      <w:pPr>
        <w:jc w:val="left"/>
        <w:rPr>
          <w:rFonts w:cs="Arial"/>
        </w:rPr>
      </w:pPr>
      <w:r>
        <w:rPr>
          <w:rFonts w:cs="Arial"/>
        </w:rPr>
        <w:t>Following proposals are related to drx-InactivityTimer for HARQ process with HARQ feedback disabled for NB</w:t>
      </w:r>
      <w:r>
        <w:rPr>
          <w:rFonts w:hint="eastAsia" w:cs="Arial"/>
        </w:rPr>
        <w:t>-</w:t>
      </w:r>
      <w:r>
        <w:rPr>
          <w:rFonts w:cs="Arial"/>
        </w:rPr>
        <w:t>IoT UEs configured with two HARQ processes.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cs="Arial"/>
              </w:rPr>
              <w:t xml:space="preserve">Contributions </w:t>
            </w:r>
          </w:p>
        </w:tc>
        <w:tc>
          <w:tcPr>
            <w:tcW w:w="8234" w:type="dxa"/>
          </w:tcPr>
          <w:p>
            <w:pPr>
              <w:jc w:val="left"/>
              <w:rPr>
                <w:rFonts w:cs="Arial"/>
              </w:rPr>
            </w:pPr>
            <w:r>
              <w:rPr>
                <w:rFonts w:cs="Arial"/>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3]</w:t>
            </w:r>
          </w:p>
        </w:tc>
        <w:tc>
          <w:tcPr>
            <w:tcW w:w="8234" w:type="dxa"/>
          </w:tcPr>
          <w:p>
            <w:pPr>
              <w:pStyle w:val="27"/>
            </w:pPr>
            <w:r>
              <w:t>Proposal</w:t>
            </w:r>
            <w:r>
              <w:rPr>
                <w:rFonts w:hint="eastAsia"/>
              </w:rPr>
              <w:t xml:space="preserve"> 2:</w:t>
            </w:r>
            <w:r>
              <w:t xml:space="preserve"> For NB-IoT NTN with </w:t>
            </w:r>
            <w:r>
              <w:rPr>
                <w:rFonts w:hint="eastAsia"/>
              </w:rPr>
              <w:t>two</w:t>
            </w:r>
            <w:r>
              <w:t xml:space="preserve"> HARQ process</w:t>
            </w:r>
            <w:r>
              <w:rPr>
                <w:rFonts w:hint="eastAsia"/>
              </w:rPr>
              <w:t>es, the HARQ feedback of at least one the two HARQ processes is disabled,</w:t>
            </w:r>
            <w:r>
              <w:t xml:space="preserve"> the UE should stop the drx-inactivity timer if running after the UE receiving a PDSCH and start/restart drx-inactivity timer:</w:t>
            </w:r>
          </w:p>
          <w:p>
            <w:pPr>
              <w:pStyle w:val="27"/>
              <w:numPr>
                <w:ilvl w:val="0"/>
                <w:numId w:val="20"/>
              </w:numPr>
              <w:overflowPunct/>
              <w:autoSpaceDE/>
              <w:autoSpaceDN/>
              <w:adjustRightInd/>
              <w:textAlignment w:val="auto"/>
            </w:pPr>
            <w:r>
              <w:t>in the subframe containing the corresponding PDSCH reception plus 12 subframes for the HARQ process with HARQ feedback disabled;</w:t>
            </w:r>
          </w:p>
          <w:p>
            <w:pPr>
              <w:pStyle w:val="27"/>
              <w:numPr>
                <w:ilvl w:val="0"/>
                <w:numId w:val="20"/>
              </w:numPr>
              <w:overflowPunct/>
              <w:autoSpaceDE/>
              <w:autoSpaceDN/>
              <w:adjustRightInd/>
              <w:textAlignment w:val="auto"/>
            </w:pPr>
            <w:r>
              <w:rPr>
                <w:rFonts w:hint="eastAsia"/>
              </w:rPr>
              <w:t>w</w:t>
            </w:r>
            <w:r>
              <w:t>hen HARQ RTT Timer expires for the HARQ process with HARQ feedback enabled.</w:t>
            </w:r>
          </w:p>
          <w:p/>
        </w:tc>
      </w:tr>
    </w:tbl>
    <w:p>
      <w:pPr>
        <w:jc w:val="left"/>
        <w:rPr>
          <w:rFonts w:cs="Arial"/>
        </w:rPr>
      </w:pPr>
    </w:p>
    <w:p>
      <w:pPr>
        <w:pStyle w:val="27"/>
        <w:spacing w:before="312" w:beforeLines="100"/>
        <w:rPr>
          <w:rFonts w:cs="Times" w:eastAsiaTheme="minorEastAsia"/>
        </w:rPr>
      </w:pPr>
      <w:r>
        <w:rPr>
          <w:rFonts w:cs="Arial"/>
        </w:rPr>
        <w:t>For P2 in [3], in the discussion part there is no mentioning of multiple TB scheduling, therefore, rapporteur assumes this P2 is related to single TB scheduling (maybe proponent company can help to clarify if rapporteur’s interpretation is wrong). It is also mentioned in the contribution that “</w:t>
      </w:r>
      <w:r>
        <w:rPr>
          <w:rFonts w:cs="Times" w:eastAsiaTheme="minorEastAsia"/>
        </w:rPr>
        <w:t>T</w:t>
      </w:r>
      <w:r>
        <w:rPr>
          <w:rFonts w:hint="eastAsia" w:cs="Times" w:eastAsiaTheme="minorEastAsia"/>
        </w:rPr>
        <w:t xml:space="preserve">he reason that UE stops the </w:t>
      </w:r>
      <w:r>
        <w:rPr>
          <w:rFonts w:cs="Times" w:eastAsiaTheme="minorEastAsia"/>
        </w:rPr>
        <w:t>drx-inactivity</w:t>
      </w:r>
      <w:r>
        <w:rPr>
          <w:rFonts w:hint="eastAsia" w:cs="Times" w:eastAsiaTheme="minorEastAsia"/>
        </w:rPr>
        <w:t xml:space="preserve"> timer if running is to avoid UE PDCCH monitoring</w:t>
      </w:r>
      <w:r>
        <w:rPr>
          <w:rFonts w:cs="Times" w:eastAsiaTheme="minorEastAsia"/>
        </w:rPr>
        <w:t>”</w:t>
      </w:r>
      <w:r>
        <w:rPr>
          <w:rFonts w:hint="eastAsia" w:cs="Times" w:eastAsiaTheme="minorEastAsia"/>
        </w:rPr>
        <w:t xml:space="preserve">. </w:t>
      </w:r>
    </w:p>
    <w:p>
      <w:pPr>
        <w:jc w:val="left"/>
        <w:rPr>
          <w:rFonts w:cs="Arial"/>
        </w:rPr>
      </w:pPr>
    </w:p>
    <w:p>
      <w:pPr>
        <w:rPr>
          <w:rFonts w:cs="Arial"/>
          <w:b/>
          <w:lang w:val="en-US"/>
        </w:rPr>
      </w:pPr>
      <w:r>
        <w:rPr>
          <w:rFonts w:cs="Arial"/>
          <w:b/>
          <w:bCs/>
        </w:rPr>
        <w:t xml:space="preserve">Question </w:t>
      </w:r>
      <w:r>
        <w:rPr>
          <w:rFonts w:cs="Arial"/>
          <w:b/>
          <w:bCs/>
          <w:lang w:val="en-US"/>
        </w:rPr>
        <w:t>3</w:t>
      </w:r>
      <w:r>
        <w:rPr>
          <w:rFonts w:cs="Arial"/>
          <w:b/>
        </w:rPr>
        <w:t>: Do com</w:t>
      </w:r>
      <w:r>
        <w:rPr>
          <w:rFonts w:cs="Arial"/>
          <w:b/>
          <w:lang w:val="en-US"/>
        </w:rPr>
        <w:t>panies agree to P2 in [3]</w:t>
      </w:r>
      <w:r>
        <w:rPr>
          <w:rFonts w:hint="eastAsia" w:cs="Arial"/>
          <w:b/>
          <w:lang w:val="en-US"/>
        </w:rPr>
        <w:t>?</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O</w:t>
            </w:r>
            <w:r>
              <w:rPr>
                <w:rFonts w:eastAsia="等线"/>
              </w:rPr>
              <w:t>PPO</w:t>
            </w:r>
          </w:p>
        </w:tc>
        <w:tc>
          <w:tcPr>
            <w:tcW w:w="2113" w:type="dxa"/>
            <w:shd w:val="clear" w:color="auto" w:fill="auto"/>
          </w:tcPr>
          <w:p>
            <w:pPr>
              <w:rPr>
                <w:rFonts w:eastAsia="等线"/>
              </w:rPr>
            </w:pPr>
            <w:r>
              <w:rPr>
                <w:rFonts w:hint="eastAsia" w:eastAsia="等线"/>
              </w:rPr>
              <w:t>D</w:t>
            </w:r>
            <w:r>
              <w:rPr>
                <w:rFonts w:eastAsia="等线"/>
              </w:rPr>
              <w:t>isagree</w:t>
            </w:r>
          </w:p>
        </w:tc>
        <w:tc>
          <w:tcPr>
            <w:tcW w:w="5954" w:type="dxa"/>
            <w:shd w:val="clear" w:color="auto" w:fill="auto"/>
          </w:tcPr>
          <w:p>
            <w:pPr>
              <w:jc w:val="left"/>
            </w:pPr>
            <w:r>
              <w:rPr>
                <w:rFonts w:eastAsia="等线"/>
              </w:rPr>
              <w:t xml:space="preserve">We understand the intention of this proposal is to keep </w:t>
            </w:r>
            <w:r>
              <w:t xml:space="preserve">drx-inactivity timer from running during the period of 12 subframes after a PDSCH reception with HARQ feedback disabled, given that UE is not required to monitor PDCCH during this period based on RAN1 agreement. </w:t>
            </w:r>
          </w:p>
          <w:p>
            <w:pPr>
              <w:jc w:val="left"/>
            </w:pPr>
            <w:r>
              <w:t>Note that in legacy, a NB-I</w:t>
            </w:r>
            <w:r>
              <w:rPr>
                <w:rFonts w:hint="eastAsia"/>
              </w:rPr>
              <w:t>o</w:t>
            </w:r>
            <w:r>
              <w:t xml:space="preserve">T UE is not required to monitor PDCCH during PDSCH reception or PUSCH transmission even if the UE is DRX Active Time due to e.g. drx-inactivity timer is running.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8" w:type="dxa"/>
                </w:tcPr>
                <w:p>
                  <w:pPr>
                    <w:pStyle w:val="60"/>
                  </w:pPr>
                  <w:r>
                    <w:t>-</w:t>
                  </w:r>
                  <w:r>
                    <w:tab/>
                  </w:r>
                  <w:r>
                    <w:rPr>
                      <w:highlight w:val="yellow"/>
                    </w:rPr>
                    <w:t>during the Active Time, for a PDCCH-subframe,</w:t>
                  </w:r>
                  <w:r>
                    <w:t xml:space="preserve"> if the subframe is not required for uplink transmission for half-duplex FDD UE operation, and if the subframe is not a half-duplex guard subframe, as specified in TS 36.211 [7], and if the subframe is not part of a configured measurement gap and if the subframe is not part of a configured Sidelink Discovery Gap for Reception, and </w:t>
                  </w:r>
                  <w:r>
                    <w:rPr>
                      <w:highlight w:val="yellow"/>
                    </w:rPr>
                    <w:t>for NB-IoT if the subframe is not required for uplink transmission or downlink reception other than on PDCCH</w:t>
                  </w:r>
                  <w:r>
                    <w:t>; or</w:t>
                  </w:r>
                </w:p>
                <w:p>
                  <w:pPr>
                    <w:pStyle w:val="61"/>
                  </w:pPr>
                  <w:r>
                    <w:t>-</w:t>
                  </w:r>
                  <w:r>
                    <w:tab/>
                  </w:r>
                  <w:r>
                    <w:t>monitor the PDCCH;</w:t>
                  </w:r>
                </w:p>
              </w:tc>
            </w:tr>
          </w:tbl>
          <w:p>
            <w:pPr>
              <w:jc w:val="left"/>
            </w:pPr>
          </w:p>
          <w:p>
            <w:pPr>
              <w:jc w:val="left"/>
            </w:pPr>
            <w:r>
              <w:t xml:space="preserve">Therefore, we think it may be sufficient to capture this restriction of 12 subframes in RAN1 spec, and there is no need to modify UE behaviour on </w:t>
            </w:r>
            <w:r>
              <w:rPr>
                <w:rFonts w:cs="Arial"/>
              </w:rPr>
              <w:t xml:space="preserve">drx-InactivityTimer in </w:t>
            </w:r>
            <w:r>
              <w:t>the case of NB-IoT UEs with two HARQ processes and without multiple-TB scheduling.</w:t>
            </w:r>
          </w:p>
          <w:p>
            <w:pPr>
              <w:jc w:val="left"/>
              <w:rPr>
                <w:rFonts w:eastAsia="等线"/>
              </w:rPr>
            </w:pPr>
            <w:r>
              <w:rPr>
                <w:rFonts w:eastAsia="等线"/>
              </w:rPr>
              <w:t xml:space="preserve">In our understanding, for the case mentioned in [3], operation of drx-Inactivity Timer should follow legacy, i.e. start the timer after PDCCH reception and no need to introduce the new stop and </w:t>
            </w:r>
            <w:r>
              <w:t>start/restart</w:t>
            </w:r>
            <w:r>
              <w:rPr>
                <w:rFonts w:eastAsia="等线"/>
              </w:rPr>
              <w:t xml:space="preserve">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 xml:space="preserve">CATT </w:t>
            </w:r>
          </w:p>
        </w:tc>
        <w:tc>
          <w:tcPr>
            <w:tcW w:w="2113" w:type="dxa"/>
            <w:shd w:val="clear" w:color="auto" w:fill="auto"/>
          </w:tcPr>
          <w:p>
            <w:pPr>
              <w:rPr>
                <w:rFonts w:eastAsia="等线"/>
              </w:rPr>
            </w:pPr>
            <w:r>
              <w:rPr>
                <w:rFonts w:eastAsia="等线"/>
              </w:rPr>
              <w:t>A</w:t>
            </w:r>
            <w:r>
              <w:rPr>
                <w:rFonts w:hint="eastAsia" w:eastAsia="等线"/>
              </w:rPr>
              <w:t>gree (the proponent)</w:t>
            </w:r>
          </w:p>
        </w:tc>
        <w:tc>
          <w:tcPr>
            <w:tcW w:w="5954" w:type="dxa"/>
            <w:shd w:val="clear" w:color="auto" w:fill="auto"/>
          </w:tcPr>
          <w:p>
            <w:pPr>
              <w:rPr>
                <w:rFonts w:eastAsia="等线"/>
              </w:rPr>
            </w:pPr>
            <w:r>
              <w:rPr>
                <w:rFonts w:hint="eastAsia" w:eastAsia="等线"/>
              </w:rPr>
              <w:t>Yes, the proposal is only related with single TB scheduling, thanks to the Rapporteur for the clarification.</w:t>
            </w:r>
          </w:p>
          <w:p>
            <w:pPr>
              <w:rPr>
                <w:rFonts w:eastAsia="等线"/>
              </w:rPr>
            </w:pPr>
            <w:r>
              <w:rPr>
                <w:rFonts w:eastAsia="等线"/>
              </w:rPr>
              <w:t>F</w:t>
            </w:r>
            <w:r>
              <w:rPr>
                <w:rFonts w:hint="eastAsia" w:eastAsia="等线"/>
              </w:rPr>
              <w:t xml:space="preserve">irstly, we think we need keep the same logic for the similar procedure. RAN1 has agreed that, </w:t>
            </w:r>
            <w:r>
              <w:rPr>
                <w:rFonts w:hint="eastAsia" w:eastAsia="等线"/>
                <w:color w:val="FF0000"/>
              </w:rPr>
              <w:t>f</w:t>
            </w:r>
            <w:r>
              <w:rPr>
                <w:rFonts w:eastAsia="等线"/>
                <w:color w:val="FF0000"/>
              </w:rPr>
              <w:t>or a DL HARQ process with disabled HARQ feedback in NB-IoT</w:t>
            </w:r>
            <w:r>
              <w:rPr>
                <w:rFonts w:eastAsia="等线"/>
              </w:rPr>
              <w:t>, UE is not required to monitor NPDCCH in a period of Y=12(ms) from the end of reception of the NPDSCH.</w:t>
            </w:r>
            <w:r>
              <w:rPr>
                <w:rFonts w:hint="eastAsia" w:eastAsia="等线"/>
              </w:rPr>
              <w:t xml:space="preserve"> </w:t>
            </w:r>
            <w:r>
              <w:rPr>
                <w:rFonts w:eastAsia="等线"/>
              </w:rPr>
              <w:t>T</w:t>
            </w:r>
            <w:r>
              <w:rPr>
                <w:rFonts w:hint="eastAsia" w:eastAsia="等线"/>
              </w:rPr>
              <w:t xml:space="preserve">here is no restriction whether the DL HARQ process with disabled HARQ feedback is a HARQ process of a UE configured with one or two HARQ process. </w:t>
            </w:r>
            <w:r>
              <w:rPr>
                <w:rFonts w:eastAsia="等线"/>
              </w:rPr>
              <w:t>W</w:t>
            </w:r>
            <w:r>
              <w:rPr>
                <w:rFonts w:hint="eastAsia" w:eastAsia="等线"/>
              </w:rPr>
              <w:t xml:space="preserve">e should give clear description on this to avoid confusion or unnecessary cross-spec check. </w:t>
            </w:r>
            <w:r>
              <w:rPr>
                <w:rFonts w:eastAsia="等线"/>
              </w:rPr>
              <w:t>O</w:t>
            </w:r>
            <w:r>
              <w:rPr>
                <w:rFonts w:hint="eastAsia" w:eastAsia="等线"/>
              </w:rPr>
              <w:t xml:space="preserve">therwise, if we only give clarification on single HARQ process case, people may assume the </w:t>
            </w:r>
            <w:r>
              <w:rPr>
                <w:rFonts w:eastAsia="等线"/>
              </w:rPr>
              <w:t>clarification</w:t>
            </w:r>
            <w:r>
              <w:rPr>
                <w:rFonts w:hint="eastAsia" w:eastAsia="等线"/>
              </w:rPr>
              <w:t xml:space="preserve"> is not adaptable to two HARQ processes case, very easily. </w:t>
            </w:r>
          </w:p>
          <w:p>
            <w:pPr>
              <w:rPr>
                <w:rFonts w:eastAsia="等线"/>
              </w:rPr>
            </w:pPr>
            <w:r>
              <w:rPr>
                <w:rFonts w:eastAsia="等线"/>
              </w:rPr>
              <w:t>S</w:t>
            </w:r>
            <w:r>
              <w:rPr>
                <w:rFonts w:hint="eastAsia" w:eastAsia="等线"/>
              </w:rPr>
              <w:t>econdly, according the current 36.321:</w:t>
            </w:r>
          </w:p>
          <w:p>
            <w:r>
              <w:rPr>
                <w:b/>
              </w:rPr>
              <w:t xml:space="preserve">Active Time: </w:t>
            </w:r>
            <w:r>
              <w:t xml:space="preserve">Time related to DRX operation, as defined in clause 5.7, </w:t>
            </w:r>
            <w:r>
              <w:rPr>
                <w:color w:val="FF0000"/>
              </w:rPr>
              <w:t>during which the MAC entity monitors the PDCCH</w:t>
            </w:r>
            <w:r>
              <w:t>.</w:t>
            </w:r>
          </w:p>
          <w:p>
            <w:pPr>
              <w:rPr>
                <w:rFonts w:eastAsia="等线"/>
              </w:rPr>
            </w:pPr>
            <w:r>
              <w:rPr>
                <w:rFonts w:eastAsia="等线"/>
              </w:rPr>
              <w:t>A</w:t>
            </w:r>
            <w:r>
              <w:rPr>
                <w:rFonts w:hint="eastAsia" w:eastAsia="等线"/>
              </w:rPr>
              <w:t>nd</w:t>
            </w:r>
          </w:p>
          <w:p>
            <w:r>
              <w:t xml:space="preserve">When a DRX cycle is configured, </w:t>
            </w:r>
            <w:r>
              <w:rPr>
                <w:color w:val="FF0000"/>
              </w:rPr>
              <w:t>the Active Time includes the time while</w:t>
            </w:r>
            <w:r>
              <w:t>:</w:t>
            </w:r>
          </w:p>
          <w:p>
            <w:pPr>
              <w:pStyle w:val="60"/>
            </w:pPr>
            <w:r>
              <w:rPr>
                <w:i/>
              </w:rPr>
              <w:t>-</w:t>
            </w:r>
            <w:r>
              <w:rPr>
                <w:i/>
              </w:rPr>
              <w:tab/>
            </w:r>
            <w:r>
              <w:rPr>
                <w:i/>
              </w:rPr>
              <w:t>onDurationTimer</w:t>
            </w:r>
            <w:r>
              <w:t xml:space="preserve"> or </w:t>
            </w:r>
            <w:r>
              <w:rPr>
                <w:i/>
                <w:color w:val="FF0000"/>
              </w:rPr>
              <w:t>drx-InactivityTimer</w:t>
            </w:r>
            <w:r>
              <w:t xml:space="preserve"> or </w:t>
            </w:r>
            <w:r>
              <w:rPr>
                <w:i/>
              </w:rPr>
              <w:t xml:space="preserve">drx-RetransmissionTimer </w:t>
            </w:r>
            <w:r>
              <w:rPr>
                <w:rFonts w:eastAsia="Malgun Gothic"/>
              </w:rPr>
              <w:t xml:space="preserve">or </w:t>
            </w:r>
            <w:r>
              <w:rPr>
                <w:rFonts w:eastAsia="Malgun Gothic"/>
                <w:i/>
              </w:rPr>
              <w:t>drx-RetransmissionTimerShortTTI</w:t>
            </w:r>
            <w:r>
              <w:rPr>
                <w:rFonts w:eastAsia="Malgun Gothic"/>
              </w:rPr>
              <w:t xml:space="preserve"> or </w:t>
            </w:r>
            <w:r>
              <w:rPr>
                <w:rFonts w:eastAsia="Malgun Gothic"/>
                <w:i/>
              </w:rPr>
              <w:t>drx-ULRetransmissionTimer</w:t>
            </w:r>
            <w:r>
              <w:t xml:space="preserve"> or </w:t>
            </w:r>
            <w:r>
              <w:rPr>
                <w:i/>
              </w:rPr>
              <w:t>drx-ULRetransmissionTimerShortTTI</w:t>
            </w:r>
            <w:r>
              <w:t xml:space="preserve"> or </w:t>
            </w:r>
            <w:r>
              <w:rPr>
                <w:i/>
              </w:rPr>
              <w:t>mac-ContentionResolutionTimer</w:t>
            </w:r>
            <w:r>
              <w:t xml:space="preserve"> (as described in clause 5.1.5) is running; or</w:t>
            </w:r>
          </w:p>
          <w:p>
            <w:pPr>
              <w:rPr>
                <w:rFonts w:eastAsia="等线"/>
              </w:rPr>
            </w:pPr>
            <w:r>
              <w:rPr>
                <w:rFonts w:eastAsia="等线"/>
              </w:rPr>
              <w:t>…</w:t>
            </w:r>
            <w:r>
              <w:rPr>
                <w:rFonts w:hint="eastAsia" w:eastAsia="等线"/>
              </w:rPr>
              <w:t>..</w:t>
            </w:r>
          </w:p>
          <w:p>
            <w:pPr>
              <w:rPr>
                <w:rFonts w:eastAsia="等线"/>
              </w:rPr>
            </w:pPr>
            <w:r>
              <w:rPr>
                <w:rFonts w:eastAsia="等线"/>
              </w:rPr>
              <w:t>A</w:t>
            </w:r>
            <w:r>
              <w:rPr>
                <w:rFonts w:hint="eastAsia" w:eastAsia="等线"/>
              </w:rPr>
              <w:t xml:space="preserve">nd for the HARQ process </w:t>
            </w:r>
            <w:r>
              <w:rPr>
                <w:rFonts w:eastAsia="等线"/>
              </w:rPr>
              <w:t>with disabled HARQ feedback</w:t>
            </w:r>
            <w:r>
              <w:rPr>
                <w:rFonts w:hint="eastAsia" w:eastAsia="等线"/>
              </w:rPr>
              <w:t xml:space="preserve">, one of the </w:t>
            </w:r>
            <w:r>
              <w:rPr>
                <w:rFonts w:eastAsia="等线"/>
              </w:rPr>
              <w:t>intention</w:t>
            </w:r>
            <w:r>
              <w:rPr>
                <w:rFonts w:hint="eastAsia" w:eastAsia="等线"/>
              </w:rPr>
              <w:t xml:space="preserve">s to start drx-Inactivity Timer is to monitor potentially blind re-transmission, to guarantee the </w:t>
            </w:r>
            <w:r>
              <w:rPr>
                <w:rFonts w:eastAsia="等线"/>
              </w:rPr>
              <w:t>reliability</w:t>
            </w:r>
            <w:r>
              <w:rPr>
                <w:rFonts w:hint="eastAsia" w:eastAsia="等线"/>
              </w:rPr>
              <w:t>.</w:t>
            </w:r>
          </w:p>
          <w:p>
            <w:pPr>
              <w:rPr>
                <w:rFonts w:eastAsia="等线"/>
              </w:rPr>
            </w:pPr>
            <w:r>
              <w:rPr>
                <w:rFonts w:hint="eastAsia" w:eastAsia="等线"/>
              </w:rPr>
              <w:t xml:space="preserve">So we can assume the UE will monitor PDCCH during the </w:t>
            </w:r>
            <w:r>
              <w:rPr>
                <w:rFonts w:hint="eastAsia" w:eastAsia="等线"/>
                <w:color w:val="FF0000"/>
              </w:rPr>
              <w:t>drx-Inactivity Timer</w:t>
            </w:r>
            <w:r>
              <w:rPr>
                <w:rFonts w:hint="eastAsia" w:eastAsia="等线"/>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r>
              <w:rPr>
                <w:rFonts w:eastAsia="等线"/>
              </w:rPr>
              <w:t>Disagree</w:t>
            </w:r>
          </w:p>
        </w:tc>
        <w:tc>
          <w:tcPr>
            <w:tcW w:w="5954" w:type="dxa"/>
            <w:shd w:val="clear" w:color="auto" w:fill="auto"/>
          </w:tcPr>
          <w:p>
            <w:pPr>
              <w:rPr>
                <w:rFonts w:eastAsia="等线"/>
              </w:rPr>
            </w:pPr>
            <w:r>
              <w:rPr>
                <w:rFonts w:eastAsia="等线"/>
              </w:rPr>
              <w:t>The change is not needed. As legacy, if UE receives a PDSCH from one HARQ process, we don’t think the drx-inactivity timer should be stopped since UE may need to monitor PDCCH for the grant for the other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lang w:val="en-US"/>
              </w:rPr>
            </w:pPr>
            <w:r>
              <w:rPr>
                <w:rFonts w:hint="eastAsia" w:eastAsia="等线"/>
                <w:lang w:val="en-US"/>
              </w:rPr>
              <w:t>Xiaomi</w:t>
            </w:r>
          </w:p>
        </w:tc>
        <w:tc>
          <w:tcPr>
            <w:tcW w:w="2113" w:type="dxa"/>
            <w:shd w:val="clear" w:color="auto" w:fill="auto"/>
          </w:tcPr>
          <w:p>
            <w:pPr>
              <w:rPr>
                <w:rFonts w:eastAsia="等线"/>
                <w:lang w:val="en-US"/>
              </w:rPr>
            </w:pPr>
            <w:r>
              <w:rPr>
                <w:rFonts w:hint="eastAsia" w:eastAsia="等线"/>
                <w:lang w:val="en-US"/>
              </w:rPr>
              <w:t>Disagree</w:t>
            </w:r>
          </w:p>
        </w:tc>
        <w:tc>
          <w:tcPr>
            <w:tcW w:w="5954" w:type="dxa"/>
            <w:shd w:val="clear" w:color="auto" w:fill="auto"/>
          </w:tcPr>
          <w:p>
            <w:pPr>
              <w:rPr>
                <w:rFonts w:eastAsia="等线"/>
                <w:lang w:val="en-US"/>
              </w:rPr>
            </w:pPr>
            <w:r>
              <w:rPr>
                <w:rFonts w:hint="eastAsia" w:eastAsia="等线"/>
                <w:lang w:val="en-US"/>
              </w:rPr>
              <w:t>No intention to change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MediaTek</w:t>
            </w:r>
          </w:p>
        </w:tc>
        <w:tc>
          <w:tcPr>
            <w:tcW w:w="2113" w:type="dxa"/>
            <w:shd w:val="clear" w:color="auto" w:fill="auto"/>
          </w:tcPr>
          <w:p>
            <w:pPr>
              <w:rPr>
                <w:rFonts w:eastAsia="等线"/>
              </w:rPr>
            </w:pPr>
            <w:r>
              <w:rPr>
                <w:rFonts w:eastAsia="等线"/>
              </w:rPr>
              <w:t>Disagree</w:t>
            </w:r>
          </w:p>
        </w:tc>
        <w:tc>
          <w:tcPr>
            <w:tcW w:w="5954" w:type="dxa"/>
            <w:shd w:val="clear" w:color="auto" w:fill="auto"/>
          </w:tcPr>
          <w:p>
            <w:pPr>
              <w:jc w:val="left"/>
              <w:rPr>
                <w:rFonts w:eastAsia="等线"/>
              </w:rPr>
            </w:pPr>
            <w:r>
              <w:rPr>
                <w:rFonts w:eastAsia="等线"/>
              </w:rPr>
              <w:t xml:space="preserve">UE does not need to stop the running </w:t>
            </w:r>
            <w:r>
              <w:rPr>
                <w:rFonts w:eastAsia="等线"/>
                <w:lang w:val="en-US"/>
              </w:rPr>
              <w:t xml:space="preserve">drx-inactivitiy timer after NPDSCH. The drx-inactivity timer is not HARQ process specific but UE specific. It is possible that UE needs to monitor NPDCCH for another HARQ process after the NPDSCH of this HARQ process. </w:t>
            </w:r>
            <w:r>
              <w:rPr>
                <w:rFonts w:eastAsia="等线"/>
              </w:rPr>
              <w:t xml:space="preserve">Also, as mentioned in the previous questions, PDCCH offset is needed to avoid monitoring partial PDCCH occasion.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Qualcomm</w:t>
            </w:r>
          </w:p>
        </w:tc>
        <w:tc>
          <w:tcPr>
            <w:tcW w:w="2113" w:type="dxa"/>
            <w:shd w:val="clear" w:color="auto" w:fill="auto"/>
          </w:tcPr>
          <w:p>
            <w:pPr>
              <w:rPr>
                <w:rFonts w:eastAsia="等线"/>
              </w:rPr>
            </w:pPr>
            <w:r>
              <w:rPr>
                <w:rFonts w:eastAsia="等线"/>
              </w:rPr>
              <w:t>Disagree</w:t>
            </w:r>
          </w:p>
        </w:tc>
        <w:tc>
          <w:tcPr>
            <w:tcW w:w="5954" w:type="dxa"/>
            <w:shd w:val="clear" w:color="auto" w:fill="auto"/>
          </w:tcPr>
          <w:p>
            <w:pPr>
              <w:rPr>
                <w:rFonts w:eastAsia="等线"/>
              </w:rPr>
            </w:pPr>
            <w:r>
              <w:rPr>
                <w:rFonts w:eastAsia="等线"/>
              </w:rPr>
              <w:t>No need to stop the timer as the other HARQ process is 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L</w:t>
            </w:r>
            <w:r>
              <w:rPr>
                <w:rFonts w:eastAsia="等线"/>
              </w:rPr>
              <w:t>enovo</w:t>
            </w:r>
          </w:p>
        </w:tc>
        <w:tc>
          <w:tcPr>
            <w:tcW w:w="2113" w:type="dxa"/>
            <w:shd w:val="clear" w:color="auto" w:fill="auto"/>
          </w:tcPr>
          <w:p>
            <w:pPr>
              <w:rPr>
                <w:rFonts w:eastAsia="等线"/>
              </w:rPr>
            </w:pPr>
            <w:r>
              <w:rPr>
                <w:rFonts w:hint="eastAsia" w:eastAsia="等线"/>
              </w:rPr>
              <w:t>D</w:t>
            </w:r>
            <w:r>
              <w:rPr>
                <w:rFonts w:eastAsia="等线"/>
              </w:rPr>
              <w:t>isagree</w:t>
            </w:r>
          </w:p>
        </w:tc>
        <w:tc>
          <w:tcPr>
            <w:tcW w:w="5954" w:type="dxa"/>
            <w:shd w:val="clear" w:color="auto" w:fill="auto"/>
          </w:tcPr>
          <w:p>
            <w:pPr>
              <w:rPr>
                <w:rFonts w:eastAsia="等线"/>
              </w:rPr>
            </w:pPr>
            <w:r>
              <w:rPr>
                <w:rFonts w:hint="eastAsia" w:eastAsia="等线"/>
              </w:rPr>
              <w:t>L</w:t>
            </w:r>
            <w:r>
              <w:rPr>
                <w:rFonts w:eastAsia="等线"/>
              </w:rPr>
              <w:t>egacy behaviour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ascii="Calibri" w:hAnsi="Calibri" w:cs="Calibri" w:eastAsiaTheme="minorEastAsia"/>
                <w:sz w:val="22"/>
                <w:szCs w:val="22"/>
                <w:lang w:val="it-IT"/>
              </w:rPr>
              <w:t>Huawei, HiSilicon</w:t>
            </w:r>
          </w:p>
        </w:tc>
        <w:tc>
          <w:tcPr>
            <w:tcW w:w="2113" w:type="dxa"/>
            <w:shd w:val="clear" w:color="auto" w:fill="auto"/>
          </w:tcPr>
          <w:p>
            <w:pPr>
              <w:rPr>
                <w:rFonts w:eastAsia="等线"/>
              </w:rPr>
            </w:pPr>
            <w:r>
              <w:rPr>
                <w:rFonts w:eastAsia="等线"/>
              </w:rPr>
              <w:t>FFS</w:t>
            </w:r>
          </w:p>
        </w:tc>
        <w:tc>
          <w:tcPr>
            <w:tcW w:w="5954" w:type="dxa"/>
            <w:shd w:val="clear" w:color="auto" w:fill="auto"/>
          </w:tcPr>
          <w:p>
            <w:pPr>
              <w:rPr>
                <w:rFonts w:eastAsia="等线"/>
              </w:rPr>
            </w:pPr>
            <w:r>
              <w:rPr>
                <w:rFonts w:hint="eastAsia" w:eastAsia="等线"/>
                <w:highlight w:val="yellow"/>
              </w:rPr>
              <w:t>I</w:t>
            </w:r>
            <w:r>
              <w:rPr>
                <w:rFonts w:eastAsia="等线"/>
                <w:highlight w:val="yellow"/>
              </w:rPr>
              <w:t>t seems there are different understandings on RAN1’s agreement:</w:t>
            </w:r>
          </w:p>
          <w:p>
            <w:pPr>
              <w:pStyle w:val="91"/>
              <w:numPr>
                <w:ilvl w:val="0"/>
                <w:numId w:val="21"/>
              </w:numPr>
              <w:rPr>
                <w:rFonts w:eastAsia="等线"/>
              </w:rPr>
            </w:pPr>
            <w:r>
              <w:rPr>
                <w:rFonts w:hint="eastAsia" w:eastAsia="等线"/>
              </w:rPr>
              <w:t>I</w:t>
            </w:r>
            <w:r>
              <w:rPr>
                <w:rFonts w:eastAsia="等线"/>
              </w:rPr>
              <w:t>f one HARQ process is disabled and the other not, UE should still monitor NPDCCH after NPDSCH.</w:t>
            </w:r>
          </w:p>
          <w:p>
            <w:pPr>
              <w:pStyle w:val="91"/>
              <w:numPr>
                <w:ilvl w:val="0"/>
                <w:numId w:val="21"/>
              </w:numPr>
              <w:rPr>
                <w:rFonts w:eastAsia="等线"/>
              </w:rPr>
            </w:pPr>
            <w:r>
              <w:rPr>
                <w:rFonts w:hint="eastAsia" w:eastAsia="等线"/>
              </w:rPr>
              <w:t>I</w:t>
            </w:r>
            <w:r>
              <w:rPr>
                <w:rFonts w:eastAsia="等线"/>
              </w:rPr>
              <w:t>f one HARQ process is disabled and the other not, UE should stop monitoring NPDCCH for “</w:t>
            </w:r>
            <w:r>
              <w:rPr>
                <w:rFonts w:cs="Times"/>
              </w:rPr>
              <w:t>Y=12(ms)</w:t>
            </w:r>
            <w:r>
              <w:rPr>
                <w:rFonts w:eastAsia="等线"/>
              </w:rPr>
              <w:t>” after NPDSCH.</w:t>
            </w:r>
          </w:p>
          <w:p>
            <w:pPr>
              <w:rPr>
                <w:rFonts w:eastAsia="等线"/>
              </w:rPr>
            </w:pPr>
            <w:r>
              <w:rPr>
                <w:rFonts w:eastAsia="等线"/>
              </w:rPr>
              <w:t>The way we see it, understanding 2 is RAN1’s intention. Maybe we can clarify this first and then discuss whether the inactivity timer should be stopped, i.e., whether the current spec is already clear as indicated by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ascii="Calibri" w:hAnsi="Calibri" w:cs="Calibri" w:eastAsiaTheme="minorEastAsia"/>
                <w:sz w:val="22"/>
                <w:szCs w:val="22"/>
                <w:lang w:val="it-IT"/>
              </w:rPr>
            </w:pPr>
            <w:r>
              <w:rPr>
                <w:rFonts w:eastAsia="等线"/>
              </w:rPr>
              <w:t>Samsung</w:t>
            </w:r>
          </w:p>
        </w:tc>
        <w:tc>
          <w:tcPr>
            <w:tcW w:w="2113" w:type="dxa"/>
            <w:shd w:val="clear" w:color="auto" w:fill="auto"/>
          </w:tcPr>
          <w:p>
            <w:pPr>
              <w:rPr>
                <w:rFonts w:eastAsia="等线"/>
              </w:rPr>
            </w:pPr>
            <w:r>
              <w:rPr>
                <w:rFonts w:eastAsia="等线"/>
              </w:rPr>
              <w:t>Disagree</w:t>
            </w:r>
          </w:p>
        </w:tc>
        <w:tc>
          <w:tcPr>
            <w:tcW w:w="5954" w:type="dxa"/>
            <w:shd w:val="clear" w:color="auto" w:fill="auto"/>
          </w:tcPr>
          <w:p>
            <w:pPr>
              <w:rPr>
                <w:rFonts w:eastAsia="等线"/>
                <w:highlight w:val="yellow"/>
              </w:rPr>
            </w:pPr>
            <w:r>
              <w:rPr>
                <w:rFonts w:eastAsia="等线"/>
              </w:rPr>
              <w:t xml:space="preserve">Agree with the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Ericsson</w:t>
            </w:r>
          </w:p>
        </w:tc>
        <w:tc>
          <w:tcPr>
            <w:tcW w:w="2113" w:type="dxa"/>
            <w:shd w:val="clear" w:color="auto" w:fill="auto"/>
          </w:tcPr>
          <w:p>
            <w:pPr>
              <w:rPr>
                <w:rFonts w:eastAsia="等线"/>
              </w:rPr>
            </w:pPr>
            <w:r>
              <w:rPr>
                <w:rFonts w:eastAsia="等线"/>
              </w:rPr>
              <w:t>Disagree</w:t>
            </w:r>
          </w:p>
        </w:tc>
        <w:tc>
          <w:tcPr>
            <w:tcW w:w="5954" w:type="dxa"/>
            <w:shd w:val="clear" w:color="auto" w:fill="auto"/>
          </w:tcPr>
          <w:p>
            <w:pPr>
              <w:pStyle w:val="27"/>
              <w:spacing w:before="312" w:beforeLines="100"/>
              <w:rPr>
                <w:b/>
                <w:lang w:bidi="ar"/>
              </w:rPr>
            </w:pPr>
            <w:r>
              <w:rPr>
                <w:b/>
                <w:lang w:bidi="ar"/>
              </w:rPr>
              <w:t xml:space="preserve">Alternative </w:t>
            </w:r>
            <w:r>
              <w:rPr>
                <w:rFonts w:hint="eastAsia"/>
                <w:b/>
                <w:lang w:bidi="ar"/>
              </w:rPr>
              <w:t>Proposal 2:</w:t>
            </w:r>
            <w:r>
              <w:t xml:space="preserve"> </w:t>
            </w:r>
            <w:r>
              <w:rPr>
                <w:b/>
                <w:lang w:bidi="ar"/>
              </w:rPr>
              <w:t>For NB-IoT NTN UE with two HARQ processes</w:t>
            </w:r>
            <w:r>
              <w:rPr>
                <w:rFonts w:hint="eastAsia"/>
                <w:b/>
                <w:lang w:bidi="ar"/>
              </w:rPr>
              <w:t xml:space="preserve">, the HARQ feedback of one the two HARQ processes is </w:t>
            </w:r>
            <w:r>
              <w:rPr>
                <w:b/>
                <w:lang w:bidi="ar"/>
              </w:rPr>
              <w:t xml:space="preserve">disabled 7and one is enabled, scheduled with single TB: </w:t>
            </w:r>
          </w:p>
          <w:p>
            <w:pPr>
              <w:pStyle w:val="27"/>
              <w:numPr>
                <w:ilvl w:val="0"/>
                <w:numId w:val="20"/>
              </w:numPr>
              <w:overflowPunct/>
              <w:autoSpaceDE/>
              <w:autoSpaceDN/>
              <w:adjustRightInd/>
              <w:spacing w:before="312" w:beforeLines="100"/>
              <w:textAlignment w:val="auto"/>
              <w:rPr>
                <w:b/>
                <w:lang w:bidi="ar"/>
              </w:rPr>
            </w:pPr>
            <w:r>
              <w:rPr>
                <w:b/>
                <w:lang w:bidi="ar"/>
              </w:rPr>
              <w:t>stop the drx-InactivityTimer (as in legacy, no spec change expected);</w:t>
            </w:r>
          </w:p>
          <w:p>
            <w:pPr>
              <w:pStyle w:val="27"/>
              <w:numPr>
                <w:ilvl w:val="0"/>
                <w:numId w:val="20"/>
              </w:numPr>
              <w:overflowPunct/>
              <w:autoSpaceDE/>
              <w:autoSpaceDN/>
              <w:adjustRightInd/>
              <w:spacing w:before="312" w:beforeLines="100"/>
              <w:textAlignment w:val="auto"/>
              <w:rPr>
                <w:b/>
                <w:lang w:bidi="ar"/>
              </w:rPr>
            </w:pPr>
            <w:r>
              <w:rPr>
                <w:b/>
                <w:lang w:bidi="ar"/>
              </w:rPr>
              <w:t>for the HARQ process with HARQ feedback disabled: start/restart drx-InactivityTimer in the subframe containing the last repetition of the corresponding PDSCH reception plus 12 subframes;</w:t>
            </w:r>
          </w:p>
          <w:p>
            <w:pPr>
              <w:pStyle w:val="27"/>
              <w:numPr>
                <w:ilvl w:val="0"/>
                <w:numId w:val="20"/>
              </w:numPr>
              <w:overflowPunct/>
              <w:autoSpaceDE/>
              <w:autoSpaceDN/>
              <w:adjustRightInd/>
              <w:spacing w:before="312" w:beforeLines="100"/>
              <w:textAlignment w:val="auto"/>
              <w:rPr>
                <w:rFonts w:eastAsiaTheme="minorEastAsia"/>
              </w:rPr>
            </w:pPr>
            <w:r>
              <w:rPr>
                <w:b/>
                <w:lang w:bidi="ar"/>
              </w:rPr>
              <w:t>for the HARQ process with HARQ feedback enabled: start HARQ RTT Timer in the subframe containing the last repetition of the corresponding PDSCH reception (as in legacy no spec change expected) [and then start/restart drx-InactivityTimer when HARQ RTT Timer expires (as in legacy, no spec change expected)];</w:t>
            </w:r>
          </w:p>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bl>
    <w:p>
      <w:pPr>
        <w:jc w:val="left"/>
        <w:rPr>
          <w:rFonts w:cs="Arial"/>
        </w:rPr>
      </w:pPr>
    </w:p>
    <w:p>
      <w:pPr>
        <w:jc w:val="left"/>
        <w:rPr>
          <w:rFonts w:cs="Arial"/>
          <w:b/>
          <w:i/>
          <w:u w:val="single"/>
        </w:rPr>
      </w:pPr>
      <w:r>
        <w:rPr>
          <w:rFonts w:cs="Arial"/>
          <w:b/>
          <w:i/>
          <w:u w:val="single"/>
        </w:rPr>
        <w:t>DCI indicating overriding RRC configuration</w:t>
      </w:r>
    </w:p>
    <w:p>
      <w:pPr>
        <w:jc w:val="left"/>
        <w:rPr>
          <w:rFonts w:cs="Arial"/>
        </w:rPr>
      </w:pPr>
      <w:r>
        <w:rPr>
          <w:rFonts w:cs="Arial"/>
        </w:rPr>
        <w:t>RAN1 has agreed to support both RRC-based and DCI-based solutions for indicating HARQ feedback enabled/disabled. In [5], DRX impact is further discussed when DCI indication overrides RRC configuration.</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rPr>
                <w:rFonts w:cs="Arial"/>
              </w:rPr>
            </w:pPr>
            <w:r>
              <w:rPr>
                <w:rFonts w:cs="Arial"/>
              </w:rPr>
              <w:t xml:space="preserve">Contributions </w:t>
            </w:r>
          </w:p>
        </w:tc>
        <w:tc>
          <w:tcPr>
            <w:tcW w:w="8358" w:type="dxa"/>
          </w:tcPr>
          <w:p>
            <w:pPr>
              <w:jc w:val="left"/>
              <w:rPr>
                <w:rFonts w:cs="Arial"/>
              </w:rPr>
            </w:pPr>
            <w:r>
              <w:rPr>
                <w:rFonts w:cs="Arial"/>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rPr>
                <w:rFonts w:cs="Arial"/>
              </w:rPr>
            </w:pPr>
            <w:r>
              <w:rPr>
                <w:rFonts w:hint="eastAsia" w:cs="Arial"/>
              </w:rPr>
              <w:t>[</w:t>
            </w:r>
            <w:r>
              <w:rPr>
                <w:rFonts w:cs="Arial"/>
              </w:rPr>
              <w:t>5]</w:t>
            </w:r>
          </w:p>
        </w:tc>
        <w:tc>
          <w:tcPr>
            <w:tcW w:w="8358" w:type="dxa"/>
          </w:tcPr>
          <w:p>
            <w:r>
              <w:rPr>
                <w:rFonts w:hint="eastAsia"/>
              </w:rPr>
              <w:t xml:space="preserve">Proposal 2a: For </w:t>
            </w:r>
            <w:r>
              <w:t>NB-IoT NTN</w:t>
            </w:r>
            <w:r>
              <w:rPr>
                <w:rFonts w:hint="eastAsia"/>
              </w:rPr>
              <w:t xml:space="preserve"> with two HARQ process</w:t>
            </w:r>
            <w:r>
              <w:t>es and eMTC NTN for CE Mode B</w:t>
            </w:r>
            <w:r>
              <w:rPr>
                <w:rFonts w:hint="eastAsia"/>
              </w:rPr>
              <w:t xml:space="preserve">, if the HARQ feedback </w:t>
            </w:r>
            <w:r>
              <w:t>has been</w:t>
            </w:r>
            <w:r>
              <w:rPr>
                <w:rFonts w:hint="eastAsia"/>
              </w:rPr>
              <w:t xml:space="preserve"> enabled for a HARQ process by RRC and </w:t>
            </w:r>
            <w:r>
              <w:t xml:space="preserve">later a DCI for disabling </w:t>
            </w:r>
            <w:r>
              <w:rPr>
                <w:rFonts w:hint="eastAsia"/>
              </w:rPr>
              <w:t>the HARQ feedback of this HARQ process</w:t>
            </w:r>
            <w:r>
              <w:t xml:space="preserve"> is received</w:t>
            </w:r>
            <w:r>
              <w:rPr>
                <w:rFonts w:hint="eastAsia"/>
              </w:rPr>
              <w:t>, the UE won</w:t>
            </w:r>
            <w:r>
              <w:t>’</w:t>
            </w:r>
            <w:r>
              <w:rPr>
                <w:rFonts w:hint="eastAsia"/>
              </w:rPr>
              <w:t>t start/restart the corresponding HARQ RTT timer.</w:t>
            </w:r>
          </w:p>
          <w:p>
            <w:r>
              <w:t>Proposal 2b: For NB-IoT NTN with single HARQ process, if the HARQ feedback has been enabled by RRC and disabled by DCI and later a DCI for disabling the HARQ feedback is received, the UE will start/restart drx-inactivity timer.</w:t>
            </w:r>
          </w:p>
          <w:p>
            <w:r>
              <w:t xml:space="preserve">Proposal 4: An indication from PHY is introduced to indicate to MAC that the HARQ feedback of a HARQ process is enabled/disabled by DCI. </w:t>
            </w:r>
          </w:p>
        </w:tc>
      </w:tr>
    </w:tbl>
    <w:p>
      <w:pPr>
        <w:jc w:val="left"/>
        <w:rPr>
          <w:rFonts w:cs="Arial"/>
        </w:rPr>
      </w:pPr>
    </w:p>
    <w:p>
      <w:pPr>
        <w:rPr>
          <w:rFonts w:cs="Arial"/>
          <w:b/>
          <w:lang w:val="en-US"/>
        </w:rPr>
      </w:pPr>
      <w:r>
        <w:rPr>
          <w:rFonts w:cs="Arial"/>
          <w:b/>
          <w:bCs/>
        </w:rPr>
        <w:t xml:space="preserve">Question </w:t>
      </w:r>
      <w:r>
        <w:rPr>
          <w:rFonts w:cs="Arial"/>
          <w:b/>
          <w:bCs/>
          <w:lang w:val="en-US"/>
        </w:rPr>
        <w:t>4</w:t>
      </w:r>
      <w:r>
        <w:rPr>
          <w:rFonts w:cs="Arial"/>
          <w:b/>
        </w:rPr>
        <w:t>: Do com</w:t>
      </w:r>
      <w:r>
        <w:rPr>
          <w:rFonts w:cs="Arial"/>
          <w:b/>
          <w:lang w:val="en-US"/>
        </w:rPr>
        <w:t>panies agree to P2a, P2b and P4 in [5]</w:t>
      </w:r>
      <w:r>
        <w:rPr>
          <w:rFonts w:hint="eastAsia" w:cs="Arial"/>
          <w:b/>
          <w:lang w:val="en-US"/>
        </w:rPr>
        <w:t>?</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O</w:t>
            </w:r>
            <w:r>
              <w:rPr>
                <w:rFonts w:eastAsia="等线"/>
              </w:rPr>
              <w:t>PPO</w:t>
            </w:r>
          </w:p>
        </w:tc>
        <w:tc>
          <w:tcPr>
            <w:tcW w:w="2113" w:type="dxa"/>
            <w:shd w:val="clear" w:color="auto" w:fill="auto"/>
          </w:tcPr>
          <w:p>
            <w:pPr>
              <w:rPr>
                <w:rFonts w:eastAsia="等线"/>
              </w:rPr>
            </w:pPr>
            <w:r>
              <w:rPr>
                <w:rFonts w:hint="eastAsia" w:eastAsia="等线"/>
              </w:rPr>
              <w:t>A</w:t>
            </w:r>
            <w:r>
              <w:rPr>
                <w:rFonts w:eastAsia="等线"/>
              </w:rPr>
              <w:t>gree</w:t>
            </w: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CATT</w:t>
            </w:r>
          </w:p>
        </w:tc>
        <w:tc>
          <w:tcPr>
            <w:tcW w:w="2113" w:type="dxa"/>
            <w:shd w:val="clear" w:color="auto" w:fill="auto"/>
          </w:tcPr>
          <w:p>
            <w:pPr>
              <w:rPr>
                <w:rFonts w:eastAsia="等线"/>
              </w:rPr>
            </w:pPr>
            <w:r>
              <w:rPr>
                <w:rFonts w:hint="eastAsia" w:eastAsia="等线"/>
              </w:rPr>
              <w:t>Agree with P2a and P2b</w:t>
            </w:r>
          </w:p>
        </w:tc>
        <w:tc>
          <w:tcPr>
            <w:tcW w:w="5954" w:type="dxa"/>
            <w:shd w:val="clear" w:color="auto" w:fill="auto"/>
          </w:tcPr>
          <w:p>
            <w:pPr>
              <w:rPr>
                <w:rFonts w:eastAsia="等线"/>
              </w:rPr>
            </w:pPr>
            <w:r>
              <w:rPr>
                <w:rFonts w:eastAsia="等线"/>
              </w:rPr>
              <w:t>F</w:t>
            </w:r>
            <w:r>
              <w:rPr>
                <w:rFonts w:hint="eastAsia" w:eastAsia="等线"/>
              </w:rPr>
              <w:t xml:space="preserve">or P4, we think no agreement is needed. </w:t>
            </w:r>
            <w:r>
              <w:rPr>
                <w:rFonts w:eastAsia="等线"/>
              </w:rPr>
              <w:t>J</w:t>
            </w:r>
            <w:r>
              <w:rPr>
                <w:rFonts w:hint="eastAsia" w:eastAsia="等线"/>
              </w:rPr>
              <w:t xml:space="preserve">ust </w:t>
            </w:r>
            <w:r>
              <w:rPr>
                <w:rFonts w:eastAsia="等线"/>
              </w:rPr>
              <w:t>like</w:t>
            </w:r>
            <w:r>
              <w:rPr>
                <w:rFonts w:hint="eastAsia" w:eastAsia="等线"/>
              </w:rPr>
              <w:t xml:space="preserve"> NDI, the HARQ enabling/disabling bit in DCI (if included) will of </w:t>
            </w:r>
            <w:r>
              <w:rPr>
                <w:rFonts w:eastAsia="等线"/>
              </w:rPr>
              <w:t>course</w:t>
            </w:r>
            <w:r>
              <w:rPr>
                <w:rFonts w:hint="eastAsia" w:eastAsia="等线"/>
              </w:rPr>
              <w:t xml:space="preserve"> be delivered to MAC.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r>
              <w:rPr>
                <w:rFonts w:eastAsia="等线"/>
              </w:rPr>
              <w:t>See comments.</w:t>
            </w:r>
          </w:p>
        </w:tc>
        <w:tc>
          <w:tcPr>
            <w:tcW w:w="5954" w:type="dxa"/>
            <w:shd w:val="clear" w:color="auto" w:fill="auto"/>
          </w:tcPr>
          <w:p>
            <w:pPr>
              <w:jc w:val="left"/>
              <w:rPr>
                <w:rFonts w:eastAsia="等线"/>
              </w:rPr>
            </w:pPr>
            <w:r>
              <w:rPr>
                <w:rFonts w:eastAsia="等线"/>
              </w:rPr>
              <w:t>P2a: Agree. But it is already covered by current RAN2 agreement for HARQ feedback disabled case.</w:t>
            </w:r>
          </w:p>
          <w:p>
            <w:pPr>
              <w:pStyle w:val="89"/>
              <w:numPr>
                <w:ilvl w:val="0"/>
                <w:numId w:val="22"/>
              </w:numPr>
              <w:pBdr>
                <w:top w:val="single" w:color="auto" w:sz="4" w:space="1"/>
                <w:left w:val="single" w:color="auto" w:sz="4" w:space="4"/>
                <w:bottom w:val="single" w:color="auto" w:sz="4" w:space="1"/>
                <w:right w:val="single" w:color="auto" w:sz="4" w:space="4"/>
              </w:pBdr>
              <w:rPr>
                <w:highlight w:val="yellow"/>
              </w:rPr>
            </w:pPr>
            <w:r>
              <w:t xml:space="preserve">RAN2 agree to take R17 NR NTN DRX solution as baseline for IoT NTN, e.g. </w:t>
            </w:r>
            <w:r>
              <w:rPr>
                <w:highlight w:val="yellow"/>
              </w:rPr>
              <w:t>for HARQ process with DL HARQ feedback disabled, the UE will not start the corresponding DL HARQ RTT timer.</w:t>
            </w:r>
          </w:p>
          <w:p>
            <w:pPr>
              <w:jc w:val="left"/>
              <w:rPr>
                <w:rFonts w:eastAsia="等线"/>
              </w:rPr>
            </w:pPr>
          </w:p>
          <w:p>
            <w:pPr>
              <w:jc w:val="left"/>
              <w:rPr>
                <w:rFonts w:eastAsia="等线"/>
              </w:rPr>
            </w:pPr>
            <w:r>
              <w:rPr>
                <w:rFonts w:eastAsia="等线"/>
              </w:rPr>
              <w:t>P2b: Disagree. UE should follow the single HARQ process behaviour when the HARQ feedback is disabled. E.g. the agreement as below and further update as question1.</w:t>
            </w:r>
          </w:p>
          <w:tbl>
            <w:tblPr>
              <w:tblStyle w:val="46"/>
              <w:tblW w:w="0" w:type="auto"/>
              <w:tblInd w:w="1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17" w:type="dxa"/>
                </w:tcPr>
                <w:p>
                  <w:r>
                    <w:t>Agreements:</w:t>
                  </w:r>
                </w:p>
                <w:p>
                  <w:r>
                    <w:t>1.</w:t>
                  </w:r>
                  <w:r>
                    <w:tab/>
                  </w:r>
                  <w:r>
                    <w:t>For NB-IoT NTN with single HARQ process when the HARQ feedback is disabled, the UE will start/restart drx-inactivity timer in the subframe containing the last repetition of the corresponding PDSCH reception plus 12 subframes.</w:t>
                  </w:r>
                </w:p>
              </w:tc>
            </w:tr>
          </w:tbl>
          <w:p>
            <w:pPr>
              <w:rPr>
                <w:rFonts w:eastAsia="等线"/>
              </w:rPr>
            </w:pPr>
            <w:r>
              <w:rPr>
                <w:rFonts w:eastAsia="等线"/>
              </w:rPr>
              <w:t>P4: FFS. It is not clear how to indicate the HARQ feedback disabling or enabling in DCI. Therefore, it is not clear whether MAC can directly know the information. Can be discussed after RAN1 reach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lang w:val="en-US"/>
              </w:rPr>
            </w:pPr>
            <w:r>
              <w:rPr>
                <w:rFonts w:hint="eastAsia" w:eastAsia="等线"/>
                <w:lang w:val="en-US"/>
              </w:rPr>
              <w:t>Xiaomi</w:t>
            </w:r>
          </w:p>
        </w:tc>
        <w:tc>
          <w:tcPr>
            <w:tcW w:w="2113" w:type="dxa"/>
            <w:shd w:val="clear" w:color="auto" w:fill="auto"/>
          </w:tcPr>
          <w:p>
            <w:pPr>
              <w:rPr>
                <w:rFonts w:eastAsia="等线"/>
                <w:lang w:val="en-US"/>
              </w:rPr>
            </w:pPr>
            <w:r>
              <w:rPr>
                <w:rFonts w:hint="eastAsia" w:eastAsia="等线"/>
                <w:lang w:val="en-US"/>
              </w:rPr>
              <w:t>See comments</w:t>
            </w:r>
          </w:p>
        </w:tc>
        <w:tc>
          <w:tcPr>
            <w:tcW w:w="5954" w:type="dxa"/>
            <w:shd w:val="clear" w:color="auto" w:fill="auto"/>
          </w:tcPr>
          <w:p>
            <w:pPr>
              <w:rPr>
                <w:rFonts w:eastAsia="等线"/>
                <w:lang w:val="en-US"/>
              </w:rPr>
            </w:pPr>
            <w:r>
              <w:rPr>
                <w:rFonts w:hint="eastAsia" w:eastAsia="等线"/>
                <w:lang w:val="en-US"/>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MediaTek</w:t>
            </w:r>
          </w:p>
        </w:tc>
        <w:tc>
          <w:tcPr>
            <w:tcW w:w="2113" w:type="dxa"/>
            <w:shd w:val="clear" w:color="auto" w:fill="auto"/>
          </w:tcPr>
          <w:p>
            <w:pPr>
              <w:rPr>
                <w:rFonts w:eastAsia="等线"/>
              </w:rPr>
            </w:pPr>
            <w:r>
              <w:rPr>
                <w:rFonts w:eastAsia="等线"/>
              </w:rPr>
              <w:t>Disagree: P2a, P2b</w:t>
            </w:r>
          </w:p>
          <w:p>
            <w:pPr>
              <w:rPr>
                <w:rFonts w:eastAsia="等线"/>
              </w:rPr>
            </w:pPr>
            <w:r>
              <w:rPr>
                <w:rFonts w:eastAsia="等线"/>
              </w:rPr>
              <w:t>Agree: P4</w:t>
            </w:r>
          </w:p>
        </w:tc>
        <w:tc>
          <w:tcPr>
            <w:tcW w:w="5954" w:type="dxa"/>
            <w:shd w:val="clear" w:color="auto" w:fill="auto"/>
          </w:tcPr>
          <w:p>
            <w:pPr>
              <w:jc w:val="left"/>
              <w:rPr>
                <w:rFonts w:eastAsia="等线"/>
              </w:rPr>
            </w:pPr>
            <w:r>
              <w:rPr>
                <w:rFonts w:eastAsia="等线"/>
              </w:rPr>
              <w:t xml:space="preserve">P2a and P2b: We need RAN1's input whether enable by RRC and disable by DCI is finally agreed. </w:t>
            </w:r>
          </w:p>
          <w:p>
            <w:pPr>
              <w:jc w:val="left"/>
              <w:rPr>
                <w:rFonts w:eastAsia="等线"/>
              </w:rPr>
            </w:pPr>
            <w:r>
              <w:rPr>
                <w:rFonts w:eastAsia="等线"/>
              </w:rPr>
              <w:t xml:space="preserve">P4 could be agreed if we assume that </w:t>
            </w:r>
            <w:r>
              <w:t xml:space="preserve">HARQ process is enabled/disabled by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Qualcomm</w:t>
            </w:r>
          </w:p>
        </w:tc>
        <w:tc>
          <w:tcPr>
            <w:tcW w:w="2113" w:type="dxa"/>
            <w:shd w:val="clear" w:color="auto" w:fill="auto"/>
          </w:tcPr>
          <w:p>
            <w:pPr>
              <w:rPr>
                <w:rFonts w:eastAsia="等线"/>
              </w:rPr>
            </w:pPr>
            <w:r>
              <w:rPr>
                <w:rFonts w:eastAsia="等线"/>
              </w:rPr>
              <w:t>Wait for RAN1</w:t>
            </w:r>
          </w:p>
        </w:tc>
        <w:tc>
          <w:tcPr>
            <w:tcW w:w="5954" w:type="dxa"/>
            <w:shd w:val="clear" w:color="auto" w:fill="auto"/>
          </w:tcPr>
          <w:p>
            <w:pPr>
              <w:rPr>
                <w:rFonts w:eastAsia="等线"/>
              </w:rPr>
            </w:pPr>
            <w:r>
              <w:rPr>
                <w:rFonts w:eastAsia="等线"/>
              </w:rPr>
              <w:t>See Q2, how can we now decide on this when Q2 depends on RAN1.</w:t>
            </w:r>
          </w:p>
          <w:p>
            <w:pPr>
              <w:rPr>
                <w:rFonts w:eastAsia="等线"/>
              </w:rPr>
            </w:pPr>
            <w:r>
              <w:rPr>
                <w:rFonts w:eastAsia="等线"/>
              </w:rPr>
              <w:t>This is also being discussed by RAN1 on how to use DCI based solution together with RRC-based, we can wait RAN1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Lenovo</w:t>
            </w:r>
          </w:p>
        </w:tc>
        <w:tc>
          <w:tcPr>
            <w:tcW w:w="2113" w:type="dxa"/>
            <w:shd w:val="clear" w:color="auto" w:fill="auto"/>
          </w:tcPr>
          <w:p>
            <w:pPr>
              <w:rPr>
                <w:rFonts w:eastAsia="等线"/>
              </w:rPr>
            </w:pPr>
            <w:r>
              <w:rPr>
                <w:rFonts w:hint="eastAsia" w:eastAsia="等线"/>
              </w:rPr>
              <w:t>W</w:t>
            </w:r>
            <w:r>
              <w:rPr>
                <w:rFonts w:eastAsia="等线"/>
              </w:rPr>
              <w:t>ait for RAN1</w:t>
            </w:r>
          </w:p>
        </w:tc>
        <w:tc>
          <w:tcPr>
            <w:tcW w:w="5954" w:type="dxa"/>
            <w:shd w:val="clear" w:color="auto" w:fill="auto"/>
          </w:tcPr>
          <w:p>
            <w:pPr>
              <w:rPr>
                <w:rFonts w:eastAsia="等线"/>
              </w:rPr>
            </w:pPr>
            <w:r>
              <w:rPr>
                <w:rFonts w:hint="eastAsia" w:eastAsia="等线"/>
              </w:rPr>
              <w:t>A</w:t>
            </w:r>
            <w:r>
              <w:rPr>
                <w:rFonts w:eastAsia="等线"/>
              </w:rPr>
              <w:t>gree with Qualcomm, better to wait for RAN1 on the DCI-based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ascii="Calibri" w:hAnsi="Calibri" w:cs="Calibri" w:eastAsiaTheme="minorEastAsia"/>
                <w:sz w:val="22"/>
                <w:szCs w:val="22"/>
                <w:lang w:val="it-IT"/>
              </w:rPr>
              <w:t>Huawei, HiSilicon</w:t>
            </w:r>
          </w:p>
        </w:tc>
        <w:tc>
          <w:tcPr>
            <w:tcW w:w="2113" w:type="dxa"/>
            <w:shd w:val="clear" w:color="auto" w:fill="auto"/>
          </w:tcPr>
          <w:p>
            <w:pPr>
              <w:rPr>
                <w:rFonts w:eastAsia="等线"/>
              </w:rPr>
            </w:pPr>
            <w:r>
              <w:rPr>
                <w:rFonts w:eastAsia="等线"/>
              </w:rPr>
              <w:t>Disagree</w:t>
            </w:r>
          </w:p>
        </w:tc>
        <w:tc>
          <w:tcPr>
            <w:tcW w:w="5954" w:type="dxa"/>
            <w:shd w:val="clear" w:color="auto" w:fill="auto"/>
          </w:tcPr>
          <w:p>
            <w:pPr>
              <w:rPr>
                <w:rFonts w:eastAsia="等线"/>
              </w:rPr>
            </w:pPr>
            <w:r>
              <w:rPr>
                <w:rFonts w:hint="eastAsia" w:eastAsia="等线"/>
              </w:rPr>
              <w:t>A</w:t>
            </w:r>
            <w:r>
              <w:rPr>
                <w:rFonts w:eastAsia="等线"/>
              </w:rPr>
              <w:t>gree with Nokia that P2a and PP2b may be covered already and not need to be discussed at all.</w:t>
            </w:r>
          </w:p>
          <w:p>
            <w:pPr>
              <w:rPr>
                <w:rFonts w:eastAsia="等线"/>
              </w:rPr>
            </w:pPr>
            <w:r>
              <w:rPr>
                <w:rFonts w:eastAsia="等线"/>
              </w:rPr>
              <w:t>For P4, same view with CATT: no need to explicitly introduce a inter-layer indication for this. MAC can directly capture something like “if the HARQ feedback is disabled….” Which includes both “RRC disable” and “DCI disable”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ascii="Calibri" w:hAnsi="Calibri" w:cs="Calibri" w:eastAsiaTheme="minorEastAsia"/>
                <w:sz w:val="22"/>
                <w:szCs w:val="22"/>
                <w:lang w:val="it-IT"/>
              </w:rPr>
            </w:pPr>
            <w:r>
              <w:rPr>
                <w:rFonts w:eastAsia="等线"/>
              </w:rPr>
              <w:t>Samsung</w:t>
            </w:r>
          </w:p>
        </w:tc>
        <w:tc>
          <w:tcPr>
            <w:tcW w:w="2113" w:type="dxa"/>
            <w:shd w:val="clear" w:color="auto" w:fill="auto"/>
          </w:tcPr>
          <w:p>
            <w:pPr>
              <w:rPr>
                <w:rFonts w:eastAsia="等线"/>
              </w:rPr>
            </w:pPr>
            <w:r>
              <w:rPr>
                <w:rFonts w:eastAsia="等线"/>
              </w:rPr>
              <w:t>Wait for RAN1</w:t>
            </w:r>
          </w:p>
          <w:p>
            <w:pPr>
              <w:rPr>
                <w:rFonts w:eastAsia="等线"/>
              </w:rPr>
            </w:pPr>
            <w:r>
              <w:rPr>
                <w:rFonts w:eastAsia="等线"/>
              </w:rPr>
              <w:t>P4 is OK</w:t>
            </w:r>
          </w:p>
        </w:tc>
        <w:tc>
          <w:tcPr>
            <w:tcW w:w="5954" w:type="dxa"/>
            <w:shd w:val="clear" w:color="auto" w:fill="auto"/>
          </w:tcPr>
          <w:p>
            <w:pPr>
              <w:rPr>
                <w:rFonts w:eastAsia="等线"/>
              </w:rPr>
            </w:pPr>
            <w:r>
              <w:rPr>
                <w:rFonts w:eastAsia="等线"/>
              </w:rPr>
              <w:t>For P4, we would assume it would be an indication like any other indication to MAC, i.e “If HARQ process is turned OFF, then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Ericsson</w:t>
            </w:r>
          </w:p>
        </w:tc>
        <w:tc>
          <w:tcPr>
            <w:tcW w:w="2113" w:type="dxa"/>
            <w:shd w:val="clear" w:color="auto" w:fill="auto"/>
          </w:tcPr>
          <w:p>
            <w:pPr>
              <w:rPr>
                <w:rFonts w:eastAsia="等线"/>
              </w:rPr>
            </w:pPr>
            <w:r>
              <w:rPr>
                <w:rFonts w:eastAsia="等线"/>
              </w:rPr>
              <w:t>Disagree</w:t>
            </w:r>
          </w:p>
        </w:tc>
        <w:tc>
          <w:tcPr>
            <w:tcW w:w="5954" w:type="dxa"/>
            <w:shd w:val="clear" w:color="auto" w:fill="auto"/>
          </w:tcPr>
          <w:p>
            <w:pPr>
              <w:pStyle w:val="147"/>
              <w:ind w:left="0"/>
            </w:pPr>
            <w:r>
              <w:t xml:space="preserve">P2a: Maybe. This shall be covered by the existing RAN2 agreement – if implemented correctly in the MAC spec (that is, MAC can say “if HARQ feedback is enabled, start HARQ RTT Timer; else do not start HARQ RTT Timer”. </w:t>
            </w:r>
          </w:p>
          <w:p>
            <w:pPr>
              <w:pStyle w:val="147"/>
              <w:ind w:left="0"/>
            </w:pPr>
            <w:r>
              <w:t>P2b: Maybe, but this is normal PDCCH reception for disabled HARQ feedback, right? No spec changes?</w:t>
            </w:r>
          </w:p>
          <w:p>
            <w:pPr>
              <w:rPr>
                <w:rFonts w:eastAsia="等线"/>
              </w:rPr>
            </w:pPr>
            <w:r>
              <w:t>P4: Possibly, but lets wait RAN1 progress on this issue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CMCC</w:t>
            </w:r>
          </w:p>
        </w:tc>
        <w:tc>
          <w:tcPr>
            <w:tcW w:w="2113" w:type="dxa"/>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Wait for RAN1</w:t>
            </w:r>
          </w:p>
        </w:tc>
        <w:tc>
          <w:tcPr>
            <w:tcW w:w="5954" w:type="dxa"/>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How to use DCI-based solution is still under RAN1 discussion.</w:t>
            </w:r>
          </w:p>
        </w:tc>
      </w:tr>
    </w:tbl>
    <w:p>
      <w:pPr>
        <w:jc w:val="left"/>
        <w:rPr>
          <w:rFonts w:cs="Arial"/>
        </w:rPr>
      </w:pPr>
    </w:p>
    <w:p>
      <w:pPr>
        <w:jc w:val="left"/>
        <w:rPr>
          <w:rFonts w:cs="Arial"/>
        </w:rPr>
      </w:pPr>
    </w:p>
    <w:p>
      <w:pPr>
        <w:jc w:val="left"/>
        <w:rPr>
          <w:rFonts w:cs="Arial"/>
        </w:rPr>
      </w:pPr>
    </w:p>
    <w:p>
      <w:pPr>
        <w:jc w:val="left"/>
        <w:rPr>
          <w:rFonts w:cs="Arial"/>
          <w:b/>
          <w:i/>
          <w:u w:val="single"/>
        </w:rPr>
      </w:pPr>
      <w:r>
        <w:rPr>
          <w:rFonts w:cs="Arial"/>
          <w:b/>
          <w:i/>
          <w:u w:val="single"/>
        </w:rPr>
        <w:t>DL multiple TB scheduling</w:t>
      </w:r>
    </w:p>
    <w:p>
      <w:pPr>
        <w:pStyle w:val="27"/>
        <w:spacing w:after="156" w:afterLines="50" w:line="280" w:lineRule="exact"/>
        <w:rPr>
          <w:rFonts w:eastAsiaTheme="minorEastAsia"/>
        </w:rPr>
      </w:pPr>
      <w:r>
        <w:rPr>
          <w:rFonts w:eastAsiaTheme="minorEastAsia"/>
        </w:rPr>
        <w:t>With DL HARQ feedback disabled being introduced, multiple TB scheduling needs to be discussed. Following proposals are mentioned by companies.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rPr>
                <w:rFonts w:cs="Arial"/>
              </w:rPr>
            </w:pPr>
            <w:r>
              <w:rPr>
                <w:rFonts w:cs="Arial"/>
              </w:rPr>
              <w:t xml:space="preserve">Contributions </w:t>
            </w:r>
          </w:p>
        </w:tc>
        <w:tc>
          <w:tcPr>
            <w:tcW w:w="8358" w:type="dxa"/>
          </w:tcPr>
          <w:p>
            <w:pPr>
              <w:jc w:val="left"/>
              <w:rPr>
                <w:rFonts w:cs="Arial"/>
              </w:rPr>
            </w:pPr>
            <w:r>
              <w:rPr>
                <w:rFonts w:cs="Arial"/>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rPr>
                <w:rFonts w:cs="Arial"/>
              </w:rPr>
            </w:pPr>
            <w:r>
              <w:rPr>
                <w:rFonts w:hint="eastAsia" w:cs="Arial"/>
              </w:rPr>
              <w:t>[</w:t>
            </w:r>
            <w:r>
              <w:rPr>
                <w:rFonts w:cs="Arial"/>
              </w:rPr>
              <w:t>1]</w:t>
            </w:r>
          </w:p>
        </w:tc>
        <w:tc>
          <w:tcPr>
            <w:tcW w:w="8358" w:type="dxa"/>
          </w:tcPr>
          <w:p>
            <w:r>
              <w:t>Proposal 1: For DL, it is up to RAN1 to decide how to support multiple TB scheduling with a single DCI in NTN, i.e. allow those HARQ processes corresponding to the scheduled multiple TBs to be configured with different HARQ modes or restrict all the HARQ processed corresponding to the scheduled multiple TBs always configured with the same HARQ mode.</w:t>
            </w:r>
          </w:p>
          <w:p>
            <w:r>
              <w:t>Proposal 4: For a NB-IoT UE configured with two HARQ processes, if PDCCH indicates the transmission is for multiple TBs and if at least one DL HARQ process is configured with disabled HARQ feedback, UE starts drx-InactivityTimer in the subframe containing the last repetition of the PDSCH corresponding to the last scheduled TB plus 12 subframes.</w:t>
            </w:r>
          </w:p>
          <w:p>
            <w:r>
              <w:t>Proposal 5: For DL multiple-TB scheduling, if the scheduled multiple TBs are configured with different HARQ modes, HARQ RTT Timer is calculated based on the scheduled TBs for which the corresponding HARQ process is configured with DL HARQ feedback enabled.</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rPr>
                <w:rFonts w:cs="Arial"/>
              </w:rPr>
            </w:pPr>
            <w:r>
              <w:rPr>
                <w:rFonts w:hint="eastAsia" w:cs="Arial"/>
              </w:rPr>
              <w:t>[</w:t>
            </w:r>
            <w:r>
              <w:rPr>
                <w:rFonts w:cs="Arial"/>
              </w:rPr>
              <w:t>3]</w:t>
            </w:r>
          </w:p>
        </w:tc>
        <w:tc>
          <w:tcPr>
            <w:tcW w:w="8358" w:type="dxa"/>
          </w:tcPr>
          <w:p>
            <w:pPr>
              <w:pStyle w:val="27"/>
            </w:pPr>
            <w:r>
              <w:t xml:space="preserve">Proposal </w:t>
            </w:r>
            <w:r>
              <w:rPr>
                <w:rFonts w:hint="eastAsia" w:eastAsiaTheme="minorEastAsia"/>
              </w:rPr>
              <w:t xml:space="preserve">5: </w:t>
            </w:r>
            <w:r>
              <w:t>Postpone the discussion for enhancements for the case for a multi-TB block until RAN1 has made decision on the solutions for transmitting HARQ feedback for this case.</w:t>
            </w:r>
          </w:p>
          <w:p>
            <w:pPr>
              <w:pStyle w:val="2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rPr>
                <w:rFonts w:cs="Arial"/>
              </w:rPr>
            </w:pPr>
            <w:r>
              <w:rPr>
                <w:rFonts w:hint="eastAsia" w:cs="Arial"/>
              </w:rPr>
              <w:t>[</w:t>
            </w:r>
            <w:r>
              <w:rPr>
                <w:rFonts w:cs="Arial"/>
              </w:rPr>
              <w:t>6]</w:t>
            </w:r>
          </w:p>
        </w:tc>
        <w:tc>
          <w:tcPr>
            <w:tcW w:w="8358" w:type="dxa"/>
          </w:tcPr>
          <w:p>
            <w:r>
              <w:t>Proposal 5: RAN2 discuss how to address the issue of HARQ processes for the multiple TBs scheduled by the same PDCCH.</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rPr>
                <w:rFonts w:cs="Arial"/>
              </w:rPr>
            </w:pPr>
            <w:r>
              <w:rPr>
                <w:rFonts w:hint="eastAsia" w:cs="Arial"/>
              </w:rPr>
              <w:t>[</w:t>
            </w:r>
            <w:r>
              <w:rPr>
                <w:rFonts w:cs="Arial"/>
              </w:rPr>
              <w:t>11]</w:t>
            </w:r>
          </w:p>
        </w:tc>
        <w:tc>
          <w:tcPr>
            <w:tcW w:w="8358" w:type="dxa"/>
          </w:tcPr>
          <w:p>
            <w:r>
              <w:t>Proposal 1: Whether the HARQ RTT timer calculation needs to be changed f</w:t>
            </w:r>
            <w:r>
              <w:rPr>
                <w:rFonts w:hint="eastAsia"/>
              </w:rPr>
              <w:t>or Multiple TBs scheduling</w:t>
            </w:r>
            <w:r>
              <w:t>, should wait for RAN1’s outcome</w:t>
            </w:r>
            <w:r>
              <w:rPr>
                <w:rFonts w:hint="eastAsia"/>
              </w:rP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rPr>
                <w:rFonts w:cs="Arial"/>
              </w:rPr>
            </w:pPr>
            <w:r>
              <w:rPr>
                <w:rFonts w:hint="eastAsia" w:cs="Arial"/>
              </w:rPr>
              <w:t>[</w:t>
            </w:r>
            <w:r>
              <w:rPr>
                <w:rFonts w:cs="Arial"/>
              </w:rPr>
              <w:t>12]</w:t>
            </w:r>
          </w:p>
        </w:tc>
        <w:tc>
          <w:tcPr>
            <w:tcW w:w="8358" w:type="dxa"/>
          </w:tcPr>
          <w:p>
            <w:r>
              <w:t xml:space="preserve">Proposal 2: </w:t>
            </w:r>
            <w:r>
              <w:rPr>
                <w:rFonts w:hint="eastAsia"/>
                <w:lang w:val="en-US"/>
              </w:rPr>
              <w:t>From RAN2 point of view, there is no need to enhance for Multiple TBs scheduling, unless RAN1 requests to do so.</w:t>
            </w:r>
          </w:p>
        </w:tc>
      </w:tr>
    </w:tbl>
    <w:p>
      <w:pPr>
        <w:pStyle w:val="27"/>
        <w:spacing w:after="156" w:afterLines="50" w:line="280" w:lineRule="exact"/>
        <w:rPr>
          <w:rFonts w:eastAsiaTheme="minorEastAsia"/>
        </w:rPr>
      </w:pPr>
    </w:p>
    <w:p>
      <w:pPr>
        <w:rPr>
          <w:rFonts w:cs="Arial"/>
          <w:b/>
        </w:rPr>
      </w:pPr>
      <w:r>
        <w:rPr>
          <w:rFonts w:cs="Arial"/>
          <w:b/>
          <w:bCs/>
        </w:rPr>
        <w:t xml:space="preserve">Question </w:t>
      </w:r>
      <w:r>
        <w:rPr>
          <w:rFonts w:cs="Arial"/>
          <w:b/>
          <w:bCs/>
          <w:lang w:val="en-US"/>
        </w:rPr>
        <w:t>5</w:t>
      </w:r>
      <w:r>
        <w:rPr>
          <w:rFonts w:cs="Arial"/>
          <w:b/>
        </w:rPr>
        <w:t xml:space="preserve">: </w:t>
      </w:r>
      <w:r>
        <w:rPr>
          <w:rFonts w:hint="eastAsia" w:cs="Arial"/>
          <w:b/>
        </w:rPr>
        <w:t>On</w:t>
      </w:r>
      <w:r>
        <w:rPr>
          <w:rFonts w:cs="Arial"/>
          <w:b/>
        </w:rPr>
        <w:t xml:space="preserve"> DL multiple TB scheduling, which of below options do companies agree to?</w:t>
      </w:r>
    </w:p>
    <w:p>
      <w:pPr>
        <w:pStyle w:val="91"/>
        <w:numPr>
          <w:ilvl w:val="0"/>
          <w:numId w:val="18"/>
        </w:numPr>
        <w:rPr>
          <w:rFonts w:cs="Arial"/>
          <w:b/>
          <w:lang w:val="en-US"/>
        </w:rPr>
      </w:pPr>
      <w:r>
        <w:rPr>
          <w:rFonts w:cs="Arial"/>
          <w:b/>
          <w:lang w:val="en-US"/>
        </w:rPr>
        <w:t>Option 1: RAN2 to discuss the change of inactivity timer and HARQ RTT Timer based on [1] and [6]</w:t>
      </w:r>
    </w:p>
    <w:p>
      <w:pPr>
        <w:pStyle w:val="91"/>
        <w:numPr>
          <w:ilvl w:val="0"/>
          <w:numId w:val="18"/>
        </w:numPr>
        <w:rPr>
          <w:rFonts w:cs="Arial"/>
          <w:b/>
          <w:lang w:val="en-US"/>
        </w:rPr>
      </w:pPr>
      <w:r>
        <w:rPr>
          <w:rFonts w:cs="Arial"/>
          <w:b/>
          <w:lang w:val="en-US"/>
        </w:rPr>
        <w:t>Option 2: postpone the discussion until RAN1 makes decision.</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rPr>
            </w:pPr>
            <w:r>
              <w:rPr>
                <w:b/>
              </w:rPr>
              <w:t>Option</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O</w:t>
            </w:r>
            <w:r>
              <w:rPr>
                <w:rFonts w:eastAsia="等线"/>
              </w:rPr>
              <w:t>PPO</w:t>
            </w:r>
          </w:p>
        </w:tc>
        <w:tc>
          <w:tcPr>
            <w:tcW w:w="2113" w:type="dxa"/>
            <w:shd w:val="clear" w:color="auto" w:fill="auto"/>
          </w:tcPr>
          <w:p>
            <w:pPr>
              <w:rPr>
                <w:rFonts w:eastAsia="等线"/>
              </w:rPr>
            </w:pPr>
            <w:r>
              <w:rPr>
                <w:rFonts w:hint="eastAsia" w:eastAsia="等线"/>
              </w:rPr>
              <w:t>O</w:t>
            </w:r>
            <w:r>
              <w:rPr>
                <w:rFonts w:eastAsia="等线"/>
              </w:rPr>
              <w:t>ption 1</w:t>
            </w:r>
          </w:p>
        </w:tc>
        <w:tc>
          <w:tcPr>
            <w:tcW w:w="5954" w:type="dxa"/>
            <w:shd w:val="clear" w:color="auto" w:fill="auto"/>
          </w:tcPr>
          <w:p>
            <w:pPr>
              <w:jc w:val="left"/>
              <w:rPr>
                <w:rFonts w:eastAsia="等线"/>
              </w:rPr>
            </w:pPr>
            <w:r>
              <w:t>From RAN2’s perspective, we can first discuss DRX impact for the potential cases. Once RAN1 makes decision on the cases to be supported, we can work on the MAC spec based on RAN1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CATT</w:t>
            </w:r>
          </w:p>
        </w:tc>
        <w:tc>
          <w:tcPr>
            <w:tcW w:w="2113" w:type="dxa"/>
            <w:shd w:val="clear" w:color="auto" w:fill="auto"/>
          </w:tcPr>
          <w:p>
            <w:pPr>
              <w:rPr>
                <w:rFonts w:eastAsia="等线"/>
              </w:rPr>
            </w:pPr>
            <w:r>
              <w:rPr>
                <w:rFonts w:hint="eastAsia" w:eastAsia="等线"/>
              </w:rPr>
              <w:t>O</w:t>
            </w:r>
            <w:r>
              <w:rPr>
                <w:rFonts w:eastAsia="等线"/>
              </w:rPr>
              <w:t>p</w:t>
            </w:r>
            <w:r>
              <w:rPr>
                <w:rFonts w:hint="eastAsia" w:eastAsia="等线"/>
              </w:rPr>
              <w:t>tion 2</w:t>
            </w:r>
          </w:p>
        </w:tc>
        <w:tc>
          <w:tcPr>
            <w:tcW w:w="5954" w:type="dxa"/>
            <w:shd w:val="clear" w:color="auto" w:fill="auto"/>
          </w:tcPr>
          <w:p>
            <w:pPr>
              <w:rPr>
                <w:rFonts w:eastAsia="等线"/>
              </w:rPr>
            </w:pPr>
            <w:r>
              <w:rPr>
                <w:rFonts w:eastAsia="等线"/>
              </w:rPr>
              <w:t>I</w:t>
            </w:r>
            <w:r>
              <w:rPr>
                <w:rFonts w:hint="eastAsia" w:eastAsia="等线"/>
              </w:rPr>
              <w:t xml:space="preserve">t is necessary to have a clear and stable assumption, before we start our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r>
              <w:rPr>
                <w:rFonts w:eastAsia="等线"/>
              </w:rPr>
              <w:t>Option 2.</w:t>
            </w:r>
          </w:p>
        </w:tc>
        <w:tc>
          <w:tcPr>
            <w:tcW w:w="5954" w:type="dxa"/>
            <w:shd w:val="clear" w:color="auto" w:fill="auto"/>
          </w:tcPr>
          <w:p>
            <w:pPr>
              <w:rPr>
                <w:rFonts w:eastAsia="等线"/>
              </w:rPr>
            </w:pPr>
            <w:r>
              <w:rPr>
                <w:rFonts w:eastAsia="等线"/>
              </w:rPr>
              <w:t>RAN2 can wait for RAN1 decision on multi-TB HARQ feedback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lang w:val="en-US"/>
              </w:rPr>
            </w:pPr>
            <w:r>
              <w:rPr>
                <w:rFonts w:hint="eastAsia" w:eastAsia="等线"/>
                <w:lang w:val="en-US"/>
              </w:rPr>
              <w:t>Xiaomi</w:t>
            </w:r>
          </w:p>
        </w:tc>
        <w:tc>
          <w:tcPr>
            <w:tcW w:w="2113" w:type="dxa"/>
            <w:shd w:val="clear" w:color="auto" w:fill="auto"/>
          </w:tcPr>
          <w:p>
            <w:pPr>
              <w:rPr>
                <w:rFonts w:eastAsia="等线"/>
                <w:lang w:val="en-US"/>
              </w:rPr>
            </w:pPr>
            <w:r>
              <w:rPr>
                <w:rFonts w:hint="eastAsia" w:eastAsia="等线"/>
                <w:lang w:val="en-US"/>
              </w:rPr>
              <w:t>Option 2</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MediaTek</w:t>
            </w:r>
          </w:p>
        </w:tc>
        <w:tc>
          <w:tcPr>
            <w:tcW w:w="2113" w:type="dxa"/>
            <w:shd w:val="clear" w:color="auto" w:fill="auto"/>
          </w:tcPr>
          <w:p>
            <w:pPr>
              <w:rPr>
                <w:rFonts w:eastAsia="等线"/>
              </w:rPr>
            </w:pPr>
            <w:r>
              <w:rPr>
                <w:rFonts w:eastAsia="等线"/>
              </w:rPr>
              <w:t>Option 1</w:t>
            </w:r>
          </w:p>
        </w:tc>
        <w:tc>
          <w:tcPr>
            <w:tcW w:w="5954" w:type="dxa"/>
            <w:shd w:val="clear" w:color="auto" w:fill="auto"/>
          </w:tcPr>
          <w:p>
            <w:pPr>
              <w:jc w:val="left"/>
              <w:rPr>
                <w:rFonts w:eastAsia="等线"/>
              </w:rPr>
            </w:pPr>
            <w:r>
              <w:rPr>
                <w:rFonts w:eastAsia="等线"/>
              </w:rPr>
              <w:t>Discussion can be started, but need to consider RAN1’s progress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Qualcomm</w:t>
            </w:r>
          </w:p>
        </w:tc>
        <w:tc>
          <w:tcPr>
            <w:tcW w:w="2113" w:type="dxa"/>
            <w:shd w:val="clear" w:color="auto" w:fill="auto"/>
          </w:tcPr>
          <w:p>
            <w:pPr>
              <w:rPr>
                <w:rFonts w:eastAsia="等线"/>
              </w:rPr>
            </w:pPr>
            <w:r>
              <w:rPr>
                <w:rFonts w:eastAsia="等线"/>
              </w:rPr>
              <w:t>See comments</w:t>
            </w:r>
          </w:p>
          <w:p>
            <w:pPr>
              <w:rPr>
                <w:rFonts w:eastAsia="等线"/>
              </w:rPr>
            </w:pPr>
            <w:r>
              <w:rPr>
                <w:rFonts w:eastAsia="等线"/>
              </w:rPr>
              <w:t>(Option 3: discuss)</w:t>
            </w:r>
          </w:p>
        </w:tc>
        <w:tc>
          <w:tcPr>
            <w:tcW w:w="5954" w:type="dxa"/>
            <w:shd w:val="clear" w:color="auto" w:fill="auto"/>
          </w:tcPr>
          <w:p>
            <w:pPr>
              <w:rPr>
                <w:rFonts w:eastAsia="等线"/>
              </w:rPr>
            </w:pPr>
            <w:r>
              <w:rPr>
                <w:rFonts w:eastAsia="等线"/>
              </w:rPr>
              <w:t>Ok to consider the RAN1 progress. It is not necessarily about changing DRX inactivity timer and HARQ RTT timer.</w:t>
            </w:r>
          </w:p>
          <w:p>
            <w:pPr>
              <w:rPr>
                <w:rFonts w:eastAsia="等线"/>
              </w:rPr>
            </w:pPr>
            <w:r>
              <w:rPr>
                <w:rFonts w:eastAsia="等线"/>
              </w:rPr>
              <w:t>But at least we should discuss whether network implementation can resolve it by configuring same HARQ type for the multiple TBs.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L</w:t>
            </w:r>
            <w:r>
              <w:rPr>
                <w:rFonts w:eastAsia="等线"/>
              </w:rPr>
              <w:t>enovo</w:t>
            </w:r>
          </w:p>
        </w:tc>
        <w:tc>
          <w:tcPr>
            <w:tcW w:w="2113" w:type="dxa"/>
            <w:shd w:val="clear" w:color="auto" w:fill="auto"/>
          </w:tcPr>
          <w:p>
            <w:pPr>
              <w:rPr>
                <w:rFonts w:eastAsia="等线"/>
              </w:rPr>
            </w:pPr>
            <w:r>
              <w:rPr>
                <w:rFonts w:hint="eastAsia" w:eastAsia="等线"/>
              </w:rPr>
              <w:t>O</w:t>
            </w:r>
            <w:r>
              <w:rPr>
                <w:rFonts w:eastAsia="等线"/>
              </w:rPr>
              <w:t>ption 2</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ascii="Calibri" w:hAnsi="Calibri" w:cs="Calibri" w:eastAsiaTheme="minorEastAsia"/>
                <w:sz w:val="22"/>
                <w:szCs w:val="22"/>
                <w:lang w:val="it-IT"/>
              </w:rPr>
              <w:t>Huawei, HiSilicon</w:t>
            </w:r>
          </w:p>
        </w:tc>
        <w:tc>
          <w:tcPr>
            <w:tcW w:w="2113" w:type="dxa"/>
            <w:shd w:val="clear" w:color="auto" w:fill="auto"/>
          </w:tcPr>
          <w:p>
            <w:pPr>
              <w:rPr>
                <w:rFonts w:eastAsia="等线"/>
              </w:rPr>
            </w:pPr>
            <w:r>
              <w:rPr>
                <w:rFonts w:eastAsia="等线"/>
              </w:rPr>
              <w:t>Option 2</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ascii="Calibri" w:hAnsi="Calibri" w:cs="Calibri" w:eastAsiaTheme="minorEastAsia"/>
                <w:sz w:val="22"/>
                <w:szCs w:val="22"/>
                <w:lang w:val="it-IT"/>
              </w:rPr>
            </w:pPr>
            <w:r>
              <w:rPr>
                <w:rFonts w:eastAsia="等线"/>
              </w:rPr>
              <w:t>Samsung</w:t>
            </w:r>
          </w:p>
        </w:tc>
        <w:tc>
          <w:tcPr>
            <w:tcW w:w="2113" w:type="dxa"/>
            <w:shd w:val="clear" w:color="auto" w:fill="auto"/>
          </w:tcPr>
          <w:p>
            <w:pPr>
              <w:rPr>
                <w:rFonts w:eastAsia="等线"/>
              </w:rPr>
            </w:pPr>
            <w:r>
              <w:rPr>
                <w:rFonts w:eastAsia="等线"/>
              </w:rPr>
              <w:t>Option 2</w:t>
            </w:r>
          </w:p>
        </w:tc>
        <w:tc>
          <w:tcPr>
            <w:tcW w:w="5954" w:type="dxa"/>
            <w:shd w:val="clear" w:color="auto" w:fill="auto"/>
          </w:tcPr>
          <w:p>
            <w:pPr>
              <w:rPr>
                <w:rFonts w:eastAsia="等线"/>
              </w:rPr>
            </w:pPr>
            <w:r>
              <w:rPr>
                <w:rFonts w:eastAsia="等线"/>
              </w:rPr>
              <w:t xml:space="preserve">Better to wait for RAN1 to finish.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Ericsson</w:t>
            </w:r>
          </w:p>
        </w:tc>
        <w:tc>
          <w:tcPr>
            <w:tcW w:w="2113" w:type="dxa"/>
            <w:shd w:val="clear" w:color="auto" w:fill="auto"/>
          </w:tcPr>
          <w:p>
            <w:pPr>
              <w:rPr>
                <w:rFonts w:eastAsia="等线"/>
              </w:rPr>
            </w:pPr>
            <w:r>
              <w:rPr>
                <w:rFonts w:eastAsia="等线"/>
              </w:rPr>
              <w:t>Option 2</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CMCC</w:t>
            </w:r>
          </w:p>
        </w:tc>
        <w:tc>
          <w:tcPr>
            <w:tcW w:w="2113" w:type="dxa"/>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Option 2</w:t>
            </w:r>
          </w:p>
        </w:tc>
        <w:tc>
          <w:tcPr>
            <w:tcW w:w="5954" w:type="dxa"/>
            <w:shd w:val="clear" w:color="auto" w:fill="auto"/>
          </w:tcPr>
          <w:p>
            <w:pPr>
              <w:rPr>
                <w:rFonts w:eastAsia="等线"/>
              </w:rPr>
            </w:pPr>
          </w:p>
        </w:tc>
      </w:tr>
    </w:tbl>
    <w:p>
      <w:pPr>
        <w:pStyle w:val="27"/>
        <w:spacing w:after="156" w:afterLines="50" w:line="280" w:lineRule="exact"/>
        <w:rPr>
          <w:rFonts w:eastAsiaTheme="minorEastAsia"/>
        </w:rPr>
      </w:pPr>
    </w:p>
    <w:bookmarkEnd w:id="3"/>
    <w:p>
      <w:pPr>
        <w:jc w:val="left"/>
        <w:rPr>
          <w:rFonts w:cs="Arial"/>
          <w:b/>
          <w:i/>
          <w:u w:val="single"/>
        </w:rPr>
      </w:pPr>
      <w:bookmarkStart w:id="4" w:name="_Hlk111505822"/>
      <w:r>
        <w:rPr>
          <w:rFonts w:cs="Arial"/>
          <w:b/>
          <w:i/>
          <w:u w:val="single"/>
        </w:rPr>
        <w:t>eMTC with single HARQ process</w:t>
      </w:r>
    </w:p>
    <w:p>
      <w:pPr>
        <w:pStyle w:val="27"/>
        <w:rPr>
          <w:rFonts w:eastAsiaTheme="minorEastAsia"/>
        </w:rPr>
      </w:pPr>
      <w:r>
        <w:rPr>
          <w:rFonts w:eastAsiaTheme="minorEastAsia"/>
        </w:rPr>
        <w:t xml:space="preserve">RAN2 made the following </w:t>
      </w:r>
      <w:r>
        <w:rPr>
          <w:rFonts w:hint="eastAsia" w:eastAsiaTheme="minorEastAsia"/>
        </w:rPr>
        <w:t>agree</w:t>
      </w:r>
      <w:r>
        <w:rPr>
          <w:rFonts w:eastAsiaTheme="minorEastAsia"/>
        </w:rPr>
        <w:t xml:space="preserve">ment for eMTC </w:t>
      </w:r>
      <w:r>
        <w:rPr>
          <w:rFonts w:hint="eastAsia" w:eastAsiaTheme="minorEastAsia"/>
        </w:rPr>
        <w:t>in RAN1# 112 meeting:</w:t>
      </w:r>
    </w:p>
    <w:p>
      <w:pPr>
        <w:pBdr>
          <w:top w:val="single" w:color="auto" w:sz="4" w:space="1"/>
          <w:left w:val="single" w:color="auto" w:sz="4" w:space="4"/>
          <w:bottom w:val="single" w:color="auto" w:sz="4" w:space="1"/>
          <w:right w:val="single" w:color="auto" w:sz="4" w:space="4"/>
        </w:pBdr>
        <w:rPr>
          <w:rFonts w:eastAsia="Malgun Gothic"/>
          <w:b/>
          <w:iCs/>
          <w:color w:val="000000" w:themeColor="text1"/>
          <w14:textFill>
            <w14:solidFill>
              <w14:schemeClr w14:val="tx1"/>
            </w14:solidFill>
          </w14:textFill>
        </w:rPr>
      </w:pPr>
      <w:r>
        <w:rPr>
          <w:rFonts w:eastAsia="Malgun Gothic"/>
          <w:b/>
          <w:iCs/>
          <w:color w:val="000000" w:themeColor="text1"/>
          <w:highlight w:val="green"/>
          <w14:textFill>
            <w14:solidFill>
              <w14:schemeClr w14:val="tx1"/>
            </w14:solidFill>
          </w14:textFill>
        </w:rPr>
        <w:t>Agreement</w:t>
      </w:r>
    </w:p>
    <w:p>
      <w:pPr>
        <w:pBdr>
          <w:top w:val="single" w:color="auto" w:sz="4" w:space="1"/>
          <w:left w:val="single" w:color="auto" w:sz="4" w:space="4"/>
          <w:bottom w:val="single" w:color="auto" w:sz="4" w:space="1"/>
          <w:right w:val="single" w:color="auto" w:sz="4" w:space="4"/>
        </w:pBdr>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 xml:space="preserve">For a DL HARQ process with disabled HARQ feedback in eMTC, UE is not expected to receive another </w:t>
      </w:r>
      <w:r>
        <w:rPr>
          <w:rFonts w:hint="eastAsia"/>
          <w:color w:val="000000" w:themeColor="text1"/>
          <w14:textFill>
            <w14:solidFill>
              <w14:schemeClr w14:val="tx1"/>
            </w14:solidFill>
          </w14:textFill>
        </w:rPr>
        <w:t>M</w:t>
      </w:r>
      <w:r>
        <w:rPr>
          <w:color w:val="000000" w:themeColor="text1"/>
          <w14:textFill>
            <w14:solidFill>
              <w14:schemeClr w14:val="tx1"/>
            </w14:solidFill>
          </w14:textFill>
        </w:rPr>
        <w:t xml:space="preserve">PDCCH carrying a DCI scheduling a PDSCH for a given HARQ process or to receive another PDSCH without corresponding </w:t>
      </w:r>
      <w:r>
        <w:rPr>
          <w:rFonts w:hint="eastAsia"/>
          <w:color w:val="000000" w:themeColor="text1"/>
          <w14:textFill>
            <w14:solidFill>
              <w14:schemeClr w14:val="tx1"/>
            </w14:solidFill>
          </w14:textFill>
        </w:rPr>
        <w:t>M</w:t>
      </w:r>
      <w:r>
        <w:rPr>
          <w:color w:val="000000" w:themeColor="text1"/>
          <w14:textFill>
            <w14:solidFill>
              <w14:schemeClr w14:val="tx1"/>
            </w14:solidFill>
          </w14:textFill>
        </w:rPr>
        <w:t xml:space="preserve">PDCCH for the given HARQ process </w:t>
      </w:r>
      <w:r>
        <w:rPr>
          <w:rFonts w:hint="eastAsia"/>
          <w:color w:val="000000" w:themeColor="text1"/>
          <w14:textFill>
            <w14:solidFill>
              <w14:schemeClr w14:val="tx1"/>
            </w14:solidFill>
          </w14:textFill>
        </w:rPr>
        <w:t>that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starts</w:t>
      </w:r>
      <w:r>
        <w:rPr>
          <w:color w:val="000000" w:themeColor="text1"/>
          <w14:textFill>
            <w14:solidFill>
              <w14:schemeClr w14:val="tx1"/>
            </w14:solidFill>
          </w14:textFill>
        </w:rPr>
        <w:t xml:space="preserve"> at a BL/CE DL subframe until X=3 (ms) have passed after the end of the reception of the last PDSCH for that HARQ process.</w:t>
      </w:r>
      <w:r>
        <w:rPr>
          <w:rFonts w:hint="eastAsia" w:eastAsiaTheme="minorEastAsia"/>
          <w:color w:val="000000" w:themeColor="text1"/>
          <w14:textFill>
            <w14:solidFill>
              <w14:schemeClr w14:val="tx1"/>
            </w14:solidFill>
          </w14:textFill>
        </w:rPr>
        <w:t xml:space="preserve"> </w:t>
      </w:r>
    </w:p>
    <w:p>
      <w:pPr>
        <w:pStyle w:val="27"/>
        <w:spacing w:after="156" w:afterLines="50" w:line="280" w:lineRule="exact"/>
        <w:rPr>
          <w:rFonts w:eastAsiaTheme="minorEastAsia"/>
          <w:szCs w:val="22"/>
        </w:rPr>
      </w:pPr>
      <w:r>
        <w:rPr>
          <w:rFonts w:eastAsiaTheme="minorEastAsia"/>
          <w:szCs w:val="22"/>
        </w:rPr>
        <w:t>Following proposals are related to drx-InactivityTimer for eMTC with single HARQ process.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cs="Arial"/>
              </w:rPr>
              <w:t xml:space="preserve">Contributions </w:t>
            </w:r>
          </w:p>
        </w:tc>
        <w:tc>
          <w:tcPr>
            <w:tcW w:w="8234" w:type="dxa"/>
          </w:tcPr>
          <w:p>
            <w:pPr>
              <w:jc w:val="left"/>
              <w:rPr>
                <w:rFonts w:cs="Arial"/>
              </w:rPr>
            </w:pPr>
            <w:r>
              <w:rPr>
                <w:rFonts w:cs="Arial"/>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3]</w:t>
            </w:r>
          </w:p>
        </w:tc>
        <w:tc>
          <w:tcPr>
            <w:tcW w:w="8234" w:type="dxa"/>
          </w:tcPr>
          <w:p>
            <w:pPr>
              <w:pStyle w:val="28"/>
              <w:jc w:val="both"/>
              <w:rPr>
                <w:b w:val="0"/>
                <w:lang w:bidi="ar"/>
              </w:rPr>
            </w:pPr>
            <w:r>
              <w:rPr>
                <w:b w:val="0"/>
              </w:rPr>
              <w:t xml:space="preserve">Proposal </w:t>
            </w:r>
            <w:r>
              <w:rPr>
                <w:rFonts w:hint="eastAsia"/>
                <w:b w:val="0"/>
              </w:rPr>
              <w:t>4</w:t>
            </w:r>
            <w:r>
              <w:rPr>
                <w:b w:val="0"/>
              </w:rPr>
              <w:t xml:space="preserve">: </w:t>
            </w:r>
            <w:r>
              <w:rPr>
                <w:b w:val="0"/>
                <w:lang w:bidi="ar"/>
              </w:rPr>
              <w:t xml:space="preserve">For </w:t>
            </w:r>
            <w:r>
              <w:rPr>
                <w:rFonts w:hint="eastAsia"/>
                <w:b w:val="0"/>
                <w:lang w:bidi="ar"/>
              </w:rPr>
              <w:t>eMTC</w:t>
            </w:r>
            <w:r>
              <w:rPr>
                <w:b w:val="0"/>
                <w:lang w:bidi="ar"/>
              </w:rPr>
              <w:t xml:space="preserve"> NTN with single HARQ process when the HARQ feedback is disabled, the UE will start/restart drx-inactivity timer in the subframe containing the last repetition of the corresponding PDSCH reception plus </w:t>
            </w:r>
            <w:r>
              <w:rPr>
                <w:rFonts w:hint="eastAsia"/>
                <w:b w:val="0"/>
                <w:lang w:bidi="ar"/>
              </w:rPr>
              <w:t>3</w:t>
            </w:r>
            <w:r>
              <w:rPr>
                <w:b w:val="0"/>
                <w:lang w:bidi="ar"/>
              </w:rPr>
              <w:t xml:space="preserve"> subframes.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7]</w:t>
            </w:r>
          </w:p>
        </w:tc>
        <w:tc>
          <w:tcPr>
            <w:tcW w:w="8234" w:type="dxa"/>
          </w:tcPr>
          <w:p>
            <w:pPr>
              <w:pStyle w:val="27"/>
            </w:pPr>
            <w:r>
              <w:t>Proposal 1. For the case where only one DL HARQ process with disabled HARQ feedback in a MAC entity of an eMTC UE, the UE will start/restart drx-inactivity timer in the subframe containing end of reception of the last PDSCH plus 3 subframes.</w:t>
            </w:r>
          </w:p>
        </w:tc>
      </w:tr>
    </w:tbl>
    <w:p>
      <w:pPr>
        <w:pStyle w:val="27"/>
        <w:spacing w:after="156" w:afterLines="50" w:line="280" w:lineRule="exact"/>
        <w:rPr>
          <w:rFonts w:eastAsiaTheme="minorEastAsia"/>
          <w:sz w:val="22"/>
          <w:szCs w:val="22"/>
        </w:rPr>
      </w:pPr>
    </w:p>
    <w:p>
      <w:pPr>
        <w:pStyle w:val="27"/>
        <w:spacing w:after="156" w:afterLines="50" w:line="280" w:lineRule="exact"/>
        <w:rPr>
          <w:rFonts w:eastAsiaTheme="minorEastAsia"/>
          <w:szCs w:val="22"/>
        </w:rPr>
      </w:pPr>
      <w:r>
        <w:rPr>
          <w:rFonts w:eastAsiaTheme="minorEastAsia"/>
          <w:szCs w:val="22"/>
        </w:rPr>
        <w:t>Rapporteur understands that the above two proposals are mentioning the same thing. Perhaps proponent companies can help to clarify if this is not the case.</w:t>
      </w:r>
    </w:p>
    <w:p>
      <w:pPr>
        <w:pStyle w:val="27"/>
        <w:spacing w:after="156" w:afterLines="50" w:line="280" w:lineRule="exact"/>
        <w:rPr>
          <w:rFonts w:eastAsiaTheme="minorEastAsia"/>
          <w:szCs w:val="22"/>
        </w:rPr>
      </w:pPr>
      <w:r>
        <w:rPr>
          <w:rFonts w:eastAsiaTheme="minorEastAsia"/>
          <w:szCs w:val="22"/>
        </w:rPr>
        <w:t>Note that in the current spec, single HARQ process is only mentioned for NB-IoT</w:t>
      </w:r>
    </w:p>
    <w:p>
      <w:pPr>
        <w:rPr>
          <w:rFonts w:cs="Arial"/>
          <w:b/>
          <w:bCs/>
        </w:rPr>
      </w:pPr>
    </w:p>
    <w:p>
      <w:pPr>
        <w:rPr>
          <w:rFonts w:cs="Arial"/>
          <w:b/>
          <w:lang w:val="en-US"/>
        </w:rPr>
      </w:pPr>
      <w:r>
        <w:rPr>
          <w:rFonts w:cs="Arial"/>
          <w:b/>
          <w:bCs/>
        </w:rPr>
        <w:t xml:space="preserve">Question </w:t>
      </w:r>
      <w:r>
        <w:rPr>
          <w:rFonts w:cs="Arial"/>
          <w:b/>
          <w:bCs/>
          <w:lang w:val="en-US"/>
        </w:rPr>
        <w:t>6</w:t>
      </w:r>
      <w:r>
        <w:rPr>
          <w:rFonts w:cs="Arial"/>
          <w:b/>
        </w:rPr>
        <w:t>: Do com</w:t>
      </w:r>
      <w:r>
        <w:rPr>
          <w:rFonts w:cs="Arial"/>
          <w:b/>
          <w:lang w:val="en-US"/>
        </w:rPr>
        <w:t>panies agree to P4 in [3]</w:t>
      </w:r>
      <w:r>
        <w:rPr>
          <w:rFonts w:hint="eastAsia" w:cs="Arial"/>
          <w:b/>
          <w:lang w:val="en-US"/>
        </w:rPr>
        <w:t>?</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O</w:t>
            </w:r>
            <w:r>
              <w:rPr>
                <w:rFonts w:eastAsia="等线"/>
              </w:rPr>
              <w:t>PPO</w:t>
            </w:r>
          </w:p>
        </w:tc>
        <w:tc>
          <w:tcPr>
            <w:tcW w:w="2113" w:type="dxa"/>
            <w:shd w:val="clear" w:color="auto" w:fill="auto"/>
          </w:tcPr>
          <w:p>
            <w:pPr>
              <w:rPr>
                <w:rFonts w:eastAsia="等线"/>
              </w:rPr>
            </w:pPr>
            <w:r>
              <w:rPr>
                <w:rFonts w:hint="eastAsia" w:eastAsia="等线"/>
              </w:rPr>
              <w:t>D</w:t>
            </w:r>
            <w:r>
              <w:rPr>
                <w:rFonts w:eastAsia="等线"/>
              </w:rPr>
              <w:t>isagree</w:t>
            </w:r>
          </w:p>
        </w:tc>
        <w:tc>
          <w:tcPr>
            <w:tcW w:w="5954" w:type="dxa"/>
            <w:shd w:val="clear" w:color="auto" w:fill="auto"/>
          </w:tcPr>
          <w:p>
            <w:pPr>
              <w:jc w:val="left"/>
              <w:rPr>
                <w:rFonts w:eastAsia="等线"/>
              </w:rPr>
            </w:pPr>
            <w:r>
              <w:rPr>
                <w:rFonts w:eastAsia="等线"/>
              </w:rPr>
              <w:t xml:space="preserve">In legacy, we did not mention the case of eMTC configured with single HARQ process in MAC spec. We are not sure whether to include it for NTN. </w:t>
            </w:r>
          </w:p>
          <w:p>
            <w:pPr>
              <w:jc w:val="left"/>
              <w:rPr>
                <w:rFonts w:eastAsia="等线"/>
              </w:rPr>
            </w:pPr>
            <w:r>
              <w:rPr>
                <w:rFonts w:eastAsia="等线"/>
              </w:rPr>
              <w:t xml:space="preserve">Plus, the P4 in [3] may also require that a stop operation would be needed for the drx-Inactivity Timer after PDCCH/PDSCH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CATT</w:t>
            </w:r>
          </w:p>
        </w:tc>
        <w:tc>
          <w:tcPr>
            <w:tcW w:w="2113" w:type="dxa"/>
            <w:shd w:val="clear" w:color="auto" w:fill="auto"/>
          </w:tcPr>
          <w:p>
            <w:pPr>
              <w:rPr>
                <w:rFonts w:eastAsia="等线"/>
              </w:rPr>
            </w:pPr>
            <w:r>
              <w:rPr>
                <w:rFonts w:hint="eastAsia" w:eastAsia="等线"/>
              </w:rPr>
              <w:t>Agree(the proponent)</w:t>
            </w:r>
          </w:p>
        </w:tc>
        <w:tc>
          <w:tcPr>
            <w:tcW w:w="5954" w:type="dxa"/>
            <w:shd w:val="clear" w:color="auto" w:fill="auto"/>
          </w:tcPr>
          <w:p>
            <w:pPr>
              <w:rPr>
                <w:rFonts w:eastAsia="等线"/>
              </w:rPr>
            </w:pPr>
            <w:r>
              <w:rPr>
                <w:rFonts w:eastAsia="等线"/>
              </w:rPr>
              <w:t>I</w:t>
            </w:r>
            <w:r>
              <w:rPr>
                <w:rFonts w:hint="eastAsia" w:eastAsia="等线"/>
              </w:rPr>
              <w:t xml:space="preserve">n legacy, the UE behaviour can be </w:t>
            </w:r>
            <w:r>
              <w:rPr>
                <w:rFonts w:eastAsia="等线"/>
              </w:rPr>
              <w:t>described</w:t>
            </w:r>
            <w:r>
              <w:rPr>
                <w:rFonts w:hint="eastAsia" w:eastAsia="等线"/>
              </w:rPr>
              <w:t xml:space="preserve"> uniformly, regardless the UE is configured with one or more than one HARQ processes. </w:t>
            </w:r>
          </w:p>
          <w:p>
            <w:pPr>
              <w:rPr>
                <w:rFonts w:eastAsia="等线"/>
              </w:rPr>
            </w:pPr>
            <w:r>
              <w:rPr>
                <w:rFonts w:hint="eastAsia" w:eastAsia="等线"/>
              </w:rPr>
              <w:t xml:space="preserve">However, for HARQ disabling scenario, the UE behaviour is different </w:t>
            </w:r>
            <w:r>
              <w:rPr>
                <w:rFonts w:eastAsia="等线"/>
              </w:rPr>
              <w:t>according</w:t>
            </w:r>
            <w:r>
              <w:rPr>
                <w:rFonts w:hint="eastAsia" w:eastAsia="等线"/>
              </w:rPr>
              <w:t xml:space="preserve"> to single HARQ process or more than one HARQ processes configured:</w:t>
            </w:r>
          </w:p>
          <w:p>
            <w:pPr>
              <w:pStyle w:val="91"/>
              <w:numPr>
                <w:ilvl w:val="0"/>
                <w:numId w:val="23"/>
              </w:numPr>
              <w:rPr>
                <w:rFonts w:eastAsia="等线"/>
              </w:rPr>
            </w:pPr>
            <w:r>
              <w:rPr>
                <w:rFonts w:eastAsia="等线"/>
              </w:rPr>
              <w:t>F</w:t>
            </w:r>
            <w:r>
              <w:rPr>
                <w:rFonts w:hint="eastAsia" w:eastAsia="等线"/>
              </w:rPr>
              <w:t xml:space="preserve">or </w:t>
            </w:r>
            <w:r>
              <w:rPr>
                <w:rFonts w:eastAsia="等线"/>
              </w:rPr>
              <w:t>single HARQ process</w:t>
            </w:r>
            <w:r>
              <w:rPr>
                <w:rFonts w:hint="eastAsia" w:eastAsia="等线"/>
              </w:rPr>
              <w:t xml:space="preserve"> case, </w:t>
            </w:r>
            <w:r>
              <w:rPr>
                <w:rFonts w:eastAsia="等线"/>
              </w:rPr>
              <w:t>when the HARQ feedback is disabled, the UE will start/restart drx-inactivity timer in the subframe containing the last repetition of the corresponding PDSCH reception plus 3 subframes</w:t>
            </w:r>
          </w:p>
          <w:p>
            <w:pPr>
              <w:pStyle w:val="91"/>
              <w:numPr>
                <w:ilvl w:val="0"/>
                <w:numId w:val="23"/>
              </w:numPr>
              <w:rPr>
                <w:rFonts w:eastAsia="等线"/>
              </w:rPr>
            </w:pPr>
            <w:r>
              <w:rPr>
                <w:rFonts w:eastAsia="等线"/>
              </w:rPr>
              <w:t>F</w:t>
            </w:r>
            <w:r>
              <w:rPr>
                <w:rFonts w:hint="eastAsia" w:eastAsia="等线"/>
              </w:rPr>
              <w:t xml:space="preserve">or more than one HARQ processes case, </w:t>
            </w:r>
            <w:r>
              <w:rPr>
                <w:rFonts w:eastAsia="等线"/>
              </w:rPr>
              <w:t>no gap is needed, because the UE can receive another MPDCCH carrying a DCI or another PDSCH without corresponding MPDCCH, for any other HARQ process, the HARQ feedback of which can be enabled or disabled</w:t>
            </w:r>
          </w:p>
          <w:p>
            <w:pPr>
              <w:rPr>
                <w:rFonts w:eastAsia="等线"/>
              </w:rPr>
            </w:pPr>
            <w:r>
              <w:rPr>
                <w:rFonts w:eastAsia="等线"/>
              </w:rPr>
              <w:t>S</w:t>
            </w:r>
            <w:r>
              <w:rPr>
                <w:rFonts w:hint="eastAsia" w:eastAsia="等线"/>
              </w:rPr>
              <w:t xml:space="preserve">o we think we need to make it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r>
              <w:rPr>
                <w:rFonts w:eastAsia="等线"/>
              </w:rPr>
              <w:t>Disagree</w:t>
            </w:r>
          </w:p>
        </w:tc>
        <w:tc>
          <w:tcPr>
            <w:tcW w:w="5954" w:type="dxa"/>
            <w:shd w:val="clear" w:color="auto" w:fill="auto"/>
          </w:tcPr>
          <w:p>
            <w:pPr>
              <w:rPr>
                <w:rFonts w:eastAsia="等线"/>
              </w:rPr>
            </w:pPr>
            <w:r>
              <w:rPr>
                <w:rFonts w:eastAsia="等线"/>
              </w:rPr>
              <w:t>For eMTC, the drx-inactivity timer should be started if the PDCCH indicates a new transmission. No special handling for single HARQ process for eMTC as what specified for NB-IoT.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lang w:val="en-US"/>
              </w:rPr>
            </w:pPr>
            <w:r>
              <w:rPr>
                <w:rFonts w:hint="eastAsia" w:eastAsia="等线"/>
                <w:lang w:val="en-US"/>
              </w:rPr>
              <w:t>Xiaomi</w:t>
            </w:r>
          </w:p>
        </w:tc>
        <w:tc>
          <w:tcPr>
            <w:tcW w:w="2113" w:type="dxa"/>
            <w:shd w:val="clear" w:color="auto" w:fill="auto"/>
          </w:tcPr>
          <w:p>
            <w:pPr>
              <w:rPr>
                <w:rFonts w:eastAsia="等线"/>
                <w:lang w:val="en-US"/>
              </w:rPr>
            </w:pPr>
            <w:r>
              <w:rPr>
                <w:rFonts w:hint="eastAsia" w:eastAsia="等线"/>
                <w:lang w:val="en-US"/>
              </w:rPr>
              <w:t>Disagree</w:t>
            </w:r>
          </w:p>
        </w:tc>
        <w:tc>
          <w:tcPr>
            <w:tcW w:w="5954" w:type="dxa"/>
            <w:shd w:val="clear" w:color="auto" w:fill="auto"/>
          </w:tcPr>
          <w:p>
            <w:pPr>
              <w:rPr>
                <w:rFonts w:eastAsia="等线"/>
                <w:lang w:val="en-US"/>
              </w:rPr>
            </w:pPr>
            <w:r>
              <w:rPr>
                <w:rFonts w:hint="eastAsia" w:eastAsia="等线"/>
                <w:lang w:val="en-US"/>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MediaTek</w:t>
            </w:r>
          </w:p>
        </w:tc>
        <w:tc>
          <w:tcPr>
            <w:tcW w:w="2113" w:type="dxa"/>
            <w:shd w:val="clear" w:color="auto" w:fill="auto"/>
          </w:tcPr>
          <w:p>
            <w:pPr>
              <w:rPr>
                <w:rFonts w:eastAsia="等线"/>
              </w:rPr>
            </w:pPr>
            <w:r>
              <w:rPr>
                <w:rFonts w:eastAsia="等线"/>
              </w:rPr>
              <w:t xml:space="preserve">Agree </w:t>
            </w: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Qualcomm</w:t>
            </w:r>
          </w:p>
        </w:tc>
        <w:tc>
          <w:tcPr>
            <w:tcW w:w="2113" w:type="dxa"/>
            <w:shd w:val="clear" w:color="auto" w:fill="auto"/>
          </w:tcPr>
          <w:p>
            <w:pPr>
              <w:rPr>
                <w:rFonts w:eastAsia="等线"/>
              </w:rPr>
            </w:pPr>
            <w:r>
              <w:rPr>
                <w:rFonts w:eastAsia="等线"/>
              </w:rPr>
              <w:t>Disagree</w:t>
            </w:r>
          </w:p>
        </w:tc>
        <w:tc>
          <w:tcPr>
            <w:tcW w:w="5954" w:type="dxa"/>
            <w:shd w:val="clear" w:color="auto" w:fill="auto"/>
          </w:tcPr>
          <w:p>
            <w:pPr>
              <w:rPr>
                <w:rFonts w:eastAsia="等线"/>
              </w:rPr>
            </w:pPr>
            <w:r>
              <w:rPr>
                <w:rFonts w:eastAsia="等线"/>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L</w:t>
            </w:r>
            <w:r>
              <w:rPr>
                <w:rFonts w:eastAsia="等线"/>
              </w:rPr>
              <w:t>enovo</w:t>
            </w:r>
          </w:p>
        </w:tc>
        <w:tc>
          <w:tcPr>
            <w:tcW w:w="2113" w:type="dxa"/>
            <w:shd w:val="clear" w:color="auto" w:fill="auto"/>
          </w:tcPr>
          <w:p>
            <w:pPr>
              <w:rPr>
                <w:rFonts w:eastAsia="等线"/>
              </w:rPr>
            </w:pPr>
            <w:r>
              <w:rPr>
                <w:rFonts w:hint="eastAsia" w:eastAsia="等线"/>
                <w:lang w:val="en-US"/>
              </w:rPr>
              <w:t>Disagree</w:t>
            </w:r>
          </w:p>
        </w:tc>
        <w:tc>
          <w:tcPr>
            <w:tcW w:w="5954" w:type="dxa"/>
            <w:shd w:val="clear" w:color="auto" w:fill="auto"/>
          </w:tcPr>
          <w:p>
            <w:pPr>
              <w:rPr>
                <w:rFonts w:eastAsia="等线"/>
              </w:rPr>
            </w:pPr>
            <w:r>
              <w:rPr>
                <w:rFonts w:hint="eastAsia" w:eastAsia="等线"/>
                <w:lang w:val="en-US"/>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ascii="Calibri" w:hAnsi="Calibri" w:cs="Calibri" w:eastAsiaTheme="minorEastAsia"/>
                <w:sz w:val="22"/>
                <w:szCs w:val="22"/>
                <w:lang w:val="it-IT"/>
              </w:rPr>
              <w:t>Huawei, HiSilicon</w:t>
            </w:r>
          </w:p>
        </w:tc>
        <w:tc>
          <w:tcPr>
            <w:tcW w:w="2113" w:type="dxa"/>
            <w:shd w:val="clear" w:color="auto" w:fill="auto"/>
          </w:tcPr>
          <w:p>
            <w:pPr>
              <w:rPr>
                <w:rFonts w:eastAsia="等线"/>
                <w:lang w:val="en-US"/>
              </w:rPr>
            </w:pPr>
            <w:r>
              <w:rPr>
                <w:rFonts w:hint="eastAsia" w:eastAsia="等线"/>
                <w:lang w:val="en-US"/>
              </w:rPr>
              <w:t>Disagree</w:t>
            </w:r>
          </w:p>
        </w:tc>
        <w:tc>
          <w:tcPr>
            <w:tcW w:w="5954" w:type="dxa"/>
            <w:shd w:val="clear" w:color="auto" w:fill="auto"/>
          </w:tcPr>
          <w:p>
            <w:pPr>
              <w:rPr>
                <w:rFonts w:eastAsia="等线"/>
                <w:lang w:val="en-US"/>
              </w:rPr>
            </w:pPr>
            <w:r>
              <w:rPr>
                <w:rFonts w:hint="eastAsia" w:eastAsia="等线"/>
                <w:lang w:val="en-US"/>
              </w:rPr>
              <w:t>Agree with Nokia</w:t>
            </w:r>
          </w:p>
          <w:p>
            <w:pPr>
              <w:rPr>
                <w:rFonts w:eastAsia="等线"/>
                <w:lang w:val="en-US"/>
              </w:rPr>
            </w:pPr>
            <w:r>
              <w:rPr>
                <w:rFonts w:eastAsia="等线"/>
                <w:lang w:val="en-US"/>
              </w:rPr>
              <w:t>The case is different from NB-IoT.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ascii="Calibri" w:hAnsi="Calibri" w:cs="Calibri" w:eastAsiaTheme="minorEastAsia"/>
                <w:sz w:val="22"/>
                <w:szCs w:val="22"/>
                <w:lang w:val="it-IT"/>
              </w:rPr>
            </w:pPr>
            <w:r>
              <w:rPr>
                <w:rFonts w:eastAsia="等线"/>
              </w:rPr>
              <w:t>Samsung</w:t>
            </w:r>
          </w:p>
        </w:tc>
        <w:tc>
          <w:tcPr>
            <w:tcW w:w="2113" w:type="dxa"/>
            <w:shd w:val="clear" w:color="auto" w:fill="auto"/>
          </w:tcPr>
          <w:p>
            <w:pPr>
              <w:rPr>
                <w:rFonts w:eastAsia="等线"/>
                <w:lang w:val="en-US"/>
              </w:rPr>
            </w:pPr>
            <w:r>
              <w:rPr>
                <w:rFonts w:eastAsia="等线"/>
              </w:rPr>
              <w:t>Disagree</w:t>
            </w:r>
          </w:p>
        </w:tc>
        <w:tc>
          <w:tcPr>
            <w:tcW w:w="5954" w:type="dxa"/>
            <w:shd w:val="clear" w:color="auto" w:fill="auto"/>
          </w:tcPr>
          <w:p>
            <w:pPr>
              <w:rPr>
                <w:rFonts w:eastAsia="等线"/>
                <w:lang w:val="en-US"/>
              </w:rPr>
            </w:pPr>
            <w:r>
              <w:rPr>
                <w:rFonts w:eastAsia="等线"/>
              </w:rPr>
              <w:t xml:space="preserve">Drx-InactivityTimer is different for eMTC compared to NB-IoT, so this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Ericsson</w:t>
            </w:r>
          </w:p>
        </w:tc>
        <w:tc>
          <w:tcPr>
            <w:tcW w:w="2113" w:type="dxa"/>
            <w:shd w:val="clear" w:color="auto" w:fill="auto"/>
          </w:tcPr>
          <w:p>
            <w:pPr>
              <w:rPr>
                <w:rFonts w:eastAsia="等线"/>
              </w:rPr>
            </w:pPr>
            <w:r>
              <w:rPr>
                <w:rFonts w:eastAsia="等线"/>
                <w:lang w:val="en-US"/>
              </w:rPr>
              <w:t>Disagree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CMCC</w:t>
            </w:r>
          </w:p>
        </w:tc>
        <w:tc>
          <w:tcPr>
            <w:tcW w:w="2113" w:type="dxa"/>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Agree</w:t>
            </w:r>
          </w:p>
        </w:tc>
        <w:tc>
          <w:tcPr>
            <w:tcW w:w="5954" w:type="dxa"/>
            <w:shd w:val="clear" w:color="auto" w:fill="auto"/>
            <w:vAlign w:val="top"/>
          </w:tcPr>
          <w:p>
            <w:pPr>
              <w:rPr>
                <w:rFonts w:hint="eastAsia"/>
                <w:lang w:val="en-US" w:eastAsia="zh-CN"/>
              </w:rPr>
            </w:pPr>
            <w:r>
              <w:rPr>
                <w:rFonts w:hint="eastAsia"/>
                <w:lang w:val="en-US" w:eastAsia="zh-CN"/>
              </w:rPr>
              <w:t xml:space="preserve">We agree with P4, but we understand P4 in [3] and P1 in [7] are two different cases. P4 means an eMTC UE with a single HARQ process which is similar as NB-IoT UE with single HARQ process, and P1 means a MAC entity with a single HARQ process but there maybe multiple MAC entities in a UE.   </w:t>
            </w:r>
          </w:p>
          <w:p>
            <w:pPr>
              <w:rPr>
                <w:rFonts w:hint="eastAsia" w:ascii="Arial" w:hAnsi="Arial" w:eastAsia="等线" w:cs="Times New Roman"/>
                <w:lang w:val="en-US" w:eastAsia="zh-CN" w:bidi="ar-SA"/>
              </w:rPr>
            </w:pPr>
            <w:r>
              <w:t xml:space="preserve">For </w:t>
            </w:r>
            <w:r>
              <w:rPr>
                <w:rFonts w:hint="eastAsia"/>
                <w:lang w:val="en-US" w:eastAsia="zh-CN"/>
              </w:rPr>
              <w:t>latter case, considering the drx-inactivity timer is per MAC entity</w:t>
            </w:r>
            <w:r>
              <w:t>, the UE will start/restart drx-inactivity timer in the subframe containing end of reception of the last PDSCH plus 3 subframes.</w:t>
            </w:r>
          </w:p>
        </w:tc>
      </w:tr>
    </w:tbl>
    <w:p>
      <w:pPr>
        <w:pStyle w:val="27"/>
        <w:spacing w:after="156" w:afterLines="50" w:line="280" w:lineRule="exact"/>
        <w:rPr>
          <w:rFonts w:eastAsiaTheme="minorEastAsia"/>
          <w:szCs w:val="22"/>
        </w:rPr>
      </w:pPr>
    </w:p>
    <w:p>
      <w:pPr>
        <w:jc w:val="left"/>
        <w:rPr>
          <w:rFonts w:cs="Arial"/>
          <w:b/>
          <w:i/>
          <w:u w:val="single"/>
        </w:rPr>
      </w:pPr>
      <w:r>
        <w:rPr>
          <w:rFonts w:cs="Arial"/>
          <w:b/>
          <w:i/>
          <w:u w:val="single"/>
        </w:rPr>
        <w:t>ACK/NACK for SPS activation</w:t>
      </w:r>
    </w:p>
    <w:p>
      <w:pPr>
        <w:pStyle w:val="27"/>
        <w:spacing w:after="156" w:afterLines="50" w:line="280" w:lineRule="exact"/>
        <w:rPr>
          <w:rFonts w:eastAsiaTheme="minorEastAsia"/>
          <w:szCs w:val="22"/>
        </w:rPr>
      </w:pPr>
      <w:r>
        <w:rPr>
          <w:rFonts w:eastAsiaTheme="minorEastAsia"/>
          <w:szCs w:val="22"/>
        </w:rPr>
        <w:t>In [5], following proposal is mentioned.</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cs="Arial"/>
              </w:rPr>
              <w:t xml:space="preserve">Contributions </w:t>
            </w:r>
          </w:p>
        </w:tc>
        <w:tc>
          <w:tcPr>
            <w:tcW w:w="8234" w:type="dxa"/>
          </w:tcPr>
          <w:p>
            <w:pPr>
              <w:jc w:val="left"/>
              <w:rPr>
                <w:rFonts w:cs="Arial"/>
              </w:rPr>
            </w:pPr>
            <w:r>
              <w:rPr>
                <w:rFonts w:cs="Arial"/>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5]</w:t>
            </w:r>
          </w:p>
        </w:tc>
        <w:tc>
          <w:tcPr>
            <w:tcW w:w="8234" w:type="dxa"/>
          </w:tcPr>
          <w:p>
            <w:pPr>
              <w:rPr>
                <w:bCs/>
              </w:rPr>
            </w:pPr>
            <w:r>
              <w:rPr>
                <w:bCs/>
              </w:rPr>
              <w:t>Proposal 6: For eMTC NTN, a parameter harq-FeedbackEnablingforSPSactive could be configured for a UE. If harq-FeedbackEnablingforSPSactive is configured to enable HARQ feedback, UE reports ACK/NACK for the first SPS PDSCH after activation, regardless of if HARQ feedback is enabled or disabled corresponding to the first SPS PDSCH after activation.</w:t>
            </w:r>
          </w:p>
          <w:p>
            <w:pPr>
              <w:rPr>
                <w:bCs/>
              </w:rPr>
            </w:pPr>
          </w:p>
        </w:tc>
      </w:tr>
    </w:tbl>
    <w:p>
      <w:pPr>
        <w:pStyle w:val="27"/>
        <w:spacing w:after="156" w:afterLines="50" w:line="280" w:lineRule="exact"/>
        <w:rPr>
          <w:rFonts w:eastAsiaTheme="minorEastAsia"/>
          <w:szCs w:val="22"/>
        </w:rPr>
      </w:pPr>
    </w:p>
    <w:p>
      <w:pPr>
        <w:rPr>
          <w:rFonts w:cs="Arial"/>
          <w:b/>
          <w:lang w:val="en-US"/>
        </w:rPr>
      </w:pPr>
      <w:r>
        <w:rPr>
          <w:rFonts w:cs="Arial"/>
          <w:b/>
          <w:bCs/>
        </w:rPr>
        <w:t xml:space="preserve">Question </w:t>
      </w:r>
      <w:r>
        <w:rPr>
          <w:rFonts w:cs="Arial"/>
          <w:b/>
          <w:bCs/>
          <w:lang w:val="en-US"/>
        </w:rPr>
        <w:t>7</w:t>
      </w:r>
      <w:r>
        <w:rPr>
          <w:rFonts w:cs="Arial"/>
          <w:b/>
        </w:rPr>
        <w:t>: Do com</w:t>
      </w:r>
      <w:r>
        <w:rPr>
          <w:rFonts w:cs="Arial"/>
          <w:b/>
          <w:lang w:val="en-US"/>
        </w:rPr>
        <w:t>panies agree to P6 in [5]</w:t>
      </w:r>
      <w:r>
        <w:rPr>
          <w:rFonts w:hint="eastAsia" w:cs="Arial"/>
          <w:b/>
          <w:lang w:val="en-US"/>
        </w:rPr>
        <w:t>?</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O</w:t>
            </w:r>
            <w:r>
              <w:rPr>
                <w:rFonts w:eastAsia="等线"/>
              </w:rPr>
              <w:t>PPO</w:t>
            </w:r>
          </w:p>
        </w:tc>
        <w:tc>
          <w:tcPr>
            <w:tcW w:w="2113" w:type="dxa"/>
            <w:shd w:val="clear" w:color="auto" w:fill="auto"/>
          </w:tcPr>
          <w:p>
            <w:pPr>
              <w:rPr>
                <w:rFonts w:eastAsia="等线"/>
              </w:rPr>
            </w:pPr>
            <w:r>
              <w:rPr>
                <w:rFonts w:hint="eastAsia" w:eastAsia="等线"/>
              </w:rPr>
              <w:t>A</w:t>
            </w:r>
            <w:r>
              <w:rPr>
                <w:rFonts w:eastAsia="等线"/>
              </w:rPr>
              <w:t>gree</w:t>
            </w:r>
          </w:p>
        </w:tc>
        <w:tc>
          <w:tcPr>
            <w:tcW w:w="5954" w:type="dxa"/>
            <w:shd w:val="clear" w:color="auto" w:fill="auto"/>
          </w:tcPr>
          <w:p>
            <w:pPr>
              <w:jc w:val="left"/>
              <w:rPr>
                <w:rFonts w:eastAsia="等线"/>
              </w:rPr>
            </w:pPr>
            <w:r>
              <w:rPr>
                <w:rFonts w:eastAsia="等线"/>
              </w:rPr>
              <w:t>Fine to follow RAN1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CATT</w:t>
            </w:r>
          </w:p>
        </w:tc>
        <w:tc>
          <w:tcPr>
            <w:tcW w:w="2113" w:type="dxa"/>
            <w:shd w:val="clear" w:color="auto" w:fill="auto"/>
          </w:tcPr>
          <w:p>
            <w:pPr>
              <w:rPr>
                <w:rFonts w:eastAsia="等线"/>
              </w:rPr>
            </w:pPr>
            <w:r>
              <w:rPr>
                <w:rFonts w:hint="eastAsia" w:eastAsia="等线"/>
              </w:rPr>
              <w:t>Agree</w:t>
            </w:r>
          </w:p>
        </w:tc>
        <w:tc>
          <w:tcPr>
            <w:tcW w:w="5954" w:type="dxa"/>
            <w:shd w:val="clear" w:color="auto" w:fill="auto"/>
          </w:tcPr>
          <w:p>
            <w:pPr>
              <w:rPr>
                <w:rFonts w:eastAsia="等线"/>
              </w:rPr>
            </w:pPr>
            <w:r>
              <w:rPr>
                <w:rFonts w:eastAsia="等线"/>
              </w:rPr>
              <w:t>K</w:t>
            </w:r>
            <w:r>
              <w:rPr>
                <w:rFonts w:hint="eastAsia" w:eastAsia="等线"/>
              </w:rPr>
              <w:t xml:space="preserve">eep align with the CR in NR NTN.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r>
              <w:rPr>
                <w:rFonts w:eastAsia="等线"/>
              </w:rPr>
              <w:t>Agree</w:t>
            </w:r>
          </w:p>
        </w:tc>
        <w:tc>
          <w:tcPr>
            <w:tcW w:w="5954" w:type="dxa"/>
            <w:shd w:val="clear" w:color="auto" w:fill="auto"/>
          </w:tcPr>
          <w:p>
            <w:pPr>
              <w:rPr>
                <w:rFonts w:eastAsia="等线"/>
              </w:rPr>
            </w:pPr>
            <w:r>
              <w:rPr>
                <w:rFonts w:eastAsia="等线"/>
              </w:rPr>
              <w:t>Follow NR NTN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lang w:val="en-US"/>
              </w:rPr>
            </w:pPr>
            <w:r>
              <w:rPr>
                <w:rFonts w:hint="eastAsia" w:eastAsia="等线"/>
                <w:lang w:val="en-US"/>
              </w:rPr>
              <w:t>Xiaomi</w:t>
            </w:r>
          </w:p>
        </w:tc>
        <w:tc>
          <w:tcPr>
            <w:tcW w:w="2113" w:type="dxa"/>
            <w:shd w:val="clear" w:color="auto" w:fill="auto"/>
          </w:tcPr>
          <w:p>
            <w:pPr>
              <w:rPr>
                <w:rFonts w:eastAsia="等线"/>
                <w:lang w:val="en-US"/>
              </w:rPr>
            </w:pPr>
            <w:r>
              <w:rPr>
                <w:rFonts w:hint="eastAsia" w:eastAsia="等线"/>
                <w:lang w:val="en-US"/>
              </w:rPr>
              <w:t>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MediaTek</w:t>
            </w:r>
          </w:p>
        </w:tc>
        <w:tc>
          <w:tcPr>
            <w:tcW w:w="2113" w:type="dxa"/>
            <w:shd w:val="clear" w:color="auto" w:fill="auto"/>
          </w:tcPr>
          <w:p>
            <w:pPr>
              <w:rPr>
                <w:rFonts w:eastAsia="等线"/>
              </w:rPr>
            </w:pPr>
            <w:r>
              <w:rPr>
                <w:rFonts w:eastAsia="等线"/>
              </w:rPr>
              <w:t>Agree</w:t>
            </w: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L</w:t>
            </w:r>
            <w:r>
              <w:rPr>
                <w:rFonts w:eastAsia="等线"/>
              </w:rPr>
              <w:t>enovo</w:t>
            </w:r>
          </w:p>
        </w:tc>
        <w:tc>
          <w:tcPr>
            <w:tcW w:w="2113" w:type="dxa"/>
            <w:shd w:val="clear" w:color="auto" w:fill="auto"/>
          </w:tcPr>
          <w:p>
            <w:pPr>
              <w:rPr>
                <w:rFonts w:eastAsia="等线"/>
              </w:rPr>
            </w:pPr>
            <w:r>
              <w:rPr>
                <w:rFonts w:hint="eastAsia" w:eastAsia="等线"/>
              </w:rPr>
              <w:t>A</w:t>
            </w:r>
            <w:r>
              <w:rPr>
                <w:rFonts w:eastAsia="等线"/>
              </w:rPr>
              <w:t>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ascii="Calibri" w:hAnsi="Calibri" w:cs="Calibri" w:eastAsiaTheme="minorEastAsia"/>
                <w:sz w:val="22"/>
                <w:szCs w:val="22"/>
                <w:lang w:val="it-IT"/>
              </w:rPr>
              <w:t>Huawei, HiSilicon</w:t>
            </w:r>
          </w:p>
        </w:tc>
        <w:tc>
          <w:tcPr>
            <w:tcW w:w="2113" w:type="dxa"/>
            <w:shd w:val="clear" w:color="auto" w:fill="auto"/>
          </w:tcPr>
          <w:p>
            <w:pPr>
              <w:rPr>
                <w:rFonts w:eastAsia="等线"/>
              </w:rPr>
            </w:pPr>
            <w:r>
              <w:rPr>
                <w:rFonts w:eastAsia="等线"/>
                <w:lang w:val="en-US"/>
              </w:rPr>
              <w:t>A</w:t>
            </w:r>
            <w:r>
              <w:rPr>
                <w:rFonts w:hint="eastAsia" w:eastAsia="等线"/>
                <w:lang w:val="en-US"/>
              </w:rPr>
              <w:t>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ascii="Calibri" w:hAnsi="Calibri" w:cs="Calibri" w:eastAsiaTheme="minorEastAsia"/>
                <w:sz w:val="22"/>
                <w:szCs w:val="22"/>
                <w:lang w:val="it-IT"/>
              </w:rPr>
            </w:pPr>
            <w:r>
              <w:rPr>
                <w:rFonts w:eastAsia="等线"/>
              </w:rPr>
              <w:t>Samsung</w:t>
            </w:r>
          </w:p>
        </w:tc>
        <w:tc>
          <w:tcPr>
            <w:tcW w:w="2113" w:type="dxa"/>
            <w:shd w:val="clear" w:color="auto" w:fill="auto"/>
          </w:tcPr>
          <w:p>
            <w:pPr>
              <w:rPr>
                <w:rFonts w:eastAsia="等线"/>
                <w:lang w:val="en-US"/>
              </w:rPr>
            </w:pPr>
            <w:r>
              <w:rPr>
                <w:rFonts w:eastAsia="等线"/>
              </w:rPr>
              <w:t>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Ericsson</w:t>
            </w:r>
          </w:p>
        </w:tc>
        <w:tc>
          <w:tcPr>
            <w:tcW w:w="2113" w:type="dxa"/>
            <w:shd w:val="clear" w:color="auto" w:fill="auto"/>
          </w:tcPr>
          <w:p>
            <w:pPr>
              <w:rPr>
                <w:rFonts w:eastAsia="等线"/>
              </w:rPr>
            </w:pPr>
            <w:r>
              <w:rPr>
                <w:rFonts w:eastAsia="等线"/>
              </w:rPr>
              <w:t>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CMCC</w:t>
            </w:r>
          </w:p>
        </w:tc>
        <w:tc>
          <w:tcPr>
            <w:tcW w:w="2113" w:type="dxa"/>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Agree</w:t>
            </w:r>
          </w:p>
        </w:tc>
        <w:tc>
          <w:tcPr>
            <w:tcW w:w="5954" w:type="dxa"/>
            <w:shd w:val="clear" w:color="auto" w:fill="auto"/>
          </w:tcPr>
          <w:p>
            <w:pPr>
              <w:rPr>
                <w:rFonts w:eastAsia="等线"/>
              </w:rPr>
            </w:pPr>
          </w:p>
        </w:tc>
      </w:tr>
    </w:tbl>
    <w:p>
      <w:pPr>
        <w:pStyle w:val="27"/>
        <w:spacing w:after="156" w:afterLines="50" w:line="280" w:lineRule="exact"/>
        <w:rPr>
          <w:rFonts w:eastAsiaTheme="minorEastAsia"/>
          <w:szCs w:val="22"/>
        </w:rPr>
      </w:pPr>
    </w:p>
    <w:p>
      <w:pPr>
        <w:pStyle w:val="27"/>
        <w:spacing w:after="156" w:afterLines="50" w:line="280" w:lineRule="exact"/>
        <w:rPr>
          <w:rFonts w:eastAsiaTheme="minorEastAsia"/>
          <w:szCs w:val="22"/>
        </w:rPr>
      </w:pPr>
    </w:p>
    <w:p>
      <w:pPr>
        <w:pStyle w:val="3"/>
      </w:pPr>
      <w:r>
        <w:t>3.2</w:t>
      </w:r>
      <w:r>
        <w:tab/>
      </w:r>
      <w:r>
        <w:t>UL HARQ enhancements</w:t>
      </w:r>
    </w:p>
    <w:p>
      <w:pPr>
        <w:jc w:val="left"/>
        <w:rPr>
          <w:rFonts w:cs="Arial"/>
          <w:b/>
          <w:i/>
          <w:u w:val="single"/>
        </w:rPr>
      </w:pPr>
      <w:r>
        <w:rPr>
          <w:rFonts w:cs="Arial"/>
          <w:b/>
          <w:i/>
          <w:u w:val="single"/>
        </w:rPr>
        <w:t>Processing time for NB-IoT with single HARQ process in HARQ mode B</w:t>
      </w:r>
    </w:p>
    <w:p>
      <w:pPr>
        <w:rPr>
          <w:szCs w:val="21"/>
        </w:rPr>
      </w:pPr>
      <w:r>
        <w:rPr>
          <w:szCs w:val="21"/>
        </w:rPr>
        <w:t>For UL HARQ mode B, following proposals are mentioned on the processing time for drx-InactivityTimer.</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95" w:type="dxa"/>
          </w:tcPr>
          <w:p>
            <w:pPr>
              <w:jc w:val="left"/>
              <w:rPr>
                <w:rFonts w:cs="Arial"/>
              </w:rPr>
            </w:pPr>
            <w:r>
              <w:rPr>
                <w:rFonts w:cs="Arial"/>
              </w:rPr>
              <w:t xml:space="preserve">Contributions </w:t>
            </w:r>
          </w:p>
        </w:tc>
        <w:tc>
          <w:tcPr>
            <w:tcW w:w="8234" w:type="dxa"/>
          </w:tcPr>
          <w:p>
            <w:pPr>
              <w:jc w:val="left"/>
              <w:rPr>
                <w:rFonts w:cs="Arial"/>
              </w:rPr>
            </w:pPr>
            <w:r>
              <w:rPr>
                <w:rFonts w:cs="Arial"/>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1]</w:t>
            </w:r>
          </w:p>
        </w:tc>
        <w:tc>
          <w:tcPr>
            <w:tcW w:w="8234" w:type="dxa"/>
          </w:tcPr>
          <w:p>
            <w:pPr>
              <w:rPr>
                <w:bCs/>
              </w:rPr>
            </w:pPr>
            <w:r>
              <w:rPr>
                <w:bCs/>
              </w:rPr>
              <w:t>Proposal 1: For a NB-IoT UE configured with a single HARQ process, if the HARQ process is configured with HARQ mode B, UE starts drx-InactivityTimer in the subframe containing the last repetition of the corresponding PUSCH transmission plus 3 subframes.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3]</w:t>
            </w:r>
          </w:p>
        </w:tc>
        <w:tc>
          <w:tcPr>
            <w:tcW w:w="8234" w:type="dxa"/>
          </w:tcPr>
          <w:p>
            <w:pPr>
              <w:pStyle w:val="27"/>
            </w:pPr>
            <w:r>
              <w:t>Proposal 3: For the processing time for inactivity timer of HARQ mode B, RAN2 wait for the input of RAN1.</w:t>
            </w:r>
          </w:p>
          <w:p>
            <w:pPr>
              <w:pStyle w:val="2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4]</w:t>
            </w:r>
          </w:p>
        </w:tc>
        <w:tc>
          <w:tcPr>
            <w:tcW w:w="8234" w:type="dxa"/>
          </w:tcPr>
          <w:p>
            <w:pPr>
              <w:pStyle w:val="27"/>
            </w:pPr>
            <w:r>
              <w:t>Propose 2: For NB-IoT NTN with a HARQ process in HARQ mode B, the UE will start/restart drx-inactivity timer in the subframe containing the last repetition of the corresponding PUSCH transmission + 1ms + PDCCH offset.</w:t>
            </w:r>
          </w:p>
          <w:p>
            <w:pPr>
              <w:pStyle w:val="2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5]</w:t>
            </w:r>
          </w:p>
        </w:tc>
        <w:tc>
          <w:tcPr>
            <w:tcW w:w="8234" w:type="dxa"/>
          </w:tcPr>
          <w:p>
            <w:pPr>
              <w:pStyle w:val="27"/>
            </w:pPr>
            <w:r>
              <w:t>Proposal 5: To clarify a previous agreement as below:</w:t>
            </w:r>
          </w:p>
          <w:p>
            <w:pPr>
              <w:pStyle w:val="27"/>
              <w:rPr>
                <w:color w:val="FF0000"/>
              </w:rPr>
            </w:pPr>
            <w:r>
              <w:t>For NB-IoT NTN with single HARQ process in HARQ mode B, the UE will start/restart drx-inactivity timer in the subframe containing the last repetition of the corresponding PUSCH reception</w:t>
            </w:r>
            <w:r>
              <w:rPr>
                <w:color w:val="FF0000"/>
              </w:rPr>
              <w:t xml:space="preserve"> plus 3 subframes plus deltaPDCCH.</w:t>
            </w:r>
          </w:p>
          <w:p>
            <w:pPr>
              <w:pStyle w:val="2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6]</w:t>
            </w:r>
          </w:p>
        </w:tc>
        <w:tc>
          <w:tcPr>
            <w:tcW w:w="8234" w:type="dxa"/>
          </w:tcPr>
          <w:p>
            <w:pPr>
              <w:pStyle w:val="27"/>
            </w:pPr>
            <w:r>
              <w:t>Proposal 1: For NB-IoT NTN with single HARQ process in HARQ mode B, the UE will start/restart drx-inactivity timer in the subframe containing the last repetition of the corresponding PUSCH transmission plus 4 + deltaPDCCH subframes.</w:t>
            </w:r>
          </w:p>
          <w:p>
            <w:pPr>
              <w:pStyle w:val="2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7]</w:t>
            </w:r>
          </w:p>
        </w:tc>
        <w:tc>
          <w:tcPr>
            <w:tcW w:w="8234" w:type="dxa"/>
          </w:tcPr>
          <w:p>
            <w:pPr>
              <w:pStyle w:val="27"/>
            </w:pPr>
            <w:r>
              <w:t>Proposal 2: The decision on the additional processing time for drx-inactivity timer for HARQ mode B can be left to RAN1, similarly to DL discussion.</w:t>
            </w:r>
          </w:p>
          <w:p>
            <w:pPr>
              <w:pStyle w:val="2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9]</w:t>
            </w:r>
          </w:p>
        </w:tc>
        <w:tc>
          <w:tcPr>
            <w:tcW w:w="8234" w:type="dxa"/>
          </w:tcPr>
          <w:p>
            <w:pPr>
              <w:pStyle w:val="27"/>
            </w:pPr>
            <w:r>
              <w:t>Proposal 4: For IoT NTN with single HARQ process in HARQ mode B, the UE shall start/restart drx-inactivity timer after the end of (N)PUSCH + 3 subframes.</w:t>
            </w:r>
          </w:p>
          <w:p>
            <w:pPr>
              <w:pStyle w:val="2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10]</w:t>
            </w:r>
          </w:p>
        </w:tc>
        <w:tc>
          <w:tcPr>
            <w:tcW w:w="8234" w:type="dxa"/>
          </w:tcPr>
          <w:p>
            <w:pPr>
              <w:pStyle w:val="27"/>
            </w:pPr>
            <w:r>
              <w:t>Proposal 1: RAN2 to discuss for HARQ mode B, whether the drx-InactivityTimer is (re)started after a period equal to the minimum time between two grants for the same HARQ process.</w:t>
            </w:r>
          </w:p>
          <w:p>
            <w:pPr>
              <w:pStyle w:val="27"/>
            </w:pPr>
            <w:r>
              <w:t>Proposal 2: Send LS to RAN1 asking about the minimum time between two grants for the same HARQ process.</w:t>
            </w:r>
          </w:p>
          <w:p>
            <w:pPr>
              <w:pStyle w:val="2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12]</w:t>
            </w:r>
          </w:p>
        </w:tc>
        <w:tc>
          <w:tcPr>
            <w:tcW w:w="8234" w:type="dxa"/>
          </w:tcPr>
          <w:p>
            <w:pPr>
              <w:pStyle w:val="27"/>
            </w:pPr>
            <w:r>
              <w:t>Proposal 1: Send LS to RAN1 to clarify whether the behavior of NPDCCH monitoring need to be changed to support HARQ mode B, and if so, asks RAN1 to change it accordingly.</w:t>
            </w:r>
          </w:p>
        </w:tc>
      </w:tr>
    </w:tbl>
    <w:p>
      <w:pPr>
        <w:rPr>
          <w:i/>
          <w:szCs w:val="21"/>
          <w:u w:val="single"/>
        </w:rPr>
      </w:pPr>
    </w:p>
    <w:p>
      <w:pPr>
        <w:rPr>
          <w:szCs w:val="21"/>
        </w:rPr>
      </w:pPr>
      <w:r>
        <w:rPr>
          <w:szCs w:val="21"/>
        </w:rPr>
        <w:t>In [1], it is mentioned that the additional processing time of 3 subframes follows the legacy for the same HARQ process in 36.213, i.e. UE is not expected to receive NPDCCH within 3 ms after NPUSCH transmission.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auto"/>
          </w:tcPr>
          <w:p>
            <w:pPr>
              <w:rPr>
                <w:rFonts w:ascii="Times New Roman" w:hAnsi="Times New Roman"/>
              </w:rPr>
            </w:pPr>
            <w:bookmarkStart w:id="5" w:name="_Hlk132563902"/>
            <w:r>
              <w:rPr>
                <w:rFonts w:ascii="Times New Roman" w:hAnsi="Times New Roman"/>
              </w:rPr>
              <w:t xml:space="preserve">If a NB-IoT UE is configured with higher layer parameter </w:t>
            </w:r>
            <w:r>
              <w:rPr>
                <w:rFonts w:ascii="Times New Roman" w:hAnsi="Times New Roman"/>
                <w:i/>
              </w:rPr>
              <w:t>twoHARQ-ProcessesConfig</w:t>
            </w:r>
          </w:p>
          <w:p>
            <w:pPr>
              <w:pStyle w:val="6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 xml:space="preserve">and if the UE has a NPUSCH transmission ending in subframe </w:t>
            </w:r>
            <w:r>
              <w:rPr>
                <w:rFonts w:ascii="Times New Roman" w:hAnsi="Times New Roman"/>
                <w:i/>
              </w:rPr>
              <w:t>n</w:t>
            </w:r>
            <w:r>
              <w:rPr>
                <w:rFonts w:ascii="Times New Roman" w:hAnsi="Times New Roman"/>
              </w:rPr>
              <w:t>,</w:t>
            </w:r>
          </w:p>
          <w:p>
            <w:pPr>
              <w:pStyle w:val="61"/>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the UE is not required to receive transmissions in the Type B half-duplex guard periods as specified in [3]for FDD ; and</w:t>
            </w:r>
          </w:p>
          <w:p>
            <w:pPr>
              <w:pStyle w:val="61"/>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 xml:space="preserve">the UE is not </w:t>
            </w:r>
            <w:r>
              <w:rPr>
                <w:rFonts w:ascii="Times New Roman" w:hAnsi="Times New Roman"/>
                <w:lang w:eastAsia="zh-CN"/>
              </w:rPr>
              <w:t>expected</w:t>
            </w:r>
            <w:r>
              <w:rPr>
                <w:rFonts w:ascii="Times New Roman" w:hAnsi="Times New Roman"/>
              </w:rPr>
              <w:t xml:space="preserve"> to receive a</w:t>
            </w:r>
            <w:r>
              <w:rPr>
                <w:rFonts w:ascii="Times New Roman" w:hAnsi="Times New Roman"/>
                <w:lang w:eastAsia="zh-CN"/>
              </w:rPr>
              <w:t xml:space="preserve">n NPDCCH with DCI format N0/N1 </w:t>
            </w:r>
            <w:r>
              <w:rPr>
                <w:rFonts w:ascii="Times New Roman" w:hAnsi="Times New Roman"/>
              </w:rPr>
              <w:t>for the same HARQ process</w:t>
            </w:r>
            <w:r>
              <w:rPr>
                <w:rFonts w:ascii="Times New Roman" w:hAnsi="Times New Roman"/>
                <w:lang w:eastAsia="zh-CN"/>
              </w:rPr>
              <w:t xml:space="preserve"> ID as the NPUSCH transmission</w:t>
            </w:r>
            <w:r>
              <w:rPr>
                <w:rFonts w:ascii="Times New Roman" w:hAnsi="Times New Roman"/>
              </w:rPr>
              <w:t xml:space="preserve"> in any subframe starting from subframe n+1 to subframe n+3 </w:t>
            </w:r>
            <w:r>
              <w:rPr>
                <w:rFonts w:ascii="Times New Roman" w:hAnsi="Times New Roman" w:eastAsia="MS Mincho"/>
              </w:rPr>
              <w:t xml:space="preserve">or in a NTN </w:t>
            </w:r>
            <w:r>
              <w:rPr>
                <w:rFonts w:ascii="Times New Roman" w:hAnsi="Times New Roman"/>
                <w:iCs/>
              </w:rPr>
              <w:t>serving cell</w:t>
            </w:r>
            <w:r>
              <w:rPr>
                <w:rFonts w:ascii="Times New Roman" w:hAnsi="Times New Roman" w:eastAsia="MS Mincho"/>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hAnsi="Times New Roman" w:eastAsia="MS Mincho"/>
              </w:rPr>
              <w:t xml:space="preserve"> subframe </w:t>
            </w:r>
            <w:r>
              <w:rPr>
                <w:rFonts w:ascii="Times New Roman" w:hAnsi="Times New Roman" w:eastAsia="MS Mincho"/>
                <w:i/>
                <w:iCs/>
              </w:rPr>
              <w:t>n</w:t>
            </w:r>
            <w:r>
              <w:rPr>
                <w:rFonts w:ascii="Times New Roman" w:hAnsi="Times New Roman" w:eastAsia="MS Mincho"/>
              </w:rPr>
              <w:t xml:space="preserve">+1 to subframe </w:t>
            </w:r>
            <w:r>
              <w:rPr>
                <w:rFonts w:ascii="Times New Roman" w:hAnsi="Times New Roman" w:eastAsia="MS Mincho"/>
                <w:i/>
                <w:iCs/>
              </w:rPr>
              <w:t>n</w:t>
            </w:r>
            <w:r>
              <w:rPr>
                <w:rFonts w:ascii="Times New Roman" w:hAnsi="Times New Roman" w:eastAsia="MS Mincho"/>
              </w:rPr>
              <w:t>+</w:t>
            </w:r>
            <w:r>
              <w:rPr>
                <w:rFonts w:ascii="Times New Roman" w:hAnsi="Times New Roman"/>
                <w:i/>
                <w:lang w:val="en-US" w:eastAsia="zh-CN"/>
              </w:rPr>
              <w:t>K</w:t>
            </w:r>
            <w:r>
              <w:rPr>
                <w:rFonts w:ascii="Times New Roman" w:hAnsi="Times New Roman"/>
                <w:iCs/>
                <w:vertAlign w:val="subscript"/>
                <w:lang w:val="en-US" w:eastAsia="zh-CN"/>
              </w:rPr>
              <w:t>mac</w:t>
            </w:r>
            <w:r>
              <w:rPr>
                <w:rFonts w:ascii="Times New Roman" w:hAnsi="Times New Roman" w:eastAsia="MS Mincho"/>
              </w:rPr>
              <w:t>+3</w:t>
            </w:r>
            <w:r>
              <w:rPr>
                <w:rFonts w:ascii="Times New Roman" w:hAnsi="Times New Roman"/>
                <w:i/>
              </w:rPr>
              <w:t>;</w:t>
            </w:r>
          </w:p>
          <w:p>
            <w:pPr>
              <w:rPr>
                <w:rFonts w:ascii="Times New Roman" w:hAnsi="Times New Roman"/>
              </w:rPr>
            </w:pPr>
            <w:r>
              <w:rPr>
                <w:rFonts w:ascii="Times New Roman" w:hAnsi="Times New Roman"/>
              </w:rPr>
              <w:t xml:space="preserve">else if the UE is not using higher layer parameter </w:t>
            </w:r>
            <w:r>
              <w:rPr>
                <w:rFonts w:ascii="Times New Roman" w:hAnsi="Times New Roman"/>
                <w:i/>
              </w:rPr>
              <w:t>edt-Parameters</w:t>
            </w:r>
            <w:r>
              <w:rPr>
                <w:rFonts w:ascii="Times New Roman" w:hAnsi="Times New Roman" w:eastAsia="MS Mincho"/>
              </w:rPr>
              <w:t xml:space="preserve"> or if </w:t>
            </w:r>
            <w:r>
              <w:rPr>
                <w:rFonts w:ascii="Times New Roman" w:hAnsi="Times New Roman"/>
              </w:rPr>
              <w:t xml:space="preserve">the UE is using higher layer parameter </w:t>
            </w:r>
            <w:r>
              <w:rPr>
                <w:rFonts w:ascii="Times New Roman" w:hAnsi="Times New Roman"/>
                <w:i/>
              </w:rPr>
              <w:t xml:space="preserve">edt-Parameters </w:t>
            </w:r>
            <w:r>
              <w:rPr>
                <w:rFonts w:ascii="Times New Roman" w:hAnsi="Times New Roman"/>
              </w:rPr>
              <w:t xml:space="preserve">and </w:t>
            </w:r>
            <w:r>
              <w:rPr>
                <w:rFonts w:ascii="Times New Roman" w:hAnsi="Times New Roman"/>
                <w:position w:val="-12"/>
              </w:rPr>
              <w:object>
                <v:shape id="_x0000_i1025" o:spt="75" type="#_x0000_t75" style="height:15pt;width:57.6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rPr>
              <w:t xml:space="preserve"> </w:t>
            </w:r>
          </w:p>
          <w:p>
            <w:pPr>
              <w:pStyle w:val="60"/>
              <w:rPr>
                <w:rFonts w:ascii="Times New Roman" w:hAnsi="Times New Roman"/>
              </w:rPr>
            </w:pPr>
            <w:r>
              <w:rPr>
                <w:rFonts w:ascii="Times New Roman" w:hAnsi="Times New Roman"/>
              </w:rPr>
              <w:t>-</w:t>
            </w:r>
            <w:r>
              <w:rPr>
                <w:rFonts w:ascii="Times New Roman" w:hAnsi="Times New Roman"/>
              </w:rPr>
              <w:tab/>
            </w:r>
            <w:r>
              <w:rPr>
                <w:rFonts w:ascii="Times New Roman" w:hAnsi="Times New Roman"/>
                <w:highlight w:val="yellow"/>
              </w:rPr>
              <w:t xml:space="preserve">if the NB-IoT UE has a NPUSCH transmission ending in subframe </w:t>
            </w:r>
            <w:r>
              <w:rPr>
                <w:rFonts w:ascii="Times New Roman" w:hAnsi="Times New Roman"/>
                <w:i/>
                <w:highlight w:val="yellow"/>
              </w:rPr>
              <w:t>n</w:t>
            </w:r>
            <w:r>
              <w:rPr>
                <w:rFonts w:ascii="Times New Roman" w:hAnsi="Times New Roman"/>
                <w:highlight w:val="yellow"/>
              </w:rPr>
              <w:t xml:space="preserve"> , the UE is not required to monitor NPDCCH in any subframe starting from subframe </w:t>
            </w:r>
            <w:r>
              <w:rPr>
                <w:rFonts w:ascii="Times New Roman" w:hAnsi="Times New Roman"/>
                <w:i/>
                <w:highlight w:val="yellow"/>
              </w:rPr>
              <w:t xml:space="preserve">n+1 </w:t>
            </w:r>
            <w:r>
              <w:rPr>
                <w:rFonts w:ascii="Times New Roman" w:hAnsi="Times New Roman"/>
                <w:highlight w:val="yellow"/>
              </w:rPr>
              <w:t xml:space="preserve">to subframe </w:t>
            </w:r>
            <w:r>
              <w:rPr>
                <w:rFonts w:ascii="Times New Roman" w:hAnsi="Times New Roman"/>
                <w:i/>
                <w:highlight w:val="yellow"/>
              </w:rPr>
              <w:t>n+3</w:t>
            </w:r>
            <w:r>
              <w:rPr>
                <w:rFonts w:ascii="Times New Roman" w:hAnsi="Times New Roman"/>
                <w:i/>
              </w:rPr>
              <w:t xml:space="preserve"> </w:t>
            </w:r>
            <w:r>
              <w:rPr>
                <w:rFonts w:ascii="Times New Roman" w:hAnsi="Times New Roman" w:eastAsia="MS Mincho"/>
              </w:rPr>
              <w:t xml:space="preserve">or in a NTN </w:t>
            </w:r>
            <w:r>
              <w:rPr>
                <w:rFonts w:ascii="Times New Roman" w:hAnsi="Times New Roman"/>
                <w:iCs/>
              </w:rPr>
              <w:t>serving cell</w:t>
            </w:r>
            <w:r>
              <w:rPr>
                <w:rFonts w:ascii="Times New Roman" w:hAnsi="Times New Roman" w:eastAsia="MS Mincho"/>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hAnsi="Times New Roman" w:eastAsia="MS Mincho"/>
              </w:rPr>
              <w:t xml:space="preserve"> subframe </w:t>
            </w:r>
            <w:r>
              <w:rPr>
                <w:rFonts w:ascii="Times New Roman" w:hAnsi="Times New Roman" w:eastAsia="MS Mincho"/>
                <w:i/>
                <w:iCs/>
              </w:rPr>
              <w:t>n</w:t>
            </w:r>
            <w:r>
              <w:rPr>
                <w:rFonts w:ascii="Times New Roman" w:hAnsi="Times New Roman" w:eastAsia="MS Mincho"/>
              </w:rPr>
              <w:t>+</w:t>
            </w:r>
            <w:r>
              <w:rPr>
                <w:rFonts w:ascii="Times New Roman" w:hAnsi="Times New Roman" w:eastAsia="MS Mincho"/>
                <w:i/>
                <w:iCs/>
              </w:rPr>
              <w:t>1</w:t>
            </w:r>
            <w:r>
              <w:rPr>
                <w:rFonts w:ascii="Times New Roman" w:hAnsi="Times New Roman" w:eastAsia="MS Mincho"/>
              </w:rPr>
              <w:t xml:space="preserve"> to subframe </w:t>
            </w:r>
            <w:r>
              <w:rPr>
                <w:rFonts w:ascii="Times New Roman" w:hAnsi="Times New Roman" w:eastAsia="MS Mincho"/>
                <w:i/>
                <w:iCs/>
              </w:rPr>
              <w:t>n</w:t>
            </w:r>
            <w:r>
              <w:rPr>
                <w:rFonts w:ascii="Times New Roman" w:hAnsi="Times New Roman" w:eastAsia="MS Mincho"/>
              </w:rPr>
              <w:t>+</w:t>
            </w:r>
            <w:r>
              <w:rPr>
                <w:rFonts w:ascii="Times New Roman" w:hAnsi="Times New Roman"/>
                <w:i/>
                <w:lang w:val="en-US" w:eastAsia="zh-CN"/>
              </w:rPr>
              <w:t>K</w:t>
            </w:r>
            <w:r>
              <w:rPr>
                <w:rFonts w:ascii="Times New Roman" w:hAnsi="Times New Roman"/>
                <w:iCs/>
                <w:vertAlign w:val="subscript"/>
                <w:lang w:val="en-US" w:eastAsia="zh-CN"/>
              </w:rPr>
              <w:t>mac</w:t>
            </w:r>
            <w:r>
              <w:rPr>
                <w:rFonts w:ascii="Times New Roman" w:hAnsi="Times New Roman" w:eastAsia="MS Mincho"/>
              </w:rPr>
              <w:t>+</w:t>
            </w:r>
            <w:r>
              <w:rPr>
                <w:rFonts w:ascii="Times New Roman" w:hAnsi="Times New Roman" w:eastAsia="MS Mincho"/>
                <w:i/>
                <w:iCs/>
              </w:rPr>
              <w:t>3</w:t>
            </w:r>
            <w:r>
              <w:rPr>
                <w:rFonts w:ascii="Times New Roman" w:hAnsi="Times New Roman"/>
              </w:rPr>
              <w:t xml:space="preserve">. </w:t>
            </w:r>
          </w:p>
          <w:p>
            <w:pPr>
              <w:rPr>
                <w:rFonts w:ascii="Times New Roman" w:hAnsi="Times New Roman"/>
              </w:rPr>
            </w:pPr>
            <w:r>
              <w:rPr>
                <w:rFonts w:ascii="Times New Roman" w:hAnsi="Times New Roman"/>
              </w:rPr>
              <w:t>otherwise,</w:t>
            </w:r>
          </w:p>
          <w:p>
            <w:pPr>
              <w:pStyle w:val="60"/>
            </w:pPr>
            <w:r>
              <w:rPr>
                <w:rFonts w:ascii="Times New Roman" w:hAnsi="Times New Roman"/>
              </w:rPr>
              <w:t>-</w:t>
            </w:r>
            <w:r>
              <w:rPr>
                <w:rFonts w:ascii="Times New Roman" w:hAnsi="Times New Roman"/>
              </w:rPr>
              <w:tab/>
            </w:r>
            <w:r>
              <w:rPr>
                <w:rFonts w:ascii="Times New Roman" w:hAnsi="Times New Roman"/>
              </w:rPr>
              <w:t xml:space="preserve">If the NB-IoT UE has a NPUSCH transmission for Msg3 ending in subframe </w:t>
            </w:r>
            <m:oMath>
              <m:sSup>
                <m:sSupPr>
                  <m:ctrlPr>
                    <w:rPr>
                      <w:rFonts w:ascii="Cambria Math" w:hAnsi="Cambria Math"/>
                      <w:i/>
                    </w:rPr>
                  </m:ctrlPr>
                </m:sSupPr>
                <m:e>
                  <m:r>
                    <m:rPr/>
                    <w:rPr>
                      <w:rFonts w:ascii="Cambria Math" w:hAnsi="Cambria Math"/>
                    </w:rPr>
                    <m:t>n</m:t>
                  </m:r>
                  <m:ctrlPr>
                    <w:rPr>
                      <w:rFonts w:ascii="Cambria Math" w:hAnsi="Cambria Math"/>
                      <w:i/>
                    </w:rPr>
                  </m:ctrlPr>
                </m:e>
                <m:sup>
                  <m:r>
                    <m:rPr/>
                    <w:rPr>
                      <w:rFonts w:ascii="Cambria Math" w:hAnsi="Cambria Math"/>
                    </w:rPr>
                    <m:t>'</m:t>
                  </m:r>
                  <m:ctrlPr>
                    <w:rPr>
                      <w:rFonts w:ascii="Cambria Math" w:hAnsi="Cambria Math"/>
                      <w:i/>
                    </w:rPr>
                  </m:ctrlPr>
                </m:sup>
              </m:sSup>
            </m:oMath>
            <w:r>
              <w:rPr>
                <w:rFonts w:ascii="Times New Roman" w:hAnsi="Times New Roman"/>
              </w:rPr>
              <w:t>with transport block size</w:t>
            </w:r>
            <w:r>
              <w:rPr>
                <w:rFonts w:ascii="Times New Roman" w:hAnsi="Times New Roman"/>
                <w:position w:val="-14"/>
              </w:rPr>
              <w:object>
                <v:shape id="_x0000_i1026" o:spt="75" type="#_x0000_t75" style="height:14.4pt;width:37.0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ascii="Times New Roman" w:hAnsi="Times New Roman"/>
              </w:rPr>
              <w:t xml:space="preserve"> , whereas if </w:t>
            </w:r>
            <w:r>
              <w:rPr>
                <w:rFonts w:ascii="Times New Roman" w:hAnsi="Times New Roman"/>
                <w:position w:val="-14"/>
              </w:rPr>
              <w:object>
                <v:shape id="_x0000_i1027" o:spt="75" type="#_x0000_t75" style="height:14.4pt;width:49.9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ascii="Times New Roman" w:hAnsi="Times New Roman"/>
              </w:rPr>
              <w:t xml:space="preserve">would have been selected the NPUSCH transmission would have ended in subframe </w:t>
            </w:r>
            <w:r>
              <w:rPr>
                <w:rFonts w:ascii="Times New Roman" w:hAnsi="Times New Roman"/>
                <w:i/>
              </w:rPr>
              <w:t>n</w:t>
            </w:r>
            <w:r>
              <w:rPr>
                <w:rFonts w:ascii="Times New Roman" w:hAnsi="Times New Roman"/>
              </w:rPr>
              <w:t xml:space="preserve">, the UE is not required to monitor NPDCCH in any subframe starting from subframe </w:t>
            </w:r>
            <w:r>
              <w:rPr>
                <w:rFonts w:ascii="Times New Roman" w:hAnsi="Times New Roman"/>
                <w:i/>
              </w:rPr>
              <w:t xml:space="preserve">n'+1 </w:t>
            </w:r>
            <w:r>
              <w:rPr>
                <w:rFonts w:ascii="Times New Roman" w:hAnsi="Times New Roman"/>
              </w:rPr>
              <w:t xml:space="preserve">to subframe </w:t>
            </w:r>
            <w:r>
              <w:rPr>
                <w:rFonts w:ascii="Times New Roman" w:hAnsi="Times New Roman"/>
                <w:i/>
              </w:rPr>
              <w:t xml:space="preserve">n+3 </w:t>
            </w:r>
            <w:r>
              <w:rPr>
                <w:rFonts w:ascii="Times New Roman" w:hAnsi="Times New Roman" w:eastAsia="MS Mincho"/>
              </w:rPr>
              <w:t xml:space="preserve">or in a NTN </w:t>
            </w:r>
            <w:r>
              <w:rPr>
                <w:rFonts w:ascii="Times New Roman" w:hAnsi="Times New Roman"/>
                <w:iCs/>
              </w:rPr>
              <w:t>serving cell</w:t>
            </w:r>
            <w:r>
              <w:rPr>
                <w:rFonts w:ascii="Times New Roman" w:hAnsi="Times New Roman" w:eastAsia="MS Mincho"/>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hAnsi="Times New Roman" w:eastAsia="MS Mincho"/>
              </w:rPr>
              <w:t xml:space="preserve"> subframe </w:t>
            </w:r>
            <w:r>
              <w:rPr>
                <w:rFonts w:ascii="Times New Roman" w:hAnsi="Times New Roman"/>
                <w:i/>
              </w:rPr>
              <w:t>n'</w:t>
            </w:r>
            <w:r>
              <w:rPr>
                <w:rFonts w:ascii="Times New Roman" w:hAnsi="Times New Roman" w:eastAsia="MS Mincho"/>
              </w:rPr>
              <w:t>+</w:t>
            </w:r>
            <w:r>
              <w:rPr>
                <w:rFonts w:ascii="Times New Roman" w:hAnsi="Times New Roman" w:eastAsia="MS Mincho"/>
                <w:i/>
                <w:iCs/>
              </w:rPr>
              <w:t>1</w:t>
            </w:r>
            <w:r>
              <w:rPr>
                <w:rFonts w:ascii="Times New Roman" w:hAnsi="Times New Roman" w:eastAsia="MS Mincho"/>
              </w:rPr>
              <w:t xml:space="preserve"> to subframe </w:t>
            </w:r>
            <w:r>
              <w:rPr>
                <w:rFonts w:ascii="Times New Roman" w:hAnsi="Times New Roman" w:eastAsia="MS Mincho"/>
                <w:i/>
                <w:iCs/>
              </w:rPr>
              <w:t>n</w:t>
            </w:r>
            <w:r>
              <w:rPr>
                <w:rFonts w:ascii="Times New Roman" w:hAnsi="Times New Roman" w:eastAsia="MS Mincho"/>
              </w:rPr>
              <w:t>+</w:t>
            </w:r>
            <w:r>
              <w:rPr>
                <w:rFonts w:ascii="Times New Roman" w:hAnsi="Times New Roman"/>
                <w:i/>
                <w:lang w:val="en-US" w:eastAsia="zh-CN"/>
              </w:rPr>
              <w:t>K</w:t>
            </w:r>
            <w:r>
              <w:rPr>
                <w:rFonts w:ascii="Times New Roman" w:hAnsi="Times New Roman"/>
                <w:iCs/>
                <w:vertAlign w:val="subscript"/>
                <w:lang w:val="en-US" w:eastAsia="zh-CN"/>
              </w:rPr>
              <w:t>mac</w:t>
            </w:r>
            <w:r>
              <w:rPr>
                <w:rFonts w:ascii="Times New Roman" w:hAnsi="Times New Roman" w:eastAsia="MS Mincho"/>
              </w:rPr>
              <w:t>+</w:t>
            </w:r>
            <w:r>
              <w:rPr>
                <w:rFonts w:ascii="Times New Roman" w:hAnsi="Times New Roman" w:eastAsia="MS Mincho"/>
                <w:i/>
                <w:iCs/>
              </w:rPr>
              <w:t>3</w:t>
            </w:r>
            <w:r>
              <w:rPr>
                <w:rFonts w:ascii="Times New Roman" w:hAnsi="Times New Roman"/>
              </w:rPr>
              <w:t xml:space="preserve">. </w:t>
            </w:r>
          </w:p>
        </w:tc>
      </w:tr>
      <w:bookmarkEnd w:id="5"/>
    </w:tbl>
    <w:p>
      <w:pPr>
        <w:rPr>
          <w:szCs w:val="21"/>
        </w:rPr>
      </w:pPr>
    </w:p>
    <w:p>
      <w:pPr>
        <w:rPr>
          <w:rFonts w:cs="Arial"/>
          <w:lang w:val="en-US"/>
        </w:rPr>
      </w:pPr>
      <w:r>
        <w:rPr>
          <w:szCs w:val="21"/>
        </w:rPr>
        <w:t xml:space="preserve">In [4], it is mentioned that </w:t>
      </w:r>
      <w:r>
        <w:rPr>
          <w:rFonts w:cs="Arial"/>
        </w:rPr>
        <w:t>the minimum gap between the PUSCH transmission and the next possible PDCCH occasion is Type B half duplex guard periods as specified i</w:t>
      </w:r>
      <w:r>
        <w:rPr>
          <w:rFonts w:cs="Arial"/>
          <w:lang w:val="en-US"/>
        </w:rPr>
        <w:t>n 36.211, which is 1ms</w:t>
      </w:r>
      <w:r>
        <w:rPr>
          <w:rFonts w:hint="eastAsia" w:cs="Arial"/>
          <w:lang w:val="en-US"/>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7" w:type="dxa"/>
          </w:tcPr>
          <w:p>
            <w:pPr>
              <w:pStyle w:val="4"/>
              <w:keepNext w:val="0"/>
              <w:keepLines w:val="0"/>
              <w:widowControl w:val="0"/>
            </w:pPr>
            <w:bookmarkStart w:id="6" w:name="_Toc454818011"/>
            <w:r>
              <w:rPr>
                <w:rFonts w:hint="eastAsia"/>
              </w:rPr>
              <w:t>3</w:t>
            </w:r>
            <w:r>
              <w:t>6.211 6.2.5</w:t>
            </w:r>
            <w:r>
              <w:tab/>
            </w:r>
            <w:r>
              <w:t>Guard period for half-duplex FDD operation</w:t>
            </w:r>
            <w:bookmarkEnd w:id="6"/>
          </w:p>
          <w:p>
            <w:pPr>
              <w:widowControl w:val="0"/>
            </w:pPr>
            <w:r>
              <w:t xml:space="preserve">For type A half-duplex FDD operation, a guard period is created by the UE by </w:t>
            </w:r>
          </w:p>
          <w:p>
            <w:pPr>
              <w:pStyle w:val="60"/>
              <w:widowControl w:val="0"/>
            </w:pPr>
            <w:r>
              <w:t>-</w:t>
            </w:r>
            <w:r>
              <w:tab/>
            </w:r>
            <w:r>
              <w:t xml:space="preserve">not receiving the last part of a downlink subframe immediately preceding an uplink subframe from the same UE. </w:t>
            </w:r>
          </w:p>
          <w:p>
            <w:pPr>
              <w:widowControl w:val="0"/>
            </w:pPr>
            <w:r>
              <w:t>For type B half-duplex FDD operation, guard periods, each referred to as a half-duplex guard subframe, are created by the UE by</w:t>
            </w:r>
          </w:p>
          <w:p>
            <w:pPr>
              <w:pStyle w:val="60"/>
              <w:widowControl w:val="0"/>
            </w:pPr>
            <w:r>
              <w:t>-</w:t>
            </w:r>
            <w:r>
              <w:tab/>
            </w:r>
            <w:r>
              <w:t>not receiving a downlink subframe immediately preceding an uplink subframe from the same UE, and</w:t>
            </w:r>
          </w:p>
          <w:p>
            <w:pPr>
              <w:pStyle w:val="60"/>
              <w:widowControl w:val="0"/>
            </w:pPr>
            <w:r>
              <w:t>-</w:t>
            </w:r>
            <w:r>
              <w:tab/>
            </w:r>
            <w:r>
              <w:rPr>
                <w:highlight w:val="yellow"/>
              </w:rPr>
              <w:t>not receiving a downlink subframe immediately following an uplink subframe from the same UE.</w:t>
            </w:r>
          </w:p>
        </w:tc>
      </w:tr>
    </w:tbl>
    <w:p>
      <w:pPr>
        <w:rPr>
          <w:szCs w:val="21"/>
        </w:rPr>
      </w:pPr>
      <w:r>
        <w:rPr>
          <w:szCs w:val="21"/>
        </w:rPr>
        <w:t xml:space="preserve"> </w:t>
      </w:r>
    </w:p>
    <w:p>
      <w:pPr>
        <w:rPr>
          <w:szCs w:val="21"/>
        </w:rPr>
      </w:pPr>
      <w:r>
        <w:rPr>
          <w:szCs w:val="21"/>
        </w:rPr>
        <w:t>In [6], it is mentioned that “</w:t>
      </w:r>
      <w:r>
        <w:t>For TN, this gap between PUSCH and NPDCCH is 3 + deltaPDCCH subframes. Therefore, we propose to have same gap length between PUSCH and PDCCH in UL HARQ mode B</w:t>
      </w:r>
      <w:r>
        <w:rPr>
          <w:szCs w:val="21"/>
        </w:rPr>
        <w:t>”.</w:t>
      </w:r>
    </w:p>
    <w:p>
      <w:pPr>
        <w:rPr>
          <w:szCs w:val="21"/>
        </w:rPr>
      </w:pPr>
    </w:p>
    <w:p>
      <w:pPr>
        <w:rPr>
          <w:szCs w:val="21"/>
        </w:rPr>
      </w:pPr>
    </w:p>
    <w:p>
      <w:pPr>
        <w:rPr>
          <w:rFonts w:cs="Arial"/>
          <w:b/>
        </w:rPr>
      </w:pPr>
      <w:r>
        <w:rPr>
          <w:rFonts w:cs="Arial"/>
          <w:b/>
          <w:bCs/>
        </w:rPr>
        <w:t xml:space="preserve">Question </w:t>
      </w:r>
      <w:r>
        <w:rPr>
          <w:rFonts w:cs="Arial"/>
          <w:b/>
          <w:bCs/>
          <w:lang w:val="en-US"/>
        </w:rPr>
        <w:t>8</w:t>
      </w:r>
      <w:r>
        <w:rPr>
          <w:rFonts w:cs="Arial"/>
          <w:b/>
        </w:rPr>
        <w:t>: For a NB-IoT UE configured with a single HARQ process in HARQ mode B, which of below options do companies support for the additional processing time for drx-Inactivity</w:t>
      </w:r>
      <w:r>
        <w:rPr>
          <w:rFonts w:hint="eastAsia" w:cs="Arial"/>
          <w:b/>
        </w:rPr>
        <w:t>T</w:t>
      </w:r>
      <w:r>
        <w:rPr>
          <w:rFonts w:cs="Arial"/>
          <w:b/>
        </w:rPr>
        <w:t>imer?</w:t>
      </w:r>
    </w:p>
    <w:p>
      <w:pPr>
        <w:pStyle w:val="91"/>
        <w:numPr>
          <w:ilvl w:val="0"/>
          <w:numId w:val="18"/>
        </w:numPr>
        <w:rPr>
          <w:rFonts w:cs="Arial"/>
          <w:b/>
          <w:lang w:val="en-US"/>
        </w:rPr>
      </w:pPr>
      <w:r>
        <w:rPr>
          <w:rFonts w:cs="Arial"/>
          <w:b/>
          <w:lang w:val="en-US"/>
        </w:rPr>
        <w:t>Option 1: UE starts drx-InactivityTimer in the subframe containing the last repetition of the corresponding PUSCH transmission plus 3 subframes [1] [9]</w:t>
      </w:r>
    </w:p>
    <w:p>
      <w:pPr>
        <w:pStyle w:val="91"/>
        <w:numPr>
          <w:ilvl w:val="0"/>
          <w:numId w:val="18"/>
        </w:numPr>
        <w:rPr>
          <w:rFonts w:cs="Arial"/>
          <w:b/>
          <w:lang w:val="en-US"/>
        </w:rPr>
      </w:pPr>
      <w:r>
        <w:rPr>
          <w:rFonts w:cs="Arial"/>
          <w:b/>
          <w:lang w:val="en-US"/>
        </w:rPr>
        <w:t>Option 2: the UE will start/restart drx-inactivity timer in the subframe containing the last repetition of the corresponding PUSCH transmission + 1ms + PDCCH offset [4]</w:t>
      </w:r>
    </w:p>
    <w:p>
      <w:pPr>
        <w:pStyle w:val="91"/>
        <w:numPr>
          <w:ilvl w:val="0"/>
          <w:numId w:val="18"/>
        </w:numPr>
        <w:rPr>
          <w:rFonts w:cs="Arial"/>
          <w:b/>
          <w:lang w:val="en-US"/>
        </w:rPr>
      </w:pPr>
      <w:r>
        <w:rPr>
          <w:rFonts w:cs="Arial"/>
          <w:b/>
          <w:lang w:val="en-US"/>
        </w:rPr>
        <w:t>Option 3: the UE will start/restart drx-inactivity timer in the subframe containing the last repetition of the corresponding PUSCH reception plus 3 subframes plus deltaPDCCH [5]</w:t>
      </w:r>
    </w:p>
    <w:p>
      <w:pPr>
        <w:pStyle w:val="91"/>
        <w:numPr>
          <w:ilvl w:val="0"/>
          <w:numId w:val="18"/>
        </w:numPr>
        <w:rPr>
          <w:rFonts w:cs="Arial"/>
          <w:b/>
          <w:lang w:val="en-US"/>
        </w:rPr>
      </w:pPr>
      <w:r>
        <w:rPr>
          <w:rFonts w:cs="Arial"/>
          <w:b/>
          <w:lang w:val="en-US"/>
        </w:rPr>
        <w:t>Option 4: the UE will start/restart drx-inactivity timer in the subframe containing the last repetition of the corresponding PUSCH transmission plus 4 + deltaPDCCH subframes [6]</w:t>
      </w:r>
    </w:p>
    <w:p>
      <w:pPr>
        <w:pStyle w:val="91"/>
        <w:numPr>
          <w:ilvl w:val="0"/>
          <w:numId w:val="18"/>
        </w:numPr>
        <w:rPr>
          <w:rFonts w:cs="Arial"/>
          <w:b/>
          <w:lang w:val="en-US"/>
        </w:rPr>
      </w:pPr>
      <w:r>
        <w:rPr>
          <w:rFonts w:cs="Arial"/>
          <w:b/>
          <w:lang w:val="en-US"/>
        </w:rPr>
        <w:t>Option 5: wait for RAN1’s decision [3]</w:t>
      </w:r>
    </w:p>
    <w:p>
      <w:pPr>
        <w:pStyle w:val="91"/>
        <w:numPr>
          <w:ilvl w:val="0"/>
          <w:numId w:val="18"/>
        </w:numPr>
        <w:rPr>
          <w:rFonts w:cs="Arial"/>
          <w:b/>
          <w:lang w:val="en-US"/>
        </w:rPr>
      </w:pPr>
      <w:r>
        <w:rPr>
          <w:rFonts w:cs="Arial"/>
          <w:b/>
          <w:lang w:val="en-US"/>
        </w:rPr>
        <w:t>Option 6: send LS to RAN1 and ask [10] [12]</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rPr>
            </w:pPr>
            <w:r>
              <w:rPr>
                <w:b/>
              </w:rPr>
              <w:t>Option</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O</w:t>
            </w:r>
            <w:r>
              <w:rPr>
                <w:rFonts w:eastAsia="等线"/>
              </w:rPr>
              <w:t>PPO</w:t>
            </w:r>
          </w:p>
        </w:tc>
        <w:tc>
          <w:tcPr>
            <w:tcW w:w="2113" w:type="dxa"/>
            <w:shd w:val="clear" w:color="auto" w:fill="auto"/>
          </w:tcPr>
          <w:p>
            <w:pPr>
              <w:rPr>
                <w:rFonts w:eastAsia="等线"/>
              </w:rPr>
            </w:pPr>
            <w:r>
              <w:rPr>
                <w:rFonts w:hint="eastAsia" w:eastAsia="等线"/>
              </w:rPr>
              <w:t>O</w:t>
            </w:r>
            <w:r>
              <w:rPr>
                <w:rFonts w:eastAsia="等线"/>
              </w:rPr>
              <w:t>ption 3 or option 6</w:t>
            </w:r>
          </w:p>
        </w:tc>
        <w:tc>
          <w:tcPr>
            <w:tcW w:w="5954" w:type="dxa"/>
            <w:shd w:val="clear" w:color="auto" w:fill="auto"/>
          </w:tcPr>
          <w:p>
            <w:pPr>
              <w:jc w:val="left"/>
              <w:rPr>
                <w:rFonts w:eastAsia="等线"/>
              </w:rPr>
            </w:pPr>
            <w:r>
              <w:rPr>
                <w:rFonts w:hint="eastAsia" w:eastAsia="等线"/>
              </w:rPr>
              <w:t>I</w:t>
            </w:r>
            <w:r>
              <w:rPr>
                <w:rFonts w:eastAsia="等线"/>
              </w:rPr>
              <w:t xml:space="preserve">n legacy, </w:t>
            </w:r>
            <w:r>
              <w:rPr>
                <w:szCs w:val="21"/>
              </w:rPr>
              <w:t>processing time of 3 subframes is defined for the same HARQ process in 36.213, and we think it suits here for the case with single HARQ process.</w:t>
            </w:r>
          </w:p>
          <w:p>
            <w:pPr>
              <w:jc w:val="left"/>
              <w:rPr>
                <w:rFonts w:eastAsia="等线"/>
              </w:rPr>
            </w:pPr>
            <w:r>
              <w:rPr>
                <w:rFonts w:eastAsia="等线"/>
              </w:rPr>
              <w:t>We are also ok to check with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CATT</w:t>
            </w:r>
          </w:p>
        </w:tc>
        <w:tc>
          <w:tcPr>
            <w:tcW w:w="2113" w:type="dxa"/>
            <w:shd w:val="clear" w:color="auto" w:fill="auto"/>
          </w:tcPr>
          <w:p>
            <w:pPr>
              <w:rPr>
                <w:rFonts w:eastAsia="等线"/>
              </w:rPr>
            </w:pPr>
            <w:r>
              <w:rPr>
                <w:rFonts w:hint="eastAsia" w:eastAsia="等线"/>
              </w:rPr>
              <w:t>Option 5</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r>
              <w:rPr>
                <w:rFonts w:eastAsia="等线"/>
              </w:rPr>
              <w:t>Option 5 and Option 6</w:t>
            </w:r>
          </w:p>
        </w:tc>
        <w:tc>
          <w:tcPr>
            <w:tcW w:w="5954" w:type="dxa"/>
            <w:shd w:val="clear" w:color="auto" w:fill="auto"/>
          </w:tcPr>
          <w:p>
            <w:pPr>
              <w:rPr>
                <w:rFonts w:eastAsia="等线"/>
              </w:rPr>
            </w:pPr>
            <w:r>
              <w:rPr>
                <w:rFonts w:eastAsia="等线"/>
              </w:rPr>
              <w:t xml:space="preserve">We prefer to ask RAN1 on the </w:t>
            </w:r>
            <w:r>
              <w:rPr>
                <w:rFonts w:cs="Arial"/>
              </w:rPr>
              <w:t>minimum gap between the PUSCH transmission and PDSCH reception in HARQ ModeB. Send LS to RAN1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lang w:val="en-US"/>
              </w:rPr>
            </w:pPr>
            <w:r>
              <w:rPr>
                <w:rFonts w:hint="eastAsia" w:eastAsia="等线"/>
                <w:lang w:val="en-US"/>
              </w:rPr>
              <w:t>Xiaomi</w:t>
            </w:r>
          </w:p>
        </w:tc>
        <w:tc>
          <w:tcPr>
            <w:tcW w:w="2113" w:type="dxa"/>
            <w:shd w:val="clear" w:color="auto" w:fill="auto"/>
          </w:tcPr>
          <w:p>
            <w:pPr>
              <w:rPr>
                <w:rFonts w:eastAsia="等线"/>
                <w:lang w:val="en-US"/>
              </w:rPr>
            </w:pPr>
            <w:r>
              <w:rPr>
                <w:rFonts w:hint="eastAsia" w:eastAsia="等线"/>
                <w:lang w:val="en-US"/>
              </w:rPr>
              <w:t>Option 5 and 6</w:t>
            </w:r>
          </w:p>
        </w:tc>
        <w:tc>
          <w:tcPr>
            <w:tcW w:w="5954" w:type="dxa"/>
            <w:shd w:val="clear" w:color="auto" w:fill="auto"/>
          </w:tcPr>
          <w:p>
            <w:pPr>
              <w:rPr>
                <w:rFonts w:eastAsia="等线"/>
                <w:lang w:val="en-US"/>
              </w:rPr>
            </w:pPr>
            <w:r>
              <w:rPr>
                <w:rFonts w:hint="eastAsia" w:eastAsia="等线"/>
                <w:lang w:val="en-US"/>
              </w:rPr>
              <w:t>We think it should be RAN1 to decide when to start PDCCH monitoring for the HARQ Mode B case. RAN2 can then decide the start of DRX inactivity timer based on RAN1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MediaTek</w:t>
            </w:r>
          </w:p>
        </w:tc>
        <w:tc>
          <w:tcPr>
            <w:tcW w:w="2113" w:type="dxa"/>
            <w:shd w:val="clear" w:color="auto" w:fill="auto"/>
          </w:tcPr>
          <w:p>
            <w:pPr>
              <w:rPr>
                <w:rFonts w:eastAsia="等线"/>
              </w:rPr>
            </w:pPr>
            <w:r>
              <w:rPr>
                <w:rFonts w:eastAsia="等线"/>
              </w:rPr>
              <w:t>Option 2</w:t>
            </w:r>
          </w:p>
        </w:tc>
        <w:tc>
          <w:tcPr>
            <w:tcW w:w="5954" w:type="dxa"/>
            <w:shd w:val="clear" w:color="auto" w:fill="auto"/>
          </w:tcPr>
          <w:p>
            <w:pPr>
              <w:jc w:val="left"/>
              <w:rPr>
                <w:rFonts w:eastAsia="等线"/>
              </w:rPr>
            </w:pPr>
            <w:r>
              <w:rPr>
                <w:rFonts w:eastAsia="等线"/>
              </w:rPr>
              <w:t>We think only 1 ms is needed, as 3 subframes contains the network processing time for UL transmission, which is not needed for HARQ mode B. We have explained it in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Qualcomm</w:t>
            </w:r>
          </w:p>
        </w:tc>
        <w:tc>
          <w:tcPr>
            <w:tcW w:w="2113" w:type="dxa"/>
            <w:shd w:val="clear" w:color="auto" w:fill="auto"/>
          </w:tcPr>
          <w:p>
            <w:pPr>
              <w:rPr>
                <w:rFonts w:eastAsia="等线"/>
              </w:rPr>
            </w:pPr>
            <w:r>
              <w:rPr>
                <w:rFonts w:eastAsia="等线"/>
              </w:rPr>
              <w:t>Option 4/3/1</w:t>
            </w:r>
          </w:p>
        </w:tc>
        <w:tc>
          <w:tcPr>
            <w:tcW w:w="5954" w:type="dxa"/>
            <w:shd w:val="clear" w:color="auto" w:fill="auto"/>
          </w:tcPr>
          <w:p>
            <w:pPr>
              <w:rPr>
                <w:rFonts w:eastAsia="等线"/>
              </w:rPr>
            </w:pPr>
            <w:r>
              <w:rPr>
                <w:rFonts w:eastAsia="等线"/>
              </w:rPr>
              <w:t>The counting starts from the last subframe (including) so it should be processing time + 1.</w:t>
            </w:r>
          </w:p>
          <w:p>
            <w:pPr>
              <w:rPr>
                <w:rFonts w:eastAsia="等线"/>
              </w:rPr>
            </w:pPr>
            <w:r>
              <w:rPr>
                <w:rFonts w:eastAsia="等线"/>
              </w:rPr>
              <w:t>We think it is better to follow current HARQ definition which is 3 subframes gap.</w:t>
            </w:r>
          </w:p>
          <w:p>
            <w:pPr>
              <w:rPr>
                <w:rFonts w:eastAsia="等线"/>
              </w:rPr>
            </w:pPr>
            <w:r>
              <w:rPr>
                <w:rFonts w:eastAsia="等线"/>
              </w:rPr>
              <w:t>We understand Option 1, Option 3 and Option 4 are same, its just wording issue how we capture in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L</w:t>
            </w:r>
            <w:r>
              <w:rPr>
                <w:rFonts w:eastAsia="等线"/>
              </w:rPr>
              <w:t>enovo</w:t>
            </w:r>
          </w:p>
        </w:tc>
        <w:tc>
          <w:tcPr>
            <w:tcW w:w="2113" w:type="dxa"/>
            <w:shd w:val="clear" w:color="auto" w:fill="auto"/>
          </w:tcPr>
          <w:p>
            <w:pPr>
              <w:rPr>
                <w:rFonts w:eastAsia="等线"/>
              </w:rPr>
            </w:pPr>
            <w:r>
              <w:rPr>
                <w:rFonts w:hint="eastAsia" w:eastAsia="等线"/>
              </w:rPr>
              <w:t>O</w:t>
            </w:r>
            <w:r>
              <w:rPr>
                <w:rFonts w:eastAsia="等线"/>
              </w:rPr>
              <w:t>ption 5 (and possibly Option 6)</w:t>
            </w:r>
          </w:p>
        </w:tc>
        <w:tc>
          <w:tcPr>
            <w:tcW w:w="5954" w:type="dxa"/>
            <w:shd w:val="clear" w:color="auto" w:fill="auto"/>
          </w:tcPr>
          <w:p>
            <w:pPr>
              <w:rPr>
                <w:rFonts w:eastAsia="等线"/>
              </w:rPr>
            </w:pPr>
            <w:r>
              <w:rPr>
                <w:rFonts w:hint="eastAsia" w:eastAsia="等线"/>
              </w:rPr>
              <w:t>I</w:t>
            </w:r>
            <w:r>
              <w:rPr>
                <w:rFonts w:eastAsia="等线"/>
              </w:rPr>
              <w:t>t should be RAN1 to decide but we can ask RAN1 tofor further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ascii="Calibri" w:hAnsi="Calibri" w:cs="Calibri" w:eastAsiaTheme="minorEastAsia"/>
                <w:sz w:val="22"/>
                <w:szCs w:val="22"/>
                <w:lang w:val="it-IT"/>
              </w:rPr>
              <w:t>Huawei, HiSilicon</w:t>
            </w:r>
          </w:p>
        </w:tc>
        <w:tc>
          <w:tcPr>
            <w:tcW w:w="2113" w:type="dxa"/>
            <w:shd w:val="clear" w:color="auto" w:fill="auto"/>
          </w:tcPr>
          <w:p>
            <w:pPr>
              <w:rPr>
                <w:rFonts w:eastAsia="等线"/>
              </w:rPr>
            </w:pPr>
            <w:r>
              <w:rPr>
                <w:rFonts w:eastAsia="等线"/>
                <w:lang w:val="en-US"/>
              </w:rPr>
              <w:t>Option 6</w:t>
            </w:r>
          </w:p>
        </w:tc>
        <w:tc>
          <w:tcPr>
            <w:tcW w:w="5954" w:type="dxa"/>
            <w:shd w:val="clear" w:color="auto" w:fill="auto"/>
          </w:tcPr>
          <w:p>
            <w:pPr>
              <w:rPr>
                <w:rFonts w:eastAsia="等线"/>
              </w:rPr>
            </w:pPr>
            <w:r>
              <w:rPr>
                <w:rFonts w:hint="eastAsia" w:eastAsia="等线"/>
              </w:rPr>
              <w:t>S</w:t>
            </w:r>
            <w:r>
              <w:rPr>
                <w:rFonts w:eastAsia="等线"/>
              </w:rPr>
              <w:t>ince there are different understandings, better to check with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ascii="Calibri" w:hAnsi="Calibri" w:cs="Calibri" w:eastAsiaTheme="minorEastAsia"/>
                <w:sz w:val="22"/>
                <w:szCs w:val="22"/>
                <w:lang w:val="it-IT"/>
              </w:rPr>
            </w:pPr>
            <w:r>
              <w:rPr>
                <w:rFonts w:eastAsia="等线"/>
              </w:rPr>
              <w:t>Samsung</w:t>
            </w:r>
          </w:p>
        </w:tc>
        <w:tc>
          <w:tcPr>
            <w:tcW w:w="2113" w:type="dxa"/>
            <w:shd w:val="clear" w:color="auto" w:fill="auto"/>
          </w:tcPr>
          <w:p>
            <w:pPr>
              <w:rPr>
                <w:rFonts w:eastAsia="等线"/>
                <w:lang w:val="en-US"/>
              </w:rPr>
            </w:pPr>
            <w:r>
              <w:rPr>
                <w:rFonts w:eastAsia="等线"/>
              </w:rPr>
              <w:t>Option 5 and 6</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Ericsson</w:t>
            </w:r>
          </w:p>
        </w:tc>
        <w:tc>
          <w:tcPr>
            <w:tcW w:w="2113" w:type="dxa"/>
            <w:shd w:val="clear" w:color="auto" w:fill="auto"/>
          </w:tcPr>
          <w:p>
            <w:pPr>
              <w:rPr>
                <w:rFonts w:eastAsia="等线"/>
              </w:rPr>
            </w:pPr>
            <w:r>
              <w:rPr>
                <w:rFonts w:eastAsia="等线"/>
              </w:rPr>
              <w:t>Option 6</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CMCC</w:t>
            </w:r>
          </w:p>
        </w:tc>
        <w:tc>
          <w:tcPr>
            <w:tcW w:w="2113" w:type="dxa"/>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Option 5 or option 6</w:t>
            </w:r>
          </w:p>
        </w:tc>
        <w:tc>
          <w:tcPr>
            <w:tcW w:w="5954" w:type="dxa"/>
            <w:shd w:val="clear" w:color="auto" w:fill="auto"/>
          </w:tcPr>
          <w:p>
            <w:pPr>
              <w:rPr>
                <w:rFonts w:eastAsia="等线"/>
              </w:rPr>
            </w:pPr>
          </w:p>
        </w:tc>
      </w:tr>
    </w:tbl>
    <w:p>
      <w:pPr>
        <w:rPr>
          <w:i/>
          <w:szCs w:val="21"/>
          <w:u w:val="single"/>
        </w:rPr>
      </w:pPr>
    </w:p>
    <w:p>
      <w:pPr>
        <w:rPr>
          <w:b/>
          <w:bCs/>
          <w:i/>
          <w:u w:val="single"/>
        </w:rPr>
      </w:pPr>
      <w:r>
        <w:rPr>
          <w:b/>
          <w:bCs/>
          <w:i/>
          <w:u w:val="single"/>
        </w:rPr>
        <w:t>Ambiguity in PUSCH subframe</w:t>
      </w:r>
    </w:p>
    <w:p>
      <w:pPr>
        <w:rPr>
          <w:szCs w:val="21"/>
        </w:rPr>
      </w:pPr>
      <w:r>
        <w:rPr>
          <w:szCs w:val="21"/>
        </w:rPr>
        <w:t>In [6], the ambiguity issue for PUSCH subframe was mentioned as follows:</w:t>
      </w:r>
    </w:p>
    <w:p>
      <w:r>
        <w:t>In case of starting HARQ RTT timer, there is no ambiguity between UE and network as the timer is extended by UE-eNB RTT which includes UE’s TA. However, in case of starting DRX inactivity timer from the subframe containing the last repetition of the corresponding PUSCH transmission, the UE and network may not be synchronized.</w:t>
      </w:r>
    </w:p>
    <w:p>
      <w:r>
        <w:t>As the network may not know exact UE’s TA, it will not know the exact subframe where UE performs UL transmission. If UE’s TA is less than scheduling Koffset, then UE will be starting DRX inactivity timer later than eNB expected because (Koffset – UE’s TA) is the ambiguity period.</w:t>
      </w:r>
    </w:p>
    <w:p>
      <w:r>
        <w:t>We think the network implementation can resolve the issue by not scheduling the NPDCCH back-to-back during the ambiguity period (i.e., Koffset – UE’s TA).</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cs="Arial"/>
              </w:rPr>
              <w:t xml:space="preserve">Contributions </w:t>
            </w:r>
          </w:p>
        </w:tc>
        <w:tc>
          <w:tcPr>
            <w:tcW w:w="8234" w:type="dxa"/>
          </w:tcPr>
          <w:p>
            <w:pPr>
              <w:jc w:val="left"/>
              <w:rPr>
                <w:rFonts w:cs="Arial"/>
              </w:rPr>
            </w:pPr>
            <w:r>
              <w:rPr>
                <w:rFonts w:cs="Arial"/>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95" w:type="dxa"/>
          </w:tcPr>
          <w:p>
            <w:pPr>
              <w:jc w:val="left"/>
              <w:rPr>
                <w:rFonts w:cs="Arial"/>
              </w:rPr>
            </w:pPr>
            <w:r>
              <w:rPr>
                <w:rFonts w:hint="eastAsia" w:cs="Arial"/>
              </w:rPr>
              <w:t>[</w:t>
            </w:r>
            <w:r>
              <w:rPr>
                <w:rFonts w:cs="Arial"/>
              </w:rPr>
              <w:t>6]</w:t>
            </w:r>
          </w:p>
        </w:tc>
        <w:tc>
          <w:tcPr>
            <w:tcW w:w="8234" w:type="dxa"/>
          </w:tcPr>
          <w:p>
            <w:r>
              <w:rPr>
                <w:bCs/>
              </w:rPr>
              <w:t>Proposal 2: network implementation resolves the issue of ambiguity on start of DRX inactivity timer after the PUSCH transmission by not scheduling the NPDCCH back-to-back during the ambiguity period (i.e., Koffset – UE’s TA).</w:t>
            </w:r>
          </w:p>
        </w:tc>
      </w:tr>
    </w:tbl>
    <w:p>
      <w:pPr>
        <w:rPr>
          <w:szCs w:val="21"/>
        </w:rPr>
      </w:pPr>
    </w:p>
    <w:p>
      <w:pPr>
        <w:rPr>
          <w:rFonts w:cs="Arial"/>
          <w:b/>
          <w:lang w:val="en-US"/>
        </w:rPr>
      </w:pPr>
      <w:r>
        <w:rPr>
          <w:rFonts w:cs="Arial"/>
          <w:b/>
          <w:bCs/>
        </w:rPr>
        <w:t xml:space="preserve">Question </w:t>
      </w:r>
      <w:r>
        <w:rPr>
          <w:rFonts w:cs="Arial"/>
          <w:b/>
          <w:bCs/>
          <w:lang w:val="en-US"/>
        </w:rPr>
        <w:t>9</w:t>
      </w:r>
      <w:r>
        <w:rPr>
          <w:rFonts w:cs="Arial"/>
          <w:b/>
        </w:rPr>
        <w:t>: Do com</w:t>
      </w:r>
      <w:r>
        <w:rPr>
          <w:rFonts w:cs="Arial"/>
          <w:b/>
          <w:lang w:val="en-US"/>
        </w:rPr>
        <w:t>panies agree to P2 in [6]</w:t>
      </w:r>
      <w:r>
        <w:rPr>
          <w:rFonts w:hint="eastAsia" w:cs="Arial"/>
          <w:b/>
          <w:lang w:val="en-US"/>
        </w:rPr>
        <w:t>?</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O</w:t>
            </w:r>
            <w:r>
              <w:rPr>
                <w:rFonts w:eastAsia="等线"/>
              </w:rPr>
              <w:t>PPO</w:t>
            </w:r>
          </w:p>
        </w:tc>
        <w:tc>
          <w:tcPr>
            <w:tcW w:w="2113" w:type="dxa"/>
            <w:shd w:val="clear" w:color="auto" w:fill="auto"/>
          </w:tcPr>
          <w:p>
            <w:pPr>
              <w:rPr>
                <w:rFonts w:eastAsia="等线"/>
              </w:rPr>
            </w:pPr>
            <w:r>
              <w:rPr>
                <w:rFonts w:hint="eastAsia" w:eastAsia="等线"/>
              </w:rPr>
              <w:t>A</w:t>
            </w:r>
            <w:r>
              <w:rPr>
                <w:rFonts w:eastAsia="等线"/>
              </w:rPr>
              <w:t>gree</w:t>
            </w: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CATT</w:t>
            </w:r>
          </w:p>
        </w:tc>
        <w:tc>
          <w:tcPr>
            <w:tcW w:w="2113" w:type="dxa"/>
            <w:shd w:val="clear" w:color="auto" w:fill="auto"/>
          </w:tcPr>
          <w:p>
            <w:pPr>
              <w:rPr>
                <w:rFonts w:eastAsia="等线"/>
              </w:rPr>
            </w:pPr>
            <w:r>
              <w:rPr>
                <w:rFonts w:hint="eastAsia" w:eastAsia="等线"/>
              </w:rPr>
              <w:t>Agree</w:t>
            </w:r>
          </w:p>
        </w:tc>
        <w:tc>
          <w:tcPr>
            <w:tcW w:w="5954" w:type="dxa"/>
            <w:shd w:val="clear" w:color="auto" w:fill="auto"/>
          </w:tcPr>
          <w:p>
            <w:pPr>
              <w:rPr>
                <w:rFonts w:eastAsia="等线"/>
              </w:rPr>
            </w:pPr>
            <w:r>
              <w:rPr>
                <w:rFonts w:eastAsia="等线"/>
              </w:rPr>
              <w:t>B</w:t>
            </w:r>
            <w:r>
              <w:rPr>
                <w:rFonts w:hint="eastAsia" w:eastAsia="等线"/>
              </w:rPr>
              <w:t xml:space="preserve">ut maybe adding </w:t>
            </w:r>
            <w:r>
              <w:rPr>
                <w:rFonts w:eastAsia="等线"/>
              </w:rPr>
              <w:t>“</w:t>
            </w:r>
            <w:r>
              <w:rPr>
                <w:rFonts w:hint="eastAsia" w:eastAsia="等线"/>
              </w:rPr>
              <w:t xml:space="preserve">No spec </w:t>
            </w:r>
            <w:r>
              <w:rPr>
                <w:rFonts w:eastAsia="等线"/>
              </w:rPr>
              <w:t>impact</w:t>
            </w:r>
            <w:r>
              <w:rPr>
                <w:rFonts w:hint="eastAsia" w:eastAsia="等线"/>
              </w:rPr>
              <w:t xml:space="preserve"> is needed</w:t>
            </w:r>
            <w:r>
              <w:rPr>
                <w:rFonts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p>
        </w:tc>
        <w:tc>
          <w:tcPr>
            <w:tcW w:w="5954" w:type="dxa"/>
            <w:shd w:val="clear" w:color="auto" w:fill="auto"/>
          </w:tcPr>
          <w:p>
            <w:pPr>
              <w:rPr>
                <w:rFonts w:eastAsia="等线"/>
              </w:rPr>
            </w:pPr>
            <w:r>
              <w:rPr>
                <w:rFonts w:eastAsia="等线"/>
              </w:rPr>
              <w:t>We are not sure the issue is valid since the NW know exactly when the UE should start the PUSCH transmission which is based on NW configured Koffset instead of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lang w:val="en-US"/>
              </w:rPr>
            </w:pPr>
            <w:r>
              <w:rPr>
                <w:rFonts w:hint="eastAsia" w:eastAsia="等线"/>
                <w:lang w:val="en-US"/>
              </w:rPr>
              <w:t>Xiaomi</w:t>
            </w:r>
          </w:p>
        </w:tc>
        <w:tc>
          <w:tcPr>
            <w:tcW w:w="2113" w:type="dxa"/>
            <w:shd w:val="clear" w:color="auto" w:fill="auto"/>
          </w:tcPr>
          <w:p>
            <w:pPr>
              <w:rPr>
                <w:rFonts w:eastAsia="等线"/>
                <w:lang w:val="en-US"/>
              </w:rPr>
            </w:pPr>
            <w:r>
              <w:rPr>
                <w:rFonts w:hint="eastAsia" w:eastAsia="等线"/>
                <w:lang w:val="en-US"/>
              </w:rPr>
              <w:t>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MediaTek</w:t>
            </w:r>
          </w:p>
        </w:tc>
        <w:tc>
          <w:tcPr>
            <w:tcW w:w="2113" w:type="dxa"/>
            <w:shd w:val="clear" w:color="auto" w:fill="auto"/>
          </w:tcPr>
          <w:p>
            <w:pPr>
              <w:rPr>
                <w:rFonts w:eastAsia="等线"/>
              </w:rPr>
            </w:pPr>
            <w:r>
              <w:rPr>
                <w:rFonts w:eastAsia="等线"/>
              </w:rPr>
              <w:t>Agree</w:t>
            </w: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Qualcomm</w:t>
            </w:r>
          </w:p>
        </w:tc>
        <w:tc>
          <w:tcPr>
            <w:tcW w:w="2113" w:type="dxa"/>
            <w:shd w:val="clear" w:color="auto" w:fill="auto"/>
          </w:tcPr>
          <w:p>
            <w:pPr>
              <w:rPr>
                <w:rFonts w:eastAsia="等线"/>
              </w:rPr>
            </w:pPr>
            <w:r>
              <w:rPr>
                <w:rFonts w:eastAsia="等线"/>
              </w:rPr>
              <w:t>Agree</w:t>
            </w:r>
          </w:p>
        </w:tc>
        <w:tc>
          <w:tcPr>
            <w:tcW w:w="5954" w:type="dxa"/>
            <w:shd w:val="clear" w:color="auto" w:fill="auto"/>
          </w:tcPr>
          <w:p>
            <w:pPr>
              <w:rPr>
                <w:rFonts w:eastAsia="等线"/>
              </w:rPr>
            </w:pPr>
            <w:r>
              <w:rPr>
                <w:rFonts w:eastAsia="等线"/>
              </w:rPr>
              <w:t>Ok Nokia’s claim is new to us. NW only knows its own UL timing but not the UE’s UL timing.</w:t>
            </w:r>
          </w:p>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L</w:t>
            </w:r>
            <w:r>
              <w:rPr>
                <w:rFonts w:eastAsia="等线"/>
              </w:rPr>
              <w:t>enovo</w:t>
            </w:r>
          </w:p>
        </w:tc>
        <w:tc>
          <w:tcPr>
            <w:tcW w:w="2113" w:type="dxa"/>
            <w:shd w:val="clear" w:color="auto" w:fill="auto"/>
          </w:tcPr>
          <w:p>
            <w:pPr>
              <w:rPr>
                <w:rFonts w:eastAsia="等线"/>
              </w:rPr>
            </w:pPr>
            <w:r>
              <w:rPr>
                <w:rFonts w:hint="eastAsia" w:eastAsia="等线"/>
              </w:rPr>
              <w:t>A</w:t>
            </w:r>
            <w:r>
              <w:rPr>
                <w:rFonts w:eastAsia="等线"/>
              </w:rPr>
              <w:t>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ascii="Calibri" w:hAnsi="Calibri" w:cs="Calibri" w:eastAsiaTheme="minorEastAsia"/>
                <w:sz w:val="22"/>
                <w:szCs w:val="22"/>
                <w:lang w:val="it-IT"/>
              </w:rPr>
              <w:t>Huawei, HiSilicon</w:t>
            </w:r>
          </w:p>
        </w:tc>
        <w:tc>
          <w:tcPr>
            <w:tcW w:w="2113" w:type="dxa"/>
            <w:shd w:val="clear" w:color="auto" w:fill="auto"/>
          </w:tcPr>
          <w:p>
            <w:pPr>
              <w:rPr>
                <w:rFonts w:eastAsia="等线"/>
              </w:rPr>
            </w:pPr>
            <w:r>
              <w:rPr>
                <w:rFonts w:eastAsia="等线"/>
                <w:lang w:val="en-US"/>
              </w:rPr>
              <w:t>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ascii="Calibri" w:hAnsi="Calibri" w:cs="Calibri" w:eastAsiaTheme="minorEastAsia"/>
                <w:sz w:val="22"/>
                <w:szCs w:val="22"/>
                <w:lang w:val="it-IT"/>
              </w:rPr>
            </w:pPr>
            <w:r>
              <w:rPr>
                <w:rFonts w:eastAsia="等线"/>
              </w:rPr>
              <w:t xml:space="preserve">Samsung </w:t>
            </w:r>
          </w:p>
        </w:tc>
        <w:tc>
          <w:tcPr>
            <w:tcW w:w="2113" w:type="dxa"/>
            <w:shd w:val="clear" w:color="auto" w:fill="auto"/>
          </w:tcPr>
          <w:p>
            <w:pPr>
              <w:rPr>
                <w:rFonts w:eastAsia="等线"/>
                <w:lang w:val="en-US"/>
              </w:rPr>
            </w:pPr>
            <w:r>
              <w:rPr>
                <w:rFonts w:eastAsia="等线"/>
              </w:rPr>
              <w:t>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Ericsson</w:t>
            </w:r>
          </w:p>
        </w:tc>
        <w:tc>
          <w:tcPr>
            <w:tcW w:w="2113" w:type="dxa"/>
            <w:shd w:val="clear" w:color="auto" w:fill="auto"/>
          </w:tcPr>
          <w:p>
            <w:pPr>
              <w:rPr>
                <w:rFonts w:eastAsia="等线"/>
              </w:rPr>
            </w:pPr>
            <w:r>
              <w:rPr>
                <w:rFonts w:eastAsia="等线"/>
              </w:rPr>
              <w:t>Partly agree</w:t>
            </w:r>
          </w:p>
        </w:tc>
        <w:tc>
          <w:tcPr>
            <w:tcW w:w="5954" w:type="dxa"/>
            <w:shd w:val="clear" w:color="auto" w:fill="auto"/>
          </w:tcPr>
          <w:p>
            <w:pPr>
              <w:rPr>
                <w:rFonts w:eastAsia="等线"/>
              </w:rPr>
            </w:pPr>
            <w:r>
              <w:t>this is partly correct but still needs to observe the time between two grants for the same HARQ process (we need ask RAN1 about “how long after a PUSCH transmission can it receive a grant for the same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CMCC</w:t>
            </w:r>
          </w:p>
        </w:tc>
        <w:tc>
          <w:tcPr>
            <w:tcW w:w="2113" w:type="dxa"/>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Agree</w:t>
            </w:r>
          </w:p>
        </w:tc>
        <w:tc>
          <w:tcPr>
            <w:tcW w:w="5954" w:type="dxa"/>
            <w:shd w:val="clear" w:color="auto" w:fill="auto"/>
          </w:tcPr>
          <w:p>
            <w:pPr>
              <w:rPr>
                <w:rFonts w:eastAsia="等线"/>
              </w:rPr>
            </w:pPr>
          </w:p>
        </w:tc>
      </w:tr>
    </w:tbl>
    <w:p>
      <w:pPr>
        <w:rPr>
          <w:szCs w:val="21"/>
        </w:rPr>
      </w:pPr>
    </w:p>
    <w:p>
      <w:pPr>
        <w:rPr>
          <w:i/>
          <w:szCs w:val="21"/>
          <w:u w:val="single"/>
        </w:rPr>
      </w:pPr>
    </w:p>
    <w:p>
      <w:pPr>
        <w:jc w:val="left"/>
        <w:rPr>
          <w:rFonts w:cs="Arial"/>
          <w:b/>
          <w:i/>
          <w:u w:val="single"/>
        </w:rPr>
      </w:pPr>
      <w:r>
        <w:rPr>
          <w:rFonts w:cs="Arial"/>
          <w:b/>
          <w:i/>
          <w:u w:val="single"/>
        </w:rPr>
        <w:t>UL multiple TB scheduling</w:t>
      </w:r>
    </w:p>
    <w:p>
      <w:pPr>
        <w:rPr>
          <w:szCs w:val="21"/>
        </w:rPr>
      </w:pPr>
      <w:r>
        <w:rPr>
          <w:szCs w:val="21"/>
        </w:rPr>
        <w:t>Following proposals are related to DRX operation for UL multiple TB scheduling.</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cs="Arial"/>
              </w:rPr>
              <w:t xml:space="preserve">Contributions </w:t>
            </w:r>
          </w:p>
        </w:tc>
        <w:tc>
          <w:tcPr>
            <w:tcW w:w="8234" w:type="dxa"/>
          </w:tcPr>
          <w:p>
            <w:pPr>
              <w:jc w:val="left"/>
              <w:rPr>
                <w:rFonts w:cs="Arial"/>
              </w:rPr>
            </w:pPr>
            <w:r>
              <w:rPr>
                <w:rFonts w:cs="Arial"/>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1]</w:t>
            </w:r>
          </w:p>
        </w:tc>
        <w:tc>
          <w:tcPr>
            <w:tcW w:w="8234" w:type="dxa"/>
          </w:tcPr>
          <w:p>
            <w:pPr>
              <w:rPr>
                <w:bCs/>
              </w:rPr>
            </w:pPr>
            <w:r>
              <w:rPr>
                <w:bCs/>
              </w:rPr>
              <w:t>Proposal 2: For UL, RAN2 discuss how to support multiple TB scheduling with a single DCI in NTN.</w:t>
            </w:r>
          </w:p>
          <w:p>
            <w:pPr>
              <w:pStyle w:val="91"/>
              <w:numPr>
                <w:ilvl w:val="0"/>
                <w:numId w:val="24"/>
              </w:numPr>
              <w:rPr>
                <w:bCs/>
              </w:rPr>
            </w:pPr>
            <w:r>
              <w:rPr>
                <w:bCs/>
              </w:rPr>
              <w:t>Option 1: Allow those HARQ processes corresponding to the scheduled multiple TBs to be configured with different HARQ modes.</w:t>
            </w:r>
          </w:p>
          <w:p>
            <w:pPr>
              <w:pStyle w:val="91"/>
              <w:numPr>
                <w:ilvl w:val="0"/>
                <w:numId w:val="24"/>
              </w:numPr>
              <w:rPr>
                <w:bCs/>
              </w:rPr>
            </w:pPr>
            <w:r>
              <w:rPr>
                <w:bCs/>
              </w:rPr>
              <w:t>Option 2: Restrict all the HARQ processed corresponding to the scheduled multiple TBs always configured with the same HARQ mode.</w:t>
            </w:r>
          </w:p>
          <w:p>
            <w:r>
              <w:rPr>
                <w:bCs/>
              </w:rPr>
              <w:t xml:space="preserve">Proposal 6: For a NB-IoT UE configured with two HARQ processes, if PDCCH indicates the transmission is for multiple TBs and if at least one HARQ process is configured with HARQ mode B, UE starts drx-InactivityTimer in the subframe containing the last repetition of the PUSCH corresponding to the last scheduled TB plus 3 subframes.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12]</w:t>
            </w:r>
          </w:p>
        </w:tc>
        <w:tc>
          <w:tcPr>
            <w:tcW w:w="8234" w:type="dxa"/>
          </w:tcPr>
          <w:p>
            <w:pPr>
              <w:pStyle w:val="27"/>
            </w:pPr>
            <w:r>
              <w:t xml:space="preserve">Proposal 2: </w:t>
            </w:r>
            <w:r>
              <w:rPr>
                <w:rFonts w:hint="eastAsia"/>
                <w:lang w:val="en-US"/>
              </w:rPr>
              <w:t>From RAN2 point of view, there is no need to enhance for Multiple TBs scheduling, unless RAN1 requests to do so.</w:t>
            </w:r>
          </w:p>
        </w:tc>
      </w:tr>
    </w:tbl>
    <w:p>
      <w:pPr>
        <w:rPr>
          <w:i/>
          <w:szCs w:val="21"/>
          <w:u w:val="single"/>
        </w:rPr>
      </w:pPr>
    </w:p>
    <w:p>
      <w:pPr>
        <w:rPr>
          <w:rFonts w:cs="Arial"/>
          <w:b/>
        </w:rPr>
      </w:pPr>
      <w:r>
        <w:rPr>
          <w:rFonts w:cs="Arial"/>
          <w:b/>
          <w:bCs/>
        </w:rPr>
        <w:t xml:space="preserve">Question </w:t>
      </w:r>
      <w:r>
        <w:rPr>
          <w:rFonts w:cs="Arial"/>
          <w:b/>
          <w:bCs/>
          <w:lang w:val="en-US"/>
        </w:rPr>
        <w:t>10</w:t>
      </w:r>
      <w:r>
        <w:rPr>
          <w:rFonts w:cs="Arial"/>
          <w:b/>
        </w:rPr>
        <w:t xml:space="preserve">: </w:t>
      </w:r>
      <w:r>
        <w:rPr>
          <w:rFonts w:hint="eastAsia" w:cs="Arial"/>
          <w:b/>
        </w:rPr>
        <w:t>On</w:t>
      </w:r>
      <w:r>
        <w:rPr>
          <w:rFonts w:cs="Arial"/>
          <w:b/>
        </w:rPr>
        <w:t xml:space="preserve"> UL multiple TB scheduling, which of below options do companies agree to?</w:t>
      </w:r>
    </w:p>
    <w:p>
      <w:pPr>
        <w:pStyle w:val="91"/>
        <w:numPr>
          <w:ilvl w:val="0"/>
          <w:numId w:val="18"/>
        </w:numPr>
        <w:rPr>
          <w:rFonts w:cs="Arial"/>
          <w:b/>
          <w:lang w:val="en-US"/>
        </w:rPr>
      </w:pPr>
      <w:r>
        <w:rPr>
          <w:rFonts w:cs="Arial"/>
          <w:b/>
          <w:lang w:val="en-US"/>
        </w:rPr>
        <w:t>Option 1: P2 and P6 in [1]</w:t>
      </w:r>
    </w:p>
    <w:p>
      <w:pPr>
        <w:pStyle w:val="91"/>
        <w:numPr>
          <w:ilvl w:val="0"/>
          <w:numId w:val="18"/>
        </w:numPr>
        <w:rPr>
          <w:rFonts w:cs="Arial"/>
          <w:b/>
          <w:lang w:val="en-US"/>
        </w:rPr>
      </w:pPr>
      <w:r>
        <w:rPr>
          <w:rFonts w:cs="Arial"/>
          <w:b/>
          <w:lang w:val="en-US"/>
        </w:rPr>
        <w:t>Option 2: P2 in [12]</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rPr>
            </w:pPr>
            <w:r>
              <w:rPr>
                <w:b/>
              </w:rPr>
              <w:t>Option</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O</w:t>
            </w:r>
            <w:r>
              <w:rPr>
                <w:rFonts w:eastAsia="等线"/>
              </w:rPr>
              <w:t>PPO</w:t>
            </w:r>
          </w:p>
        </w:tc>
        <w:tc>
          <w:tcPr>
            <w:tcW w:w="2113" w:type="dxa"/>
            <w:shd w:val="clear" w:color="auto" w:fill="auto"/>
          </w:tcPr>
          <w:p>
            <w:pPr>
              <w:rPr>
                <w:rFonts w:eastAsia="等线"/>
              </w:rPr>
            </w:pPr>
            <w:r>
              <w:rPr>
                <w:rFonts w:hint="eastAsia" w:eastAsia="等线"/>
              </w:rPr>
              <w:t>O</w:t>
            </w:r>
            <w:r>
              <w:rPr>
                <w:rFonts w:eastAsia="等线"/>
              </w:rPr>
              <w:t>ption 1</w:t>
            </w:r>
          </w:p>
        </w:tc>
        <w:tc>
          <w:tcPr>
            <w:tcW w:w="5954" w:type="dxa"/>
            <w:shd w:val="clear" w:color="auto" w:fill="auto"/>
          </w:tcPr>
          <w:p>
            <w:pPr>
              <w:jc w:val="left"/>
              <w:rPr>
                <w:rFonts w:eastAsia="等线"/>
              </w:rPr>
            </w:pPr>
            <w:r>
              <w:rPr>
                <w:rFonts w:eastAsia="等线"/>
              </w:rPr>
              <w:t xml:space="preserve">Different from disabling HARQ feedback for DL, UL HARQ mode A/B is introduced in RAN2. In our understanding, the impact of UL HARQ mode A/B is mainly on MAC spec, i.e. DRX and LCP, except the UE processing time for HARQ mode B, which needs to be checked by RAN1. So it should be RAN2 to decide how to </w:t>
            </w:r>
            <w:r>
              <w:rPr>
                <w:bCs/>
              </w:rPr>
              <w:t>support multiple TB scheduling and the impact on DRX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CATT</w:t>
            </w:r>
          </w:p>
        </w:tc>
        <w:tc>
          <w:tcPr>
            <w:tcW w:w="2113" w:type="dxa"/>
            <w:shd w:val="clear" w:color="auto" w:fill="auto"/>
          </w:tcPr>
          <w:p>
            <w:pPr>
              <w:rPr>
                <w:rFonts w:eastAsia="等线"/>
              </w:rPr>
            </w:pPr>
            <w:r>
              <w:rPr>
                <w:rFonts w:hint="eastAsia" w:eastAsia="等线"/>
              </w:rPr>
              <w:t>Option 2</w:t>
            </w:r>
          </w:p>
        </w:tc>
        <w:tc>
          <w:tcPr>
            <w:tcW w:w="5954" w:type="dxa"/>
            <w:shd w:val="clear" w:color="auto" w:fill="auto"/>
          </w:tcPr>
          <w:p>
            <w:pPr>
              <w:rPr>
                <w:rFonts w:eastAsia="等线"/>
              </w:rPr>
            </w:pPr>
            <w:r>
              <w:rPr>
                <w:rFonts w:eastAsia="等线"/>
              </w:rPr>
              <w:t>T</w:t>
            </w:r>
            <w:r>
              <w:rPr>
                <w:rFonts w:hint="eastAsia" w:eastAsia="等线"/>
              </w:rPr>
              <w:t xml:space="preserve">here is no strong motivation on the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r>
              <w:rPr>
                <w:rFonts w:eastAsia="等线"/>
              </w:rPr>
              <w:t>None</w:t>
            </w:r>
          </w:p>
        </w:tc>
        <w:tc>
          <w:tcPr>
            <w:tcW w:w="5954" w:type="dxa"/>
            <w:shd w:val="clear" w:color="auto" w:fill="auto"/>
          </w:tcPr>
          <w:p>
            <w:pPr>
              <w:rPr>
                <w:rFonts w:eastAsia="等线"/>
              </w:rPr>
            </w:pPr>
            <w:r>
              <w:rPr>
                <w:rFonts w:eastAsia="等线"/>
              </w:rPr>
              <w:t>We think how to support multiple TB scheduling with a single DCI in UL should also be discussed in RAN1. (For example, any restriction on HARQ mode for different TBs as proposed in Option1 or Option2 above). Maybe RAN2 can include this point in LS to RAN1 as well. On the drx-inactivityTimer start in case of no HARQ process available after multi-TB scheduling, it can just follow single HARQ process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lang w:val="en-US"/>
              </w:rPr>
            </w:pPr>
            <w:r>
              <w:rPr>
                <w:rFonts w:hint="eastAsia" w:eastAsia="等线"/>
                <w:lang w:val="en-US"/>
              </w:rPr>
              <w:t>Xiaomi</w:t>
            </w:r>
          </w:p>
        </w:tc>
        <w:tc>
          <w:tcPr>
            <w:tcW w:w="2113" w:type="dxa"/>
            <w:shd w:val="clear" w:color="auto" w:fill="auto"/>
          </w:tcPr>
          <w:p>
            <w:pPr>
              <w:rPr>
                <w:rFonts w:eastAsia="等线"/>
                <w:lang w:val="en-US"/>
              </w:rPr>
            </w:pPr>
            <w:r>
              <w:rPr>
                <w:rFonts w:hint="eastAsia" w:eastAsia="等线"/>
                <w:lang w:val="en-US"/>
              </w:rPr>
              <w:t>See comment</w:t>
            </w:r>
          </w:p>
        </w:tc>
        <w:tc>
          <w:tcPr>
            <w:tcW w:w="5954" w:type="dxa"/>
            <w:shd w:val="clear" w:color="auto" w:fill="auto"/>
          </w:tcPr>
          <w:p>
            <w:pPr>
              <w:rPr>
                <w:rFonts w:eastAsia="等线"/>
                <w:lang w:val="en-US"/>
              </w:rPr>
            </w:pPr>
            <w:r>
              <w:rPr>
                <w:rFonts w:hint="eastAsia" w:eastAsia="等线"/>
                <w:lang w:val="en-US"/>
              </w:rPr>
              <w:t>We think we can wait for RAN1 progress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MediaTek</w:t>
            </w:r>
          </w:p>
        </w:tc>
        <w:tc>
          <w:tcPr>
            <w:tcW w:w="2113" w:type="dxa"/>
            <w:shd w:val="clear" w:color="auto" w:fill="auto"/>
          </w:tcPr>
          <w:p>
            <w:pPr>
              <w:rPr>
                <w:rFonts w:eastAsia="等线"/>
              </w:rPr>
            </w:pPr>
            <w:r>
              <w:rPr>
                <w:rFonts w:eastAsia="等线"/>
              </w:rPr>
              <w:t>see comments</w:t>
            </w:r>
          </w:p>
        </w:tc>
        <w:tc>
          <w:tcPr>
            <w:tcW w:w="5954" w:type="dxa"/>
            <w:shd w:val="clear" w:color="auto" w:fill="auto"/>
          </w:tcPr>
          <w:p>
            <w:pPr>
              <w:jc w:val="left"/>
              <w:rPr>
                <w:rFonts w:eastAsia="等线"/>
              </w:rPr>
            </w:pPr>
            <w:r>
              <w:rPr>
                <w:rFonts w:eastAsia="等线"/>
              </w:rPr>
              <w:t>For P2 in [1], mediatek prefer option 2. For NB-IoT, UE cannot select specific UL HARQ process to send the UL data, so there no point to configure different HARQ mode when multiple TBs are configured.</w:t>
            </w:r>
          </w:p>
          <w:p>
            <w:pPr>
              <w:jc w:val="left"/>
              <w:rPr>
                <w:rFonts w:eastAsia="等线"/>
              </w:rPr>
            </w:pPr>
            <w:r>
              <w:rPr>
                <w:rFonts w:eastAsia="等线"/>
              </w:rPr>
              <w:t>For P6 in [1], we think it should be “1 subframe + PDCCH offset”, where 1 subframe is for tx-rx transition and PDCCH offset is to align with PDCCH occasion to avoid partial PDCCH occasion.</w:t>
            </w:r>
          </w:p>
          <w:p>
            <w:pPr>
              <w:jc w:val="left"/>
              <w:rPr>
                <w:rFonts w:eastAsia="等线"/>
              </w:rPr>
            </w:pPr>
            <w:r>
              <w:rPr>
                <w:rFonts w:eastAsia="等线"/>
              </w:rPr>
              <w:t>As mentioned before, 3 subframes contains the network processing time for UL transmission, which is not needed for HARQ mode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Qualcomm</w:t>
            </w:r>
          </w:p>
        </w:tc>
        <w:tc>
          <w:tcPr>
            <w:tcW w:w="2113" w:type="dxa"/>
            <w:shd w:val="clear" w:color="auto" w:fill="auto"/>
          </w:tcPr>
          <w:p>
            <w:pPr>
              <w:rPr>
                <w:rFonts w:eastAsia="等线"/>
              </w:rPr>
            </w:pPr>
            <w:r>
              <w:rPr>
                <w:rFonts w:eastAsia="等线"/>
              </w:rPr>
              <w:t>Option 1</w:t>
            </w:r>
          </w:p>
        </w:tc>
        <w:tc>
          <w:tcPr>
            <w:tcW w:w="5954" w:type="dxa"/>
            <w:shd w:val="clear" w:color="auto" w:fill="auto"/>
          </w:tcPr>
          <w:p>
            <w:pPr>
              <w:rPr>
                <w:rFonts w:eastAsia="等线"/>
              </w:rPr>
            </w:pPr>
            <w:r>
              <w:rPr>
                <w:rFonts w:eastAsia="等线"/>
              </w:rPr>
              <w:t>It should be discussed whther P2, option 2 in [1] can resolve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L</w:t>
            </w:r>
            <w:r>
              <w:rPr>
                <w:rFonts w:eastAsia="等线"/>
              </w:rPr>
              <w:t>enovo</w:t>
            </w:r>
          </w:p>
        </w:tc>
        <w:tc>
          <w:tcPr>
            <w:tcW w:w="2113" w:type="dxa"/>
            <w:shd w:val="clear" w:color="auto" w:fill="auto"/>
          </w:tcPr>
          <w:p>
            <w:pPr>
              <w:rPr>
                <w:rFonts w:eastAsia="等线"/>
              </w:rPr>
            </w:pPr>
            <w:r>
              <w:rPr>
                <w:rFonts w:hint="eastAsia" w:eastAsia="等线"/>
                <w:lang w:val="en-US"/>
              </w:rPr>
              <w:t>See comment</w:t>
            </w:r>
          </w:p>
        </w:tc>
        <w:tc>
          <w:tcPr>
            <w:tcW w:w="5954" w:type="dxa"/>
            <w:shd w:val="clear" w:color="auto" w:fill="auto"/>
          </w:tcPr>
          <w:p>
            <w:pPr>
              <w:rPr>
                <w:rFonts w:eastAsia="等线"/>
              </w:rPr>
            </w:pPr>
            <w:r>
              <w:rPr>
                <w:rFonts w:eastAsia="等线"/>
                <w:lang w:val="en-US"/>
              </w:rPr>
              <w:t xml:space="preserve">Agree with Xiaomi to </w:t>
            </w:r>
            <w:r>
              <w:rPr>
                <w:rFonts w:hint="eastAsia" w:eastAsia="等线"/>
                <w:lang w:val="en-US"/>
              </w:rPr>
              <w:t>wait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ascii="Calibri" w:hAnsi="Calibri" w:cs="Calibri" w:eastAsiaTheme="minorEastAsia"/>
                <w:sz w:val="22"/>
                <w:szCs w:val="22"/>
                <w:lang w:val="it-IT"/>
              </w:rPr>
              <w:t>Huawei, HiSilicon</w:t>
            </w:r>
          </w:p>
        </w:tc>
        <w:tc>
          <w:tcPr>
            <w:tcW w:w="2113" w:type="dxa"/>
            <w:shd w:val="clear" w:color="auto" w:fill="auto"/>
          </w:tcPr>
          <w:p>
            <w:pPr>
              <w:rPr>
                <w:rFonts w:eastAsia="等线"/>
              </w:rPr>
            </w:pPr>
            <w:r>
              <w:rPr>
                <w:rFonts w:hint="eastAsia" w:eastAsia="等线"/>
                <w:lang w:val="en-US"/>
              </w:rPr>
              <w:t>See comment</w:t>
            </w:r>
          </w:p>
        </w:tc>
        <w:tc>
          <w:tcPr>
            <w:tcW w:w="5954" w:type="dxa"/>
            <w:shd w:val="clear" w:color="auto" w:fill="auto"/>
          </w:tcPr>
          <w:p>
            <w:pPr>
              <w:rPr>
                <w:rFonts w:eastAsia="等线"/>
              </w:rPr>
            </w:pPr>
            <w:r>
              <w:rPr>
                <w:rFonts w:hint="eastAsia" w:eastAsia="等线"/>
              </w:rPr>
              <w:t>C</w:t>
            </w:r>
            <w:r>
              <w:rPr>
                <w:rFonts w:eastAsia="等线"/>
              </w:rPr>
              <w:t>heck with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ascii="Calibri" w:hAnsi="Calibri" w:cs="Calibri" w:eastAsiaTheme="minorEastAsia"/>
                <w:sz w:val="22"/>
                <w:szCs w:val="22"/>
                <w:lang w:val="it-IT"/>
              </w:rPr>
            </w:pPr>
            <w:r>
              <w:rPr>
                <w:rFonts w:ascii="Calibri" w:hAnsi="Calibri" w:cs="Calibri" w:eastAsiaTheme="minorEastAsia"/>
                <w:sz w:val="22"/>
                <w:szCs w:val="22"/>
                <w:lang w:val="it-IT"/>
              </w:rPr>
              <w:t>Samsung</w:t>
            </w:r>
          </w:p>
        </w:tc>
        <w:tc>
          <w:tcPr>
            <w:tcW w:w="2113" w:type="dxa"/>
            <w:shd w:val="clear" w:color="auto" w:fill="auto"/>
          </w:tcPr>
          <w:p>
            <w:pPr>
              <w:rPr>
                <w:rFonts w:eastAsia="等线"/>
                <w:lang w:val="en-US"/>
              </w:rPr>
            </w:pPr>
            <w:r>
              <w:rPr>
                <w:rFonts w:eastAsia="等线"/>
                <w:lang w:val="en-US"/>
              </w:rPr>
              <w:t>Discuss Option 1</w:t>
            </w:r>
          </w:p>
        </w:tc>
        <w:tc>
          <w:tcPr>
            <w:tcW w:w="5954" w:type="dxa"/>
            <w:shd w:val="clear" w:color="auto" w:fill="auto"/>
          </w:tcPr>
          <w:p>
            <w:pPr>
              <w:rPr>
                <w:rFonts w:eastAsia="等线"/>
              </w:rPr>
            </w:pPr>
            <w:r>
              <w:rPr>
                <w:rFonts w:eastAsia="等线"/>
              </w:rPr>
              <w:t xml:space="preserve">As far as we know, RAN1 does not work a lot on turning off HARQ in the UL, so RAN2 needs to discuss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ascii="Calibri" w:hAnsi="Calibri" w:cs="Calibri" w:eastAsiaTheme="minorEastAsia"/>
                <w:sz w:val="22"/>
                <w:szCs w:val="22"/>
                <w:lang w:val="it-IT"/>
              </w:rPr>
            </w:pPr>
            <w:r>
              <w:rPr>
                <w:rFonts w:eastAsia="等线"/>
              </w:rPr>
              <w:t>Ericsson</w:t>
            </w:r>
          </w:p>
        </w:tc>
        <w:tc>
          <w:tcPr>
            <w:tcW w:w="2113" w:type="dxa"/>
            <w:shd w:val="clear" w:color="auto" w:fill="auto"/>
          </w:tcPr>
          <w:p>
            <w:pPr>
              <w:rPr>
                <w:rFonts w:eastAsia="等线"/>
                <w:lang w:val="en-US"/>
              </w:rPr>
            </w:pPr>
            <w:r>
              <w:rPr>
                <w:rFonts w:eastAsia="等线"/>
                <w:lang w:val="en-US"/>
              </w:rPr>
              <w:t>Wait RAN1 progress</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vAlign w:val="top"/>
          </w:tcPr>
          <w:p>
            <w:pPr>
              <w:rPr>
                <w:rFonts w:hint="default" w:ascii="Arial" w:hAnsi="Arial" w:eastAsia="等线" w:cs="Times New Roman"/>
                <w:lang w:val="it-IT" w:eastAsia="zh-CN" w:bidi="ar-SA"/>
              </w:rPr>
            </w:pPr>
            <w:r>
              <w:rPr>
                <w:rFonts w:hint="eastAsia" w:eastAsia="等线"/>
                <w:lang w:val="en-US" w:eastAsia="zh-CN"/>
              </w:rPr>
              <w:t>CMCC</w:t>
            </w:r>
          </w:p>
        </w:tc>
        <w:tc>
          <w:tcPr>
            <w:tcW w:w="2113" w:type="dxa"/>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Option 2</w:t>
            </w:r>
          </w:p>
        </w:tc>
        <w:tc>
          <w:tcPr>
            <w:tcW w:w="5954" w:type="dxa"/>
            <w:shd w:val="clear" w:color="auto" w:fill="auto"/>
          </w:tcPr>
          <w:p>
            <w:pPr>
              <w:rPr>
                <w:rFonts w:eastAsia="等线"/>
              </w:rPr>
            </w:pPr>
          </w:p>
        </w:tc>
      </w:tr>
    </w:tbl>
    <w:p>
      <w:pPr>
        <w:rPr>
          <w:i/>
          <w:szCs w:val="21"/>
          <w:u w:val="single"/>
        </w:rPr>
      </w:pPr>
    </w:p>
    <w:p>
      <w:pPr>
        <w:jc w:val="left"/>
        <w:rPr>
          <w:rFonts w:cs="Arial"/>
          <w:b/>
          <w:i/>
          <w:u w:val="single"/>
        </w:rPr>
      </w:pPr>
      <w:r>
        <w:rPr>
          <w:rFonts w:cs="Arial"/>
          <w:b/>
          <w:i/>
          <w:u w:val="single"/>
        </w:rPr>
        <w:t>Signalling of UL HARQ mode</w:t>
      </w:r>
    </w:p>
    <w:p>
      <w:pPr>
        <w:rPr>
          <w:szCs w:val="21"/>
        </w:rPr>
      </w:pPr>
      <w:r>
        <w:rPr>
          <w:szCs w:val="21"/>
        </w:rPr>
        <w:t>For UL HARQ mode, following contributions discussed the signalling options, e.g. RRC and/or DCI.</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cs="Arial"/>
              </w:rPr>
              <w:t xml:space="preserve">Contributions </w:t>
            </w:r>
          </w:p>
        </w:tc>
        <w:tc>
          <w:tcPr>
            <w:tcW w:w="8234" w:type="dxa"/>
          </w:tcPr>
          <w:p>
            <w:pPr>
              <w:jc w:val="left"/>
              <w:rPr>
                <w:rFonts w:cs="Arial"/>
              </w:rPr>
            </w:pPr>
            <w:r>
              <w:rPr>
                <w:rFonts w:cs="Arial"/>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6]</w:t>
            </w:r>
          </w:p>
        </w:tc>
        <w:tc>
          <w:tcPr>
            <w:tcW w:w="8234" w:type="dxa"/>
          </w:tcPr>
          <w:p>
            <w:pPr>
              <w:rPr>
                <w:bCs/>
              </w:rPr>
            </w:pPr>
            <w:r>
              <w:rPr>
                <w:bCs/>
              </w:rPr>
              <w:t>Proposal 3: The configuration for UL HARQ mode is kept simple with only option 1, i.e., per HARQ process via UE specific RRC signaling.</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7]</w:t>
            </w:r>
          </w:p>
        </w:tc>
        <w:tc>
          <w:tcPr>
            <w:tcW w:w="8234" w:type="dxa"/>
          </w:tcPr>
          <w:p>
            <w:pPr>
              <w:pStyle w:val="27"/>
            </w:pPr>
            <w:r>
              <w:t>Proposal 3: The same mechanism can be applied to configure/indicate enabling/disabling of HARQ feedback for downlink and uplink transmission, i.e. support of the configuration via RRC signaling or DCI indication per HARQ process, and support of the DCI indication to override RRC configuration.</w:t>
            </w:r>
          </w:p>
          <w:p>
            <w:pPr>
              <w:pStyle w:val="2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9]</w:t>
            </w:r>
          </w:p>
        </w:tc>
        <w:tc>
          <w:tcPr>
            <w:tcW w:w="8234" w:type="dxa"/>
          </w:tcPr>
          <w:p>
            <w:pPr>
              <w:pStyle w:val="27"/>
            </w:pPr>
            <w:r>
              <w:t>Proposal 5: RAN2 to consider whether uplink HARQ mode based on DCI should be supported.</w:t>
            </w:r>
          </w:p>
          <w:p>
            <w:pPr>
              <w:pStyle w:val="27"/>
            </w:pPr>
            <w:r>
              <w:t>If so, then:</w:t>
            </w:r>
          </w:p>
          <w:p>
            <w:pPr>
              <w:pStyle w:val="27"/>
              <w:ind w:left="600" w:leftChars="300"/>
            </w:pPr>
            <w:r>
              <w:t>Proposal 5b: Send an LS to RAN1 indicating RAN2 conclusion.</w:t>
            </w:r>
          </w:p>
          <w:p>
            <w:pPr>
              <w:pStyle w:val="27"/>
              <w:ind w:left="600" w:leftChars="300"/>
            </w:pPr>
            <w:r>
              <w:t xml:space="preserve">Proposal 5c: Specify in MAC that a HARQ process use Uplink HARQ mode A or B, based on RRC configuration or DCI indication. </w:t>
            </w:r>
          </w:p>
          <w:p>
            <w:pPr>
              <w:pStyle w:val="27"/>
              <w:ind w:left="600" w:leftChars="300"/>
            </w:pPr>
            <w:r>
              <w:t>Proposal 5d: Study whether any further changes are needed to support DCI based HARQ mode setting (E.g. timer handling, LCP restriction handling)</w:t>
            </w:r>
          </w:p>
          <w:p>
            <w:pPr>
              <w:pStyle w:val="27"/>
              <w:ind w:left="600" w:leftChars="3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11]</w:t>
            </w:r>
          </w:p>
        </w:tc>
        <w:tc>
          <w:tcPr>
            <w:tcW w:w="8234" w:type="dxa"/>
          </w:tcPr>
          <w:p>
            <w:pPr>
              <w:pStyle w:val="27"/>
            </w:pPr>
            <w:r>
              <w:t>Proposal 1:</w:t>
            </w:r>
            <w:r>
              <w:tab/>
            </w:r>
            <w:r>
              <w:t>The way of indicating enabling/disabling of UL HARQ should follow the mechanism designed for DL HARQ.</w:t>
            </w:r>
          </w:p>
          <w:p>
            <w:pPr>
              <w:pStyle w:val="27"/>
            </w:pPr>
          </w:p>
        </w:tc>
      </w:tr>
    </w:tbl>
    <w:p>
      <w:pPr>
        <w:rPr>
          <w:szCs w:val="21"/>
        </w:rPr>
      </w:pPr>
      <w:r>
        <w:rPr>
          <w:szCs w:val="21"/>
        </w:rPr>
        <w:t>The main arguments for having both RRC-based and DCI-based solutions (similar as for DL HARQ) is to have more flexibility for network control. Having RRC-based solution only is trying to be simple as mentioned in [6] that “</w:t>
      </w:r>
      <w:r>
        <w:t>RAN2 has agreed to support HARQ mode A and B for UL HARQ process but RAN1 has not yet discussed the solution on DCI-based dynamically switching the HARQ mode</w:t>
      </w:r>
      <w:r>
        <w:rPr>
          <w:szCs w:val="21"/>
        </w:rPr>
        <w:t>”.</w:t>
      </w:r>
    </w:p>
    <w:p>
      <w:pPr>
        <w:rPr>
          <w:szCs w:val="21"/>
        </w:rPr>
      </w:pPr>
    </w:p>
    <w:p>
      <w:pPr>
        <w:rPr>
          <w:rFonts w:cs="Arial"/>
          <w:b/>
        </w:rPr>
      </w:pPr>
      <w:r>
        <w:rPr>
          <w:rFonts w:cs="Arial"/>
          <w:b/>
          <w:bCs/>
        </w:rPr>
        <w:t xml:space="preserve">Question </w:t>
      </w:r>
      <w:r>
        <w:rPr>
          <w:rFonts w:cs="Arial"/>
          <w:b/>
          <w:bCs/>
          <w:lang w:val="en-US"/>
        </w:rPr>
        <w:t>11</w:t>
      </w:r>
      <w:r>
        <w:rPr>
          <w:rFonts w:cs="Arial"/>
          <w:b/>
        </w:rPr>
        <w:t>: which option do companies prefer for the signalling of UL HARQ mode?</w:t>
      </w:r>
    </w:p>
    <w:p>
      <w:pPr>
        <w:pStyle w:val="91"/>
        <w:numPr>
          <w:ilvl w:val="0"/>
          <w:numId w:val="18"/>
        </w:numPr>
        <w:rPr>
          <w:rFonts w:cs="Arial"/>
          <w:b/>
          <w:lang w:val="en-US"/>
        </w:rPr>
      </w:pPr>
      <w:r>
        <w:rPr>
          <w:rFonts w:cs="Arial"/>
          <w:b/>
          <w:lang w:val="en-US"/>
        </w:rPr>
        <w:t>Option 1: RRC only</w:t>
      </w:r>
    </w:p>
    <w:p>
      <w:pPr>
        <w:pStyle w:val="91"/>
        <w:numPr>
          <w:ilvl w:val="0"/>
          <w:numId w:val="18"/>
        </w:numPr>
        <w:rPr>
          <w:rFonts w:cs="Arial"/>
          <w:b/>
          <w:lang w:val="en-US"/>
        </w:rPr>
      </w:pPr>
      <w:r>
        <w:rPr>
          <w:rFonts w:cs="Arial"/>
          <w:b/>
          <w:lang w:val="en-US"/>
        </w:rPr>
        <w:t>Option 2: RRC and DCI</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rPr>
            </w:pPr>
            <w:r>
              <w:rPr>
                <w:b/>
              </w:rPr>
              <w:t>Option</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O</w:t>
            </w:r>
            <w:r>
              <w:rPr>
                <w:rFonts w:eastAsia="等线"/>
              </w:rPr>
              <w:t>PPO</w:t>
            </w:r>
          </w:p>
        </w:tc>
        <w:tc>
          <w:tcPr>
            <w:tcW w:w="2113" w:type="dxa"/>
            <w:shd w:val="clear" w:color="auto" w:fill="auto"/>
          </w:tcPr>
          <w:p>
            <w:pPr>
              <w:rPr>
                <w:rFonts w:eastAsia="等线"/>
              </w:rPr>
            </w:pPr>
            <w:r>
              <w:rPr>
                <w:rFonts w:hint="eastAsia" w:eastAsia="等线"/>
              </w:rPr>
              <w:t>O</w:t>
            </w:r>
            <w:r>
              <w:rPr>
                <w:rFonts w:eastAsia="等线"/>
              </w:rPr>
              <w:t>ption 1</w:t>
            </w:r>
          </w:p>
        </w:tc>
        <w:tc>
          <w:tcPr>
            <w:tcW w:w="5954" w:type="dxa"/>
            <w:shd w:val="clear" w:color="auto" w:fill="auto"/>
          </w:tcPr>
          <w:p>
            <w:pPr>
              <w:jc w:val="left"/>
              <w:rPr>
                <w:rFonts w:eastAsia="等线"/>
              </w:rPr>
            </w:pPr>
            <w:r>
              <w:rPr>
                <w:rFonts w:eastAsia="等线"/>
              </w:rPr>
              <w:t>We see no motivation to introduce DCI based configuration for UL HARQ mode. Prefer to reuse NR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CATT</w:t>
            </w:r>
          </w:p>
        </w:tc>
        <w:tc>
          <w:tcPr>
            <w:tcW w:w="2113" w:type="dxa"/>
            <w:shd w:val="clear" w:color="auto" w:fill="auto"/>
          </w:tcPr>
          <w:p>
            <w:pPr>
              <w:rPr>
                <w:rFonts w:eastAsia="等线"/>
              </w:rPr>
            </w:pPr>
          </w:p>
        </w:tc>
        <w:tc>
          <w:tcPr>
            <w:tcW w:w="5954" w:type="dxa"/>
            <w:shd w:val="clear" w:color="auto" w:fill="auto"/>
          </w:tcPr>
          <w:p>
            <w:pPr>
              <w:rPr>
                <w:rFonts w:eastAsia="等线"/>
              </w:rPr>
            </w:pPr>
            <w:r>
              <w:rPr>
                <w:rFonts w:eastAsia="等线"/>
              </w:rPr>
              <w:t>S</w:t>
            </w:r>
            <w:r>
              <w:rPr>
                <w:rFonts w:hint="eastAsia" w:eastAsia="等线"/>
              </w:rPr>
              <w:t xml:space="preserve">uggest </w:t>
            </w:r>
            <w:r>
              <w:rPr>
                <w:rFonts w:eastAsia="等线"/>
              </w:rPr>
              <w:t>confirming</w:t>
            </w:r>
            <w:r>
              <w:rPr>
                <w:rFonts w:hint="eastAsia" w:eastAsia="等线"/>
              </w:rPr>
              <w:t xml:space="preserve"> with RAN1 if there is any necessity for uplink to support DCI-based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r>
              <w:rPr>
                <w:rFonts w:eastAsia="等线"/>
              </w:rPr>
              <w:t>Option 2</w:t>
            </w:r>
          </w:p>
        </w:tc>
        <w:tc>
          <w:tcPr>
            <w:tcW w:w="5954" w:type="dxa"/>
            <w:shd w:val="clear" w:color="auto" w:fill="auto"/>
          </w:tcPr>
          <w:p>
            <w:pPr>
              <w:rPr>
                <w:rFonts w:eastAsia="等线"/>
              </w:rPr>
            </w:pPr>
            <w:r>
              <w:rPr>
                <w:rFonts w:eastAsia="等线"/>
              </w:rPr>
              <w:t>We would like to have a unified solution for both DL and UL. Furthermore, the motivation on why DCI solution should be supported for DL is appliable to UL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lang w:val="en-US"/>
              </w:rPr>
            </w:pPr>
            <w:r>
              <w:rPr>
                <w:rFonts w:hint="eastAsia" w:eastAsia="等线"/>
                <w:lang w:val="en-US"/>
              </w:rPr>
              <w:t>Xiaomi</w:t>
            </w:r>
          </w:p>
        </w:tc>
        <w:tc>
          <w:tcPr>
            <w:tcW w:w="2113" w:type="dxa"/>
            <w:shd w:val="clear" w:color="auto" w:fill="auto"/>
          </w:tcPr>
          <w:p>
            <w:pPr>
              <w:rPr>
                <w:rFonts w:eastAsia="等线"/>
                <w:lang w:val="en-US"/>
              </w:rPr>
            </w:pPr>
            <w:r>
              <w:rPr>
                <w:rFonts w:hint="eastAsia" w:eastAsia="等线"/>
                <w:lang w:val="en-US"/>
              </w:rPr>
              <w:t>Option 1</w:t>
            </w:r>
          </w:p>
        </w:tc>
        <w:tc>
          <w:tcPr>
            <w:tcW w:w="5954" w:type="dxa"/>
            <w:shd w:val="clear" w:color="auto" w:fill="auto"/>
          </w:tcPr>
          <w:p>
            <w:pPr>
              <w:rPr>
                <w:rFonts w:eastAsia="等线"/>
                <w:lang w:val="en-US"/>
              </w:rPr>
            </w:pPr>
            <w:r>
              <w:rPr>
                <w:rFonts w:hint="eastAsia" w:eastAsia="等线"/>
                <w:lang w:val="en-US"/>
              </w:rPr>
              <w:t>RAN2 can introduce option 2 only if RAN1 askes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MediaTek</w:t>
            </w:r>
          </w:p>
        </w:tc>
        <w:tc>
          <w:tcPr>
            <w:tcW w:w="2113" w:type="dxa"/>
            <w:shd w:val="clear" w:color="auto" w:fill="auto"/>
          </w:tcPr>
          <w:p>
            <w:pPr>
              <w:rPr>
                <w:rFonts w:eastAsia="等线"/>
              </w:rPr>
            </w:pPr>
            <w:r>
              <w:rPr>
                <w:rFonts w:eastAsia="等线"/>
              </w:rPr>
              <w:t>Option 1</w:t>
            </w:r>
          </w:p>
        </w:tc>
        <w:tc>
          <w:tcPr>
            <w:tcW w:w="5954" w:type="dxa"/>
            <w:shd w:val="clear" w:color="auto" w:fill="auto"/>
          </w:tcPr>
          <w:p>
            <w:pPr>
              <w:jc w:val="left"/>
              <w:rPr>
                <w:rFonts w:eastAsia="等线"/>
              </w:rPr>
            </w:pPr>
            <w:r>
              <w:rPr>
                <w:rFonts w:eastAsia="等线"/>
              </w:rPr>
              <w:t>We cannot see any user case for option 2. If HARQ mode B is configured, network predict the next UL data is important and might needs a retransmission, network can 1) send a blind retransmission UL grant right after the first UL grant. 2) wait for receiving the UL data and decide whether to retransmit the last UL data. There is no need to change the UL HARQ mode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Qualcomm</w:t>
            </w:r>
          </w:p>
        </w:tc>
        <w:tc>
          <w:tcPr>
            <w:tcW w:w="2113" w:type="dxa"/>
            <w:shd w:val="clear" w:color="auto" w:fill="auto"/>
          </w:tcPr>
          <w:p>
            <w:pPr>
              <w:rPr>
                <w:rFonts w:eastAsia="等线"/>
              </w:rPr>
            </w:pPr>
            <w:r>
              <w:rPr>
                <w:rFonts w:eastAsia="等线"/>
              </w:rPr>
              <w:t>Option 1</w:t>
            </w:r>
          </w:p>
        </w:tc>
        <w:tc>
          <w:tcPr>
            <w:tcW w:w="5954" w:type="dxa"/>
            <w:shd w:val="clear" w:color="auto" w:fill="auto"/>
          </w:tcPr>
          <w:p>
            <w:pPr>
              <w:rPr>
                <w:rFonts w:eastAsia="等线"/>
              </w:rPr>
            </w:pPr>
            <w:r>
              <w:rPr>
                <w:rFonts w:eastAsia="等线"/>
              </w:rPr>
              <w:t>There is no need of DCI-based solution in UL HARQ as network knows what to do, new transmission or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L</w:t>
            </w:r>
            <w:r>
              <w:rPr>
                <w:rFonts w:eastAsia="等线"/>
              </w:rPr>
              <w:t>enovo</w:t>
            </w:r>
          </w:p>
        </w:tc>
        <w:tc>
          <w:tcPr>
            <w:tcW w:w="2113" w:type="dxa"/>
            <w:shd w:val="clear" w:color="auto" w:fill="auto"/>
          </w:tcPr>
          <w:p>
            <w:pPr>
              <w:rPr>
                <w:rFonts w:eastAsia="等线"/>
              </w:rPr>
            </w:pPr>
            <w:r>
              <w:rPr>
                <w:rFonts w:hint="eastAsia" w:eastAsia="等线"/>
              </w:rPr>
              <w:t>O</w:t>
            </w:r>
            <w:r>
              <w:rPr>
                <w:rFonts w:eastAsia="等线"/>
              </w:rPr>
              <w:t>ption 1</w:t>
            </w:r>
          </w:p>
        </w:tc>
        <w:tc>
          <w:tcPr>
            <w:tcW w:w="5954" w:type="dxa"/>
            <w:shd w:val="clear" w:color="auto" w:fill="auto"/>
          </w:tcPr>
          <w:p>
            <w:pPr>
              <w:rPr>
                <w:rFonts w:eastAsia="等线"/>
              </w:rPr>
            </w:pPr>
            <w:r>
              <w:rPr>
                <w:rFonts w:hint="eastAsia" w:eastAsia="等线"/>
              </w:rPr>
              <w:t>I</w:t>
            </w:r>
            <w:r>
              <w:rPr>
                <w:rFonts w:eastAsia="等线"/>
              </w:rPr>
              <w:t>f RAN1 want Option 2 then RAN2 can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ascii="Calibri" w:hAnsi="Calibri" w:cs="Calibri" w:eastAsiaTheme="minorEastAsia"/>
                <w:sz w:val="22"/>
                <w:szCs w:val="22"/>
                <w:lang w:val="it-IT"/>
              </w:rPr>
              <w:t>Huawei, HiSilicon</w:t>
            </w:r>
          </w:p>
        </w:tc>
        <w:tc>
          <w:tcPr>
            <w:tcW w:w="2113" w:type="dxa"/>
            <w:shd w:val="clear" w:color="auto" w:fill="auto"/>
          </w:tcPr>
          <w:p>
            <w:pPr>
              <w:rPr>
                <w:rFonts w:eastAsia="等线"/>
              </w:rPr>
            </w:pPr>
            <w:r>
              <w:rPr>
                <w:rFonts w:eastAsia="等线"/>
                <w:lang w:val="en-US"/>
              </w:rPr>
              <w:t>Option 2</w:t>
            </w:r>
          </w:p>
        </w:tc>
        <w:tc>
          <w:tcPr>
            <w:tcW w:w="5954" w:type="dxa"/>
            <w:shd w:val="clear" w:color="auto" w:fill="auto"/>
          </w:tcPr>
          <w:p>
            <w:pPr>
              <w:rPr>
                <w:rFonts w:eastAsia="等线"/>
              </w:rPr>
            </w:pPr>
            <w:r>
              <w:rPr>
                <w:rFonts w:hint="eastAsia" w:eastAsia="等线"/>
              </w:rPr>
              <w:t>S</w:t>
            </w:r>
            <w:r>
              <w:rPr>
                <w:rFonts w:eastAsia="等线"/>
              </w:rPr>
              <w:t>ame view with Nokia. Also fine to check with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ascii="Calibri" w:hAnsi="Calibri" w:cs="Calibri" w:eastAsiaTheme="minorEastAsia"/>
                <w:sz w:val="22"/>
                <w:szCs w:val="22"/>
                <w:lang w:val="it-IT"/>
              </w:rPr>
            </w:pPr>
            <w:r>
              <w:rPr>
                <w:rFonts w:eastAsia="等线"/>
              </w:rPr>
              <w:t>Samsung</w:t>
            </w:r>
          </w:p>
        </w:tc>
        <w:tc>
          <w:tcPr>
            <w:tcW w:w="2113" w:type="dxa"/>
            <w:shd w:val="clear" w:color="auto" w:fill="auto"/>
          </w:tcPr>
          <w:p>
            <w:pPr>
              <w:rPr>
                <w:rFonts w:eastAsia="等线"/>
                <w:lang w:val="en-US"/>
              </w:rPr>
            </w:pPr>
            <w:r>
              <w:rPr>
                <w:rFonts w:eastAsia="等线"/>
              </w:rPr>
              <w:t>Option 1</w:t>
            </w:r>
          </w:p>
        </w:tc>
        <w:tc>
          <w:tcPr>
            <w:tcW w:w="5954" w:type="dxa"/>
            <w:shd w:val="clear" w:color="auto" w:fill="auto"/>
          </w:tcPr>
          <w:p>
            <w:pPr>
              <w:rPr>
                <w:rFonts w:eastAsia="等线"/>
              </w:rPr>
            </w:pPr>
            <w:r>
              <w:rPr>
                <w:rFonts w:eastAsia="等线"/>
              </w:rPr>
              <w:t xml:space="preserve">It is not as crucial as for DL, thus we would like to keep the solution simple. We see no need to check in with RAN1 to make this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Ericsson</w:t>
            </w:r>
          </w:p>
        </w:tc>
        <w:tc>
          <w:tcPr>
            <w:tcW w:w="2113" w:type="dxa"/>
            <w:shd w:val="clear" w:color="auto" w:fill="auto"/>
          </w:tcPr>
          <w:p>
            <w:pPr>
              <w:rPr>
                <w:rFonts w:eastAsia="等线"/>
              </w:rPr>
            </w:pPr>
            <w:r>
              <w:rPr>
                <w:rFonts w:eastAsia="等线"/>
              </w:rPr>
              <w:t>Option 2</w:t>
            </w:r>
          </w:p>
        </w:tc>
        <w:tc>
          <w:tcPr>
            <w:tcW w:w="5954" w:type="dxa"/>
            <w:shd w:val="clear" w:color="auto" w:fill="auto"/>
          </w:tcPr>
          <w:p>
            <w:pPr>
              <w:rPr>
                <w:rFonts w:eastAsia="等线"/>
              </w:rPr>
            </w:pPr>
            <w:r>
              <w:rPr>
                <w:rFonts w:eastAsia="等线"/>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CMCC</w:t>
            </w:r>
          </w:p>
        </w:tc>
        <w:tc>
          <w:tcPr>
            <w:tcW w:w="2113" w:type="dxa"/>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Option 2</w:t>
            </w:r>
          </w:p>
        </w:tc>
        <w:tc>
          <w:tcPr>
            <w:tcW w:w="5954" w:type="dxa"/>
            <w:shd w:val="clear" w:color="auto" w:fill="auto"/>
            <w:vAlign w:val="top"/>
          </w:tcPr>
          <w:p>
            <w:pPr>
              <w:rPr>
                <w:rFonts w:ascii="Arial" w:hAnsi="Arial" w:eastAsia="等线" w:cs="Times New Roman"/>
                <w:lang w:val="en-GB" w:eastAsia="zh-CN" w:bidi="ar-SA"/>
              </w:rPr>
            </w:pPr>
            <w:r>
              <w:rPr>
                <w:rFonts w:eastAsia="等线"/>
              </w:rPr>
              <w:t>We would like to have a unified solution for both DL and UL.</w:t>
            </w:r>
          </w:p>
        </w:tc>
      </w:tr>
    </w:tbl>
    <w:p>
      <w:pPr>
        <w:rPr>
          <w:szCs w:val="21"/>
        </w:rPr>
      </w:pPr>
    </w:p>
    <w:p>
      <w:pPr>
        <w:rPr>
          <w:szCs w:val="21"/>
        </w:rPr>
      </w:pPr>
      <w:r>
        <w:rPr>
          <w:szCs w:val="21"/>
        </w:rPr>
        <w:t>There are also some proposals in [5] about DRX impact when DCI indication overrides RRC configuration, but those can be discussed after RAN2 has made agreements on the signalling options for indicating UL HARQ mode.</w:t>
      </w:r>
    </w:p>
    <w:p>
      <w:pPr>
        <w:rPr>
          <w:szCs w:val="21"/>
        </w:rPr>
      </w:pPr>
    </w:p>
    <w:p>
      <w:pPr>
        <w:jc w:val="left"/>
        <w:rPr>
          <w:rFonts w:cs="Arial"/>
          <w:b/>
          <w:i/>
          <w:u w:val="single"/>
        </w:rPr>
      </w:pPr>
      <w:r>
        <w:rPr>
          <w:rFonts w:cs="Arial"/>
          <w:b/>
          <w:i/>
          <w:u w:val="single"/>
        </w:rPr>
        <w:t>SPS and PUR configured with HARQ mode B?</w:t>
      </w:r>
    </w:p>
    <w:p>
      <w:pPr>
        <w:jc w:val="left"/>
        <w:rPr>
          <w:rFonts w:cs="Arial"/>
        </w:rPr>
      </w:pPr>
      <w:r>
        <w:rPr>
          <w:rFonts w:cs="Arial"/>
        </w:rPr>
        <w:t>It is mentioned in [4] that when the HARQ mode B apply to SPS and PUR, it is beneficial for the purpose of blind retransmission</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cs="Arial"/>
              </w:rPr>
              <w:t xml:space="preserve">Contributions </w:t>
            </w:r>
          </w:p>
        </w:tc>
        <w:tc>
          <w:tcPr>
            <w:tcW w:w="8234" w:type="dxa"/>
          </w:tcPr>
          <w:p>
            <w:pPr>
              <w:jc w:val="left"/>
              <w:rPr>
                <w:rFonts w:cs="Arial"/>
              </w:rPr>
            </w:pPr>
            <w:r>
              <w:rPr>
                <w:rFonts w:cs="Arial"/>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4]</w:t>
            </w:r>
          </w:p>
        </w:tc>
        <w:tc>
          <w:tcPr>
            <w:tcW w:w="8234" w:type="dxa"/>
          </w:tcPr>
          <w:p>
            <w:pPr>
              <w:rPr>
                <w:bCs/>
              </w:rPr>
            </w:pPr>
            <w:r>
              <w:rPr>
                <w:bCs/>
              </w:rPr>
              <w:t>Proposal 4: UL transmission using SPS can be configured with HARQ mode B.</w:t>
            </w:r>
          </w:p>
          <w:p>
            <w:r>
              <w:rPr>
                <w:bCs/>
              </w:rPr>
              <w:t xml:space="preserve">Proposal 5: UL transmission using PUR can be configured with HARQ mode B. </w:t>
            </w:r>
          </w:p>
        </w:tc>
      </w:tr>
    </w:tbl>
    <w:p>
      <w:pPr>
        <w:rPr>
          <w:szCs w:val="21"/>
        </w:rPr>
      </w:pPr>
    </w:p>
    <w:p>
      <w:pPr>
        <w:rPr>
          <w:rFonts w:cs="Arial"/>
          <w:b/>
          <w:lang w:val="en-US"/>
        </w:rPr>
      </w:pPr>
      <w:r>
        <w:rPr>
          <w:rFonts w:cs="Arial"/>
          <w:b/>
          <w:bCs/>
        </w:rPr>
        <w:t xml:space="preserve">Question </w:t>
      </w:r>
      <w:r>
        <w:rPr>
          <w:rFonts w:cs="Arial"/>
          <w:b/>
          <w:bCs/>
          <w:lang w:val="en-US"/>
        </w:rPr>
        <w:t>12</w:t>
      </w:r>
      <w:r>
        <w:rPr>
          <w:rFonts w:cs="Arial"/>
          <w:b/>
        </w:rPr>
        <w:t>: Do com</w:t>
      </w:r>
      <w:r>
        <w:rPr>
          <w:rFonts w:cs="Arial"/>
          <w:b/>
          <w:lang w:val="en-US"/>
        </w:rPr>
        <w:t>panies agree to P4 and P5 in [4]</w:t>
      </w:r>
      <w:r>
        <w:rPr>
          <w:rFonts w:hint="eastAsia" w:cs="Arial"/>
          <w:b/>
          <w:lang w:val="en-US"/>
        </w:rPr>
        <w:t>?</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O</w:t>
            </w:r>
            <w:r>
              <w:rPr>
                <w:rFonts w:eastAsia="等线"/>
              </w:rPr>
              <w:t>PPO</w:t>
            </w:r>
          </w:p>
        </w:tc>
        <w:tc>
          <w:tcPr>
            <w:tcW w:w="2113" w:type="dxa"/>
            <w:shd w:val="clear" w:color="auto" w:fill="auto"/>
          </w:tcPr>
          <w:p>
            <w:pPr>
              <w:rPr>
                <w:rFonts w:eastAsia="等线"/>
              </w:rPr>
            </w:pPr>
            <w:r>
              <w:rPr>
                <w:rFonts w:eastAsia="等线"/>
              </w:rPr>
              <w:t>Agree</w:t>
            </w:r>
          </w:p>
        </w:tc>
        <w:tc>
          <w:tcPr>
            <w:tcW w:w="5954" w:type="dxa"/>
            <w:shd w:val="clear" w:color="auto" w:fill="auto"/>
          </w:tcPr>
          <w:p>
            <w:pPr>
              <w:jc w:val="left"/>
              <w:rPr>
                <w:rFonts w:eastAsia="等线"/>
              </w:rPr>
            </w:pPr>
            <w:r>
              <w:rPr>
                <w:rFonts w:eastAsia="等线"/>
              </w:rPr>
              <w:t>It is up to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CATT</w:t>
            </w:r>
          </w:p>
        </w:tc>
        <w:tc>
          <w:tcPr>
            <w:tcW w:w="2113" w:type="dxa"/>
            <w:shd w:val="clear" w:color="auto" w:fill="auto"/>
          </w:tcPr>
          <w:p>
            <w:pPr>
              <w:rPr>
                <w:rFonts w:eastAsia="等线"/>
              </w:rPr>
            </w:pPr>
            <w:r>
              <w:rPr>
                <w:rFonts w:eastAsia="等线"/>
              </w:rPr>
              <w:t>A</w:t>
            </w:r>
            <w:r>
              <w:rPr>
                <w:rFonts w:hint="eastAsia" w:eastAsia="等线"/>
              </w:rPr>
              <w:t xml:space="preserve">gree </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r>
              <w:rPr>
                <w:rFonts w:eastAsia="等线"/>
              </w:rPr>
              <w:t>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lang w:val="en-US"/>
              </w:rPr>
            </w:pPr>
            <w:r>
              <w:rPr>
                <w:rFonts w:hint="eastAsia" w:eastAsia="等线"/>
                <w:lang w:val="en-US"/>
              </w:rPr>
              <w:t>Xiaomi</w:t>
            </w:r>
          </w:p>
        </w:tc>
        <w:tc>
          <w:tcPr>
            <w:tcW w:w="2113" w:type="dxa"/>
            <w:shd w:val="clear" w:color="auto" w:fill="auto"/>
          </w:tcPr>
          <w:p>
            <w:pPr>
              <w:rPr>
                <w:rFonts w:eastAsia="等线"/>
                <w:lang w:val="en-US"/>
              </w:rPr>
            </w:pPr>
            <w:r>
              <w:rPr>
                <w:rFonts w:hint="eastAsia" w:eastAsia="等线"/>
                <w:lang w:val="en-US"/>
              </w:rPr>
              <w:t>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MediaTek</w:t>
            </w:r>
          </w:p>
        </w:tc>
        <w:tc>
          <w:tcPr>
            <w:tcW w:w="2113" w:type="dxa"/>
            <w:shd w:val="clear" w:color="auto" w:fill="auto"/>
          </w:tcPr>
          <w:p>
            <w:pPr>
              <w:rPr>
                <w:rFonts w:eastAsia="等线"/>
              </w:rPr>
            </w:pPr>
            <w:r>
              <w:rPr>
                <w:rFonts w:eastAsia="等线"/>
              </w:rPr>
              <w:t>Agree</w:t>
            </w: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Qualcomm</w:t>
            </w:r>
          </w:p>
        </w:tc>
        <w:tc>
          <w:tcPr>
            <w:tcW w:w="2113" w:type="dxa"/>
            <w:shd w:val="clear" w:color="auto" w:fill="auto"/>
          </w:tcPr>
          <w:p>
            <w:pPr>
              <w:rPr>
                <w:rFonts w:eastAsia="等线"/>
              </w:rPr>
            </w:pPr>
            <w:r>
              <w:rPr>
                <w:rFonts w:eastAsia="等线"/>
              </w:rPr>
              <w:t>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L</w:t>
            </w:r>
            <w:r>
              <w:rPr>
                <w:rFonts w:eastAsia="等线"/>
              </w:rPr>
              <w:t>enovo</w:t>
            </w:r>
          </w:p>
        </w:tc>
        <w:tc>
          <w:tcPr>
            <w:tcW w:w="2113" w:type="dxa"/>
            <w:shd w:val="clear" w:color="auto" w:fill="auto"/>
          </w:tcPr>
          <w:p>
            <w:pPr>
              <w:rPr>
                <w:rFonts w:eastAsia="等线"/>
              </w:rPr>
            </w:pPr>
            <w:r>
              <w:rPr>
                <w:rFonts w:hint="eastAsia" w:eastAsia="等线"/>
              </w:rPr>
              <w:t>A</w:t>
            </w:r>
            <w:r>
              <w:rPr>
                <w:rFonts w:eastAsia="等线"/>
              </w:rPr>
              <w:t>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ascii="Calibri" w:hAnsi="Calibri" w:cs="Calibri" w:eastAsiaTheme="minorEastAsia"/>
                <w:sz w:val="22"/>
                <w:szCs w:val="22"/>
                <w:lang w:val="it-IT"/>
              </w:rPr>
              <w:t>Huawei, HiSilicon</w:t>
            </w:r>
          </w:p>
        </w:tc>
        <w:tc>
          <w:tcPr>
            <w:tcW w:w="2113" w:type="dxa"/>
            <w:shd w:val="clear" w:color="auto" w:fill="auto"/>
          </w:tcPr>
          <w:p>
            <w:pPr>
              <w:rPr>
                <w:rFonts w:eastAsia="等线"/>
              </w:rPr>
            </w:pPr>
            <w:r>
              <w:rPr>
                <w:rFonts w:eastAsia="等线"/>
                <w:lang w:val="en-US"/>
              </w:rPr>
              <w:t>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ascii="Calibri" w:hAnsi="Calibri" w:cs="Calibri" w:eastAsiaTheme="minorEastAsia"/>
                <w:sz w:val="22"/>
                <w:szCs w:val="22"/>
                <w:lang w:val="it-IT"/>
              </w:rPr>
            </w:pPr>
            <w:r>
              <w:rPr>
                <w:rFonts w:eastAsia="等线"/>
              </w:rPr>
              <w:t>Samsung</w:t>
            </w:r>
          </w:p>
        </w:tc>
        <w:tc>
          <w:tcPr>
            <w:tcW w:w="2113" w:type="dxa"/>
            <w:shd w:val="clear" w:color="auto" w:fill="auto"/>
          </w:tcPr>
          <w:p>
            <w:pPr>
              <w:rPr>
                <w:rFonts w:eastAsia="等线"/>
              </w:rPr>
            </w:pPr>
            <w:r>
              <w:rPr>
                <w:rFonts w:eastAsia="等线"/>
              </w:rPr>
              <w:t xml:space="preserve">Agree with P4 </w:t>
            </w:r>
          </w:p>
          <w:p>
            <w:pPr>
              <w:rPr>
                <w:rFonts w:eastAsia="等线"/>
                <w:lang w:val="en-US"/>
              </w:rPr>
            </w:pPr>
            <w:r>
              <w:rPr>
                <w:rFonts w:eastAsia="等线"/>
              </w:rPr>
              <w:t>Not sure what the use of P5 is</w:t>
            </w:r>
          </w:p>
        </w:tc>
        <w:tc>
          <w:tcPr>
            <w:tcW w:w="5954" w:type="dxa"/>
            <w:shd w:val="clear" w:color="auto" w:fill="auto"/>
          </w:tcPr>
          <w:p>
            <w:pPr>
              <w:rPr>
                <w:rFonts w:eastAsia="等线"/>
              </w:rPr>
            </w:pPr>
            <w:r>
              <w:rPr>
                <w:rFonts w:eastAsia="等线"/>
              </w:rPr>
              <w:t xml:space="preserve">We think P4 comes slightly for free as in NR NTN. </w:t>
            </w:r>
          </w:p>
          <w:p>
            <w:pPr>
              <w:rPr>
                <w:rFonts w:eastAsia="等线"/>
              </w:rPr>
            </w:pPr>
            <w:r>
              <w:rPr>
                <w:rFonts w:eastAsia="等线"/>
              </w:rPr>
              <w:t xml:space="preserve">Enabling PUR to use HARQ mode requires us to change PUR-Config. We think more motivation of the use case is needed. PUR is already a special case of delivering a small message whereas turning off HARQ is to be able to deliver high rates. Thus the use of these two features collide and we see limited use of PUR in NTN.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Ericsson</w:t>
            </w:r>
          </w:p>
        </w:tc>
        <w:tc>
          <w:tcPr>
            <w:tcW w:w="2113" w:type="dxa"/>
            <w:shd w:val="clear" w:color="auto" w:fill="auto"/>
          </w:tcPr>
          <w:p>
            <w:pPr>
              <w:rPr>
                <w:rFonts w:eastAsia="等线"/>
              </w:rPr>
            </w:pPr>
            <w:r>
              <w:rPr>
                <w:rFonts w:eastAsia="等线"/>
              </w:rPr>
              <w:t>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CMCC</w:t>
            </w:r>
          </w:p>
        </w:tc>
        <w:tc>
          <w:tcPr>
            <w:tcW w:w="2113" w:type="dxa"/>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Agree</w:t>
            </w:r>
          </w:p>
        </w:tc>
        <w:tc>
          <w:tcPr>
            <w:tcW w:w="5954" w:type="dxa"/>
            <w:shd w:val="clear" w:color="auto" w:fill="auto"/>
          </w:tcPr>
          <w:p>
            <w:pPr>
              <w:rPr>
                <w:rFonts w:eastAsia="等线"/>
              </w:rPr>
            </w:pPr>
          </w:p>
        </w:tc>
      </w:tr>
    </w:tbl>
    <w:p>
      <w:pPr>
        <w:rPr>
          <w:szCs w:val="21"/>
        </w:rPr>
      </w:pPr>
    </w:p>
    <w:p>
      <w:pPr>
        <w:jc w:val="left"/>
        <w:rPr>
          <w:rFonts w:cs="Arial"/>
          <w:b/>
          <w:i/>
          <w:u w:val="single"/>
        </w:rPr>
      </w:pPr>
      <w:r>
        <w:rPr>
          <w:rFonts w:cs="Arial"/>
          <w:b/>
          <w:i/>
          <w:u w:val="single"/>
        </w:rPr>
        <w:t>UL HARQ ACK feedback</w:t>
      </w:r>
    </w:p>
    <w:p>
      <w:pPr>
        <w:pStyle w:val="27"/>
        <w:spacing w:after="156" w:afterLines="50" w:line="280" w:lineRule="exact"/>
        <w:rPr>
          <w:rFonts w:eastAsiaTheme="minorEastAsia"/>
          <w:szCs w:val="22"/>
        </w:rPr>
      </w:pPr>
      <w:r>
        <w:rPr>
          <w:rFonts w:eastAsiaTheme="minorEastAsia"/>
          <w:szCs w:val="22"/>
        </w:rPr>
        <w:t>In [5], following proposal is mentioned.</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cs="Arial"/>
              </w:rPr>
              <w:t xml:space="preserve">Contributions </w:t>
            </w:r>
          </w:p>
        </w:tc>
        <w:tc>
          <w:tcPr>
            <w:tcW w:w="8234" w:type="dxa"/>
          </w:tcPr>
          <w:p>
            <w:pPr>
              <w:jc w:val="left"/>
              <w:rPr>
                <w:rFonts w:cs="Arial"/>
              </w:rPr>
            </w:pPr>
            <w:r>
              <w:rPr>
                <w:rFonts w:cs="Arial"/>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5]</w:t>
            </w:r>
          </w:p>
        </w:tc>
        <w:tc>
          <w:tcPr>
            <w:tcW w:w="8234" w:type="dxa"/>
          </w:tcPr>
          <w:p>
            <w:pPr>
              <w:rPr>
                <w:bCs/>
              </w:rPr>
            </w:pPr>
            <w:r>
              <w:rPr>
                <w:rFonts w:hint="eastAsia"/>
                <w:bCs/>
              </w:rPr>
              <w:t xml:space="preserve">Proposal 7: For eMTC NTN, it </w:t>
            </w:r>
            <w:r>
              <w:rPr>
                <w:bCs/>
              </w:rPr>
              <w:t>can be left to e</w:t>
            </w:r>
            <w:r>
              <w:rPr>
                <w:rFonts w:hint="eastAsia"/>
                <w:bCs/>
              </w:rPr>
              <w:t>NB</w:t>
            </w:r>
            <w:r>
              <w:rPr>
                <w:bCs/>
              </w:rPr>
              <w:t>’</w:t>
            </w:r>
            <w:r>
              <w:rPr>
                <w:rFonts w:hint="eastAsia"/>
                <w:bCs/>
              </w:rPr>
              <w:t>s</w:t>
            </w:r>
            <w:r>
              <w:rPr>
                <w:bCs/>
              </w:rPr>
              <w:t xml:space="preserve"> implementation </w:t>
            </w:r>
            <w:r>
              <w:rPr>
                <w:rFonts w:hint="eastAsia"/>
                <w:bCs/>
              </w:rPr>
              <w:t>to enable HARQ feedback if mpdcch-UL-HARQ-ACK-FeedbackConfig is configured</w:t>
            </w:r>
            <w:r>
              <w:rPr>
                <w:bCs/>
              </w:rPr>
              <w:t>.</w:t>
            </w:r>
          </w:p>
        </w:tc>
      </w:tr>
    </w:tbl>
    <w:p>
      <w:pPr>
        <w:pStyle w:val="27"/>
        <w:spacing w:after="156" w:afterLines="50" w:line="280" w:lineRule="exact"/>
        <w:rPr>
          <w:rFonts w:eastAsiaTheme="minorEastAsia"/>
          <w:szCs w:val="22"/>
        </w:rPr>
      </w:pPr>
    </w:p>
    <w:p>
      <w:pPr>
        <w:rPr>
          <w:rFonts w:cs="Arial"/>
          <w:b/>
          <w:lang w:val="en-US"/>
        </w:rPr>
      </w:pPr>
      <w:r>
        <w:rPr>
          <w:rFonts w:cs="Arial"/>
          <w:b/>
          <w:bCs/>
        </w:rPr>
        <w:t xml:space="preserve">Question </w:t>
      </w:r>
      <w:r>
        <w:rPr>
          <w:rFonts w:cs="Arial"/>
          <w:b/>
          <w:bCs/>
          <w:lang w:val="en-US"/>
        </w:rPr>
        <w:t>13</w:t>
      </w:r>
      <w:r>
        <w:rPr>
          <w:rFonts w:cs="Arial"/>
          <w:b/>
        </w:rPr>
        <w:t>: Do com</w:t>
      </w:r>
      <w:r>
        <w:rPr>
          <w:rFonts w:cs="Arial"/>
          <w:b/>
          <w:lang w:val="en-US"/>
        </w:rPr>
        <w:t>panies agree to P7 in [5]</w:t>
      </w:r>
      <w:r>
        <w:rPr>
          <w:rFonts w:hint="eastAsia" w:cs="Arial"/>
          <w:b/>
          <w:lang w:val="en-US"/>
        </w:rPr>
        <w:t>?</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O</w:t>
            </w:r>
            <w:r>
              <w:rPr>
                <w:rFonts w:eastAsia="等线"/>
              </w:rPr>
              <w:t>PPO</w:t>
            </w:r>
          </w:p>
        </w:tc>
        <w:tc>
          <w:tcPr>
            <w:tcW w:w="2113" w:type="dxa"/>
            <w:shd w:val="clear" w:color="auto" w:fill="auto"/>
          </w:tcPr>
          <w:p>
            <w:pPr>
              <w:rPr>
                <w:rFonts w:eastAsia="等线"/>
              </w:rPr>
            </w:pPr>
            <w:r>
              <w:rPr>
                <w:rFonts w:hint="eastAsia" w:eastAsia="等线"/>
              </w:rPr>
              <w:t>A</w:t>
            </w:r>
            <w:r>
              <w:rPr>
                <w:rFonts w:eastAsia="等线"/>
              </w:rPr>
              <w:t>gree</w:t>
            </w: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CATT</w:t>
            </w:r>
          </w:p>
        </w:tc>
        <w:tc>
          <w:tcPr>
            <w:tcW w:w="2113" w:type="dxa"/>
            <w:shd w:val="clear" w:color="auto" w:fill="auto"/>
          </w:tcPr>
          <w:p>
            <w:pPr>
              <w:rPr>
                <w:rFonts w:eastAsia="等线"/>
              </w:rPr>
            </w:pPr>
            <w:r>
              <w:rPr>
                <w:rFonts w:eastAsia="等线"/>
              </w:rPr>
              <w:t>S</w:t>
            </w:r>
            <w:r>
              <w:rPr>
                <w:rFonts w:hint="eastAsia" w:eastAsia="等线"/>
              </w:rPr>
              <w:t>ee the comments</w:t>
            </w:r>
          </w:p>
        </w:tc>
        <w:tc>
          <w:tcPr>
            <w:tcW w:w="5954" w:type="dxa"/>
            <w:shd w:val="clear" w:color="auto" w:fill="auto"/>
          </w:tcPr>
          <w:p>
            <w:pPr>
              <w:rPr>
                <w:rFonts w:eastAsia="等线"/>
              </w:rPr>
            </w:pPr>
            <w:r>
              <w:rPr>
                <w:rFonts w:eastAsia="等线"/>
              </w:rPr>
              <w:t>A</w:t>
            </w:r>
            <w:r>
              <w:rPr>
                <w:rFonts w:hint="eastAsia" w:eastAsia="等线"/>
              </w:rPr>
              <w:t xml:space="preserve">gree the intention, but maybe the </w:t>
            </w:r>
            <w:r>
              <w:rPr>
                <w:rFonts w:eastAsia="等线"/>
              </w:rPr>
              <w:t>proposal</w:t>
            </w:r>
            <w:r>
              <w:rPr>
                <w:rFonts w:hint="eastAsia" w:eastAsia="等线"/>
              </w:rPr>
              <w:t xml:space="preserve"> should be:</w:t>
            </w:r>
          </w:p>
          <w:p>
            <w:pPr>
              <w:rPr>
                <w:rFonts w:eastAsia="等线"/>
              </w:rPr>
            </w:pPr>
            <w:r>
              <w:rPr>
                <w:rFonts w:hint="eastAsia"/>
                <w:bCs/>
              </w:rPr>
              <w:t xml:space="preserve">Proposal 7: For eMTC NTN, it </w:t>
            </w:r>
            <w:r>
              <w:rPr>
                <w:bCs/>
              </w:rPr>
              <w:t>can be left to e</w:t>
            </w:r>
            <w:r>
              <w:rPr>
                <w:rFonts w:hint="eastAsia"/>
                <w:bCs/>
              </w:rPr>
              <w:t>NB</w:t>
            </w:r>
            <w:r>
              <w:rPr>
                <w:bCs/>
              </w:rPr>
              <w:t>’</w:t>
            </w:r>
            <w:r>
              <w:rPr>
                <w:rFonts w:hint="eastAsia"/>
                <w:bCs/>
              </w:rPr>
              <w:t>s</w:t>
            </w:r>
            <w:r>
              <w:rPr>
                <w:bCs/>
              </w:rPr>
              <w:t xml:space="preserve"> implementation </w:t>
            </w:r>
            <w:r>
              <w:rPr>
                <w:rFonts w:hint="eastAsia"/>
                <w:bCs/>
              </w:rPr>
              <w:t xml:space="preserve">to </w:t>
            </w:r>
            <w:r>
              <w:rPr>
                <w:rFonts w:hint="eastAsia"/>
                <w:bCs/>
                <w:strike/>
                <w:color w:val="FF0000"/>
              </w:rPr>
              <w:t>enable</w:t>
            </w:r>
            <w:r>
              <w:rPr>
                <w:rFonts w:hint="eastAsia"/>
                <w:bCs/>
              </w:rPr>
              <w:t xml:space="preserve"> </w:t>
            </w:r>
            <w:r>
              <w:rPr>
                <w:rFonts w:hint="eastAsia"/>
                <w:bCs/>
                <w:color w:val="FF0000"/>
              </w:rPr>
              <w:t>disable</w:t>
            </w:r>
            <w:r>
              <w:rPr>
                <w:rFonts w:hint="eastAsia"/>
                <w:bCs/>
              </w:rPr>
              <w:t xml:space="preserve"> HARQ feedback if mpdcch-UL-HARQ-ACK-FeedbackConfig is configured</w:t>
            </w:r>
            <w:r>
              <w:rPr>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p>
        </w:tc>
        <w:tc>
          <w:tcPr>
            <w:tcW w:w="5954" w:type="dxa"/>
            <w:shd w:val="clear" w:color="auto" w:fill="auto"/>
          </w:tcPr>
          <w:p>
            <w:pPr>
              <w:rPr>
                <w:rFonts w:eastAsia="等线"/>
              </w:rPr>
            </w:pPr>
            <w:r>
              <w:rPr>
                <w:rFonts w:eastAsia="等线"/>
              </w:rPr>
              <w:t xml:space="preserve">We are not sure the issue is valid since the early termination for PUSCH repetition relies on the PDCCH-based Ack in DL instead of HARQ feedback in 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lang w:val="en-US"/>
              </w:rPr>
            </w:pPr>
            <w:r>
              <w:rPr>
                <w:rFonts w:hint="eastAsia" w:eastAsia="等线"/>
                <w:lang w:val="en-US"/>
              </w:rPr>
              <w:t>Xiaomi</w:t>
            </w:r>
          </w:p>
        </w:tc>
        <w:tc>
          <w:tcPr>
            <w:tcW w:w="2113" w:type="dxa"/>
            <w:shd w:val="clear" w:color="auto" w:fill="auto"/>
          </w:tcPr>
          <w:p>
            <w:pPr>
              <w:rPr>
                <w:rFonts w:eastAsia="等线"/>
                <w:lang w:val="en-US"/>
              </w:rPr>
            </w:pPr>
            <w:r>
              <w:rPr>
                <w:rFonts w:hint="eastAsia" w:eastAsia="等线"/>
                <w:lang w:val="en-US"/>
              </w:rPr>
              <w:t>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MediaTek</w:t>
            </w:r>
          </w:p>
        </w:tc>
        <w:tc>
          <w:tcPr>
            <w:tcW w:w="2113" w:type="dxa"/>
            <w:shd w:val="clear" w:color="auto" w:fill="auto"/>
          </w:tcPr>
          <w:p>
            <w:pPr>
              <w:rPr>
                <w:rFonts w:eastAsia="等线"/>
              </w:rPr>
            </w:pPr>
            <w:r>
              <w:rPr>
                <w:rFonts w:eastAsia="等线"/>
              </w:rPr>
              <w:t>Agree</w:t>
            </w: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Qualcomm</w:t>
            </w:r>
          </w:p>
        </w:tc>
        <w:tc>
          <w:tcPr>
            <w:tcW w:w="2113" w:type="dxa"/>
            <w:shd w:val="clear" w:color="auto" w:fill="auto"/>
          </w:tcPr>
          <w:p>
            <w:pPr>
              <w:rPr>
                <w:rFonts w:eastAsia="等线"/>
              </w:rPr>
            </w:pPr>
            <w:r>
              <w:rPr>
                <w:rFonts w:eastAsia="等线"/>
              </w:rPr>
              <w:t>No spec impact</w:t>
            </w:r>
          </w:p>
        </w:tc>
        <w:tc>
          <w:tcPr>
            <w:tcW w:w="5954" w:type="dxa"/>
            <w:shd w:val="clear" w:color="auto" w:fill="auto"/>
          </w:tcPr>
          <w:p>
            <w:pPr>
              <w:rPr>
                <w:rFonts w:eastAsia="等线"/>
              </w:rPr>
            </w:pPr>
            <w:r>
              <w:rPr>
                <w:rFonts w:eastAsia="等线"/>
              </w:rPr>
              <w:t xml:space="preserve">There is nothing needs to be done. It is up to network whether it will send feedback in DL to UE or not. Regardless of HARQ mode, network can decide whether UE needs to terminate PUSCH transmission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L</w:t>
            </w:r>
            <w:r>
              <w:rPr>
                <w:rFonts w:eastAsia="等线"/>
              </w:rPr>
              <w:t>enovo</w:t>
            </w:r>
          </w:p>
        </w:tc>
        <w:tc>
          <w:tcPr>
            <w:tcW w:w="2113" w:type="dxa"/>
            <w:shd w:val="clear" w:color="auto" w:fill="auto"/>
          </w:tcPr>
          <w:p>
            <w:pPr>
              <w:rPr>
                <w:rFonts w:eastAsia="等线"/>
              </w:rPr>
            </w:pPr>
            <w:r>
              <w:rPr>
                <w:rFonts w:hint="eastAsia" w:eastAsia="等线"/>
              </w:rPr>
              <w:t>A</w:t>
            </w:r>
            <w:r>
              <w:rPr>
                <w:rFonts w:eastAsia="等线"/>
              </w:rPr>
              <w:t>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ascii="Calibri" w:hAnsi="Calibri" w:cs="Calibri" w:eastAsiaTheme="minorEastAsia"/>
                <w:sz w:val="22"/>
                <w:szCs w:val="22"/>
                <w:lang w:val="it-IT"/>
              </w:rPr>
              <w:t>Huawei, HiSilicon</w:t>
            </w:r>
          </w:p>
        </w:tc>
        <w:tc>
          <w:tcPr>
            <w:tcW w:w="2113" w:type="dxa"/>
            <w:shd w:val="clear" w:color="auto" w:fill="auto"/>
          </w:tcPr>
          <w:p>
            <w:pPr>
              <w:rPr>
                <w:rFonts w:eastAsia="等线"/>
              </w:rPr>
            </w:pPr>
            <w:r>
              <w:rPr>
                <w:rFonts w:eastAsia="等线"/>
                <w:lang w:val="en-US"/>
              </w:rPr>
              <w:t>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ascii="Calibri" w:hAnsi="Calibri" w:cs="Calibri" w:eastAsiaTheme="minorEastAsia"/>
                <w:sz w:val="22"/>
                <w:szCs w:val="22"/>
                <w:lang w:val="it-IT"/>
              </w:rPr>
            </w:pPr>
            <w:r>
              <w:rPr>
                <w:rFonts w:ascii="Calibri" w:hAnsi="Calibri" w:cs="Calibri" w:eastAsiaTheme="minorEastAsia"/>
                <w:sz w:val="22"/>
                <w:szCs w:val="22"/>
                <w:lang w:val="it-IT"/>
              </w:rPr>
              <w:t>Samsung</w:t>
            </w:r>
          </w:p>
        </w:tc>
        <w:tc>
          <w:tcPr>
            <w:tcW w:w="2113" w:type="dxa"/>
            <w:shd w:val="clear" w:color="auto" w:fill="auto"/>
          </w:tcPr>
          <w:p>
            <w:pPr>
              <w:rPr>
                <w:rFonts w:eastAsia="等线"/>
                <w:lang w:val="en-US"/>
              </w:rPr>
            </w:pPr>
            <w:r>
              <w:rPr>
                <w:rFonts w:eastAsia="等线"/>
                <w:lang w:val="en-US"/>
              </w:rPr>
              <w:t>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ascii="Calibri" w:hAnsi="Calibri" w:cs="Calibri" w:eastAsiaTheme="minorEastAsia"/>
                <w:sz w:val="22"/>
                <w:szCs w:val="22"/>
                <w:lang w:val="it-IT"/>
              </w:rPr>
            </w:pPr>
            <w:r>
              <w:rPr>
                <w:rFonts w:eastAsia="等线"/>
              </w:rPr>
              <w:t>Ericsson</w:t>
            </w:r>
          </w:p>
        </w:tc>
        <w:tc>
          <w:tcPr>
            <w:tcW w:w="2113" w:type="dxa"/>
            <w:shd w:val="clear" w:color="auto" w:fill="auto"/>
          </w:tcPr>
          <w:p>
            <w:pPr>
              <w:rPr>
                <w:rFonts w:eastAsia="等线"/>
                <w:lang w:val="en-US"/>
              </w:rPr>
            </w:pPr>
            <w:r>
              <w:rPr>
                <w:rFonts w:eastAsia="等线"/>
              </w:rPr>
              <w:t>Disagree</w:t>
            </w:r>
          </w:p>
        </w:tc>
        <w:tc>
          <w:tcPr>
            <w:tcW w:w="5954" w:type="dxa"/>
            <w:shd w:val="clear" w:color="auto" w:fill="auto"/>
          </w:tcPr>
          <w:p>
            <w:pPr>
              <w:rPr>
                <w:rFonts w:eastAsia="等线"/>
              </w:rPr>
            </w:pPr>
            <w:r>
              <w:t>Agree this is an issue, but solution is that the UE shall not start/restart drx-ULRetransmissionTimer in case HARQ mode B is configured for the HARQ process and UL HARQ -ACK feedback has not been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vAlign w:val="top"/>
          </w:tcPr>
          <w:p>
            <w:pPr>
              <w:rPr>
                <w:rFonts w:hint="default" w:ascii="Arial" w:hAnsi="Arial" w:eastAsia="等线" w:cs="Times New Roman"/>
                <w:lang w:val="it-IT" w:eastAsia="zh-CN" w:bidi="ar-SA"/>
              </w:rPr>
            </w:pPr>
            <w:r>
              <w:rPr>
                <w:rFonts w:hint="eastAsia" w:eastAsia="等线"/>
                <w:lang w:val="en-US" w:eastAsia="zh-CN"/>
              </w:rPr>
              <w:t>CMCC</w:t>
            </w:r>
          </w:p>
        </w:tc>
        <w:tc>
          <w:tcPr>
            <w:tcW w:w="2113" w:type="dxa"/>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Agree</w:t>
            </w:r>
          </w:p>
        </w:tc>
        <w:tc>
          <w:tcPr>
            <w:tcW w:w="5954" w:type="dxa"/>
            <w:shd w:val="clear" w:color="auto" w:fill="auto"/>
          </w:tcPr>
          <w:p>
            <w:pPr>
              <w:rPr>
                <w:rFonts w:eastAsia="等线"/>
              </w:rPr>
            </w:pPr>
          </w:p>
        </w:tc>
      </w:tr>
    </w:tbl>
    <w:p>
      <w:pPr>
        <w:pStyle w:val="27"/>
        <w:spacing w:after="156" w:afterLines="50" w:line="280" w:lineRule="exact"/>
        <w:rPr>
          <w:rFonts w:eastAsiaTheme="minorEastAsia"/>
          <w:szCs w:val="22"/>
        </w:rPr>
      </w:pPr>
    </w:p>
    <w:p>
      <w:pPr>
        <w:rPr>
          <w:szCs w:val="21"/>
        </w:rPr>
      </w:pPr>
    </w:p>
    <w:p>
      <w:pPr>
        <w:jc w:val="left"/>
        <w:rPr>
          <w:rFonts w:cs="Arial"/>
          <w:b/>
          <w:i/>
          <w:u w:val="single"/>
        </w:rPr>
      </w:pPr>
      <w:r>
        <w:rPr>
          <w:rFonts w:cs="Arial"/>
          <w:b/>
          <w:i/>
          <w:u w:val="single"/>
        </w:rPr>
        <w:t>TA report transmission issue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95" w:type="dxa"/>
          </w:tcPr>
          <w:p>
            <w:pPr>
              <w:jc w:val="left"/>
              <w:rPr>
                <w:rFonts w:cs="Arial"/>
              </w:rPr>
            </w:pPr>
            <w:r>
              <w:rPr>
                <w:rFonts w:cs="Arial"/>
              </w:rPr>
              <w:t xml:space="preserve">Contributions </w:t>
            </w:r>
          </w:p>
        </w:tc>
        <w:tc>
          <w:tcPr>
            <w:tcW w:w="8234" w:type="dxa"/>
          </w:tcPr>
          <w:p>
            <w:pPr>
              <w:jc w:val="left"/>
              <w:rPr>
                <w:rFonts w:cs="Arial"/>
              </w:rPr>
            </w:pPr>
            <w:r>
              <w:rPr>
                <w:rFonts w:cs="Arial"/>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8]</w:t>
            </w:r>
          </w:p>
        </w:tc>
        <w:tc>
          <w:tcPr>
            <w:tcW w:w="8234" w:type="dxa"/>
          </w:tcPr>
          <w:p>
            <w:pPr>
              <w:rPr>
                <w:bCs/>
              </w:rPr>
            </w:pPr>
            <w:r>
              <w:rPr>
                <w:bCs/>
              </w:rPr>
              <w:t>Observation 1: The eNB may maintain an outdated Timing Advance information if the TAR MAC CE was not transmitted to eNB successfully, especially when the MAC CE was transmitted in UL HARQ Mode B.</w:t>
            </w:r>
          </w:p>
          <w:p>
            <w:pPr>
              <w:rPr>
                <w:bCs/>
              </w:rPr>
            </w:pPr>
            <w:r>
              <w:rPr>
                <w:bCs/>
              </w:rPr>
              <w:t>Observation 2: The outdated Koffset will be used by UE for PUSCH transmission if the eNB maintain an outdated Timing Advance information.</w:t>
            </w:r>
          </w:p>
          <w:p>
            <w:pPr>
              <w:rPr>
                <w:bCs/>
              </w:rPr>
            </w:pPr>
            <w:r>
              <w:rPr>
                <w:bCs/>
              </w:rPr>
              <w:t>Observation 3: The outdated Koffset may cause PUSCH transmission failure in eMTC NTN.</w:t>
            </w:r>
          </w:p>
          <w:p>
            <w:pPr>
              <w:rPr>
                <w:bCs/>
              </w:rPr>
            </w:pPr>
            <w:r>
              <w:rPr>
                <w:bCs/>
              </w:rPr>
              <w:t>Proposal 1: RAN2 confirm that, if NR NTN solution is reused by eMTC NTN in which the LCP restriction based on allowed HARQ mode is not applicable for TAR MAC CE, the UE may suffer from PUSCH transmission failure.</w:t>
            </w:r>
          </w:p>
          <w:p>
            <w:r>
              <w:rPr>
                <w:bCs/>
              </w:rPr>
              <w:t>Proposal 2:  Enhancements on TAR MAC CE transmission should be considered for eMTC NTN to avoid or mitigate the outdated TA and Koffset impact.</w:t>
            </w:r>
          </w:p>
        </w:tc>
      </w:tr>
    </w:tbl>
    <w:p>
      <w:pPr>
        <w:rPr>
          <w:lang w:val="en-US"/>
        </w:rPr>
      </w:pPr>
      <w:r>
        <w:rPr>
          <w:szCs w:val="21"/>
        </w:rPr>
        <w:t xml:space="preserve">It is also mentioned in [8] that </w:t>
      </w:r>
      <w:r>
        <w:t xml:space="preserve">the relevant issue was discussed for NR NTN in late stage of Rel-17 while </w:t>
      </w:r>
      <w:r>
        <w:rPr>
          <w:lang w:val="en-US"/>
        </w:rPr>
        <w:t>the solution was not concluded due to time limitation. Therefore, the issue was not resolved in NR NTN as well.</w:t>
      </w:r>
    </w:p>
    <w:p>
      <w:pPr>
        <w:rPr>
          <w:szCs w:val="21"/>
        </w:rPr>
      </w:pPr>
    </w:p>
    <w:p>
      <w:pPr>
        <w:rPr>
          <w:rFonts w:cs="Arial"/>
          <w:b/>
          <w:lang w:val="en-US"/>
        </w:rPr>
      </w:pPr>
      <w:r>
        <w:rPr>
          <w:rFonts w:cs="Arial"/>
          <w:b/>
          <w:bCs/>
        </w:rPr>
        <w:t xml:space="preserve">Question </w:t>
      </w:r>
      <w:r>
        <w:rPr>
          <w:rFonts w:cs="Arial"/>
          <w:b/>
          <w:bCs/>
          <w:lang w:val="en-US"/>
        </w:rPr>
        <w:t>14</w:t>
      </w:r>
      <w:r>
        <w:rPr>
          <w:rFonts w:cs="Arial"/>
          <w:b/>
        </w:rPr>
        <w:t>: Do com</w:t>
      </w:r>
      <w:r>
        <w:rPr>
          <w:rFonts w:cs="Arial"/>
          <w:b/>
          <w:lang w:val="en-US"/>
        </w:rPr>
        <w:t>panies agree to P1 and P2 in [8]</w:t>
      </w:r>
      <w:r>
        <w:rPr>
          <w:rFonts w:hint="eastAsia" w:cs="Arial"/>
          <w:b/>
          <w:lang w:val="en-US"/>
        </w:rPr>
        <w:t>?</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O</w:t>
            </w:r>
            <w:r>
              <w:rPr>
                <w:rFonts w:eastAsia="等线"/>
              </w:rPr>
              <w:t>PPO</w:t>
            </w:r>
          </w:p>
        </w:tc>
        <w:tc>
          <w:tcPr>
            <w:tcW w:w="2113" w:type="dxa"/>
            <w:shd w:val="clear" w:color="auto" w:fill="auto"/>
          </w:tcPr>
          <w:p>
            <w:pPr>
              <w:rPr>
                <w:rFonts w:eastAsia="等线"/>
              </w:rPr>
            </w:pPr>
            <w:r>
              <w:rPr>
                <w:rFonts w:hint="eastAsia" w:eastAsia="等线"/>
              </w:rPr>
              <w:t>D</w:t>
            </w:r>
            <w:r>
              <w:rPr>
                <w:rFonts w:eastAsia="等线"/>
              </w:rPr>
              <w:t>isagree</w:t>
            </w:r>
          </w:p>
        </w:tc>
        <w:tc>
          <w:tcPr>
            <w:tcW w:w="5954" w:type="dxa"/>
            <w:shd w:val="clear" w:color="auto" w:fill="auto"/>
          </w:tcPr>
          <w:p>
            <w:pPr>
              <w:jc w:val="left"/>
              <w:rPr>
                <w:rFonts w:eastAsia="等线"/>
              </w:rPr>
            </w:pPr>
            <w:r>
              <w:rPr>
                <w:rFonts w:eastAsia="等线"/>
              </w:rPr>
              <w:t>Prefer to follow NR. We see no strong need for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CATT</w:t>
            </w:r>
          </w:p>
        </w:tc>
        <w:tc>
          <w:tcPr>
            <w:tcW w:w="2113" w:type="dxa"/>
            <w:shd w:val="clear" w:color="auto" w:fill="auto"/>
          </w:tcPr>
          <w:p>
            <w:pPr>
              <w:rPr>
                <w:rFonts w:eastAsia="等线"/>
              </w:rPr>
            </w:pPr>
            <w:r>
              <w:rPr>
                <w:rFonts w:hint="eastAsia" w:eastAsia="等线"/>
              </w:rPr>
              <w:t>Disagree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r>
              <w:rPr>
                <w:rFonts w:eastAsia="等线"/>
              </w:rPr>
              <w:t>Agree (</w:t>
            </w:r>
            <w:r>
              <w:rPr>
                <w:bCs/>
              </w:rPr>
              <w:t>Proponent</w:t>
            </w:r>
            <w:r>
              <w:rPr>
                <w:rFonts w:eastAsia="等线"/>
              </w:rPr>
              <w:t>)</w:t>
            </w:r>
          </w:p>
        </w:tc>
        <w:tc>
          <w:tcPr>
            <w:tcW w:w="5954" w:type="dxa"/>
            <w:shd w:val="clear" w:color="auto" w:fill="auto"/>
          </w:tcPr>
          <w:p>
            <w:pPr>
              <w:jc w:val="left"/>
              <w:rPr>
                <w:bCs/>
              </w:rPr>
            </w:pPr>
            <w:r>
              <w:rPr>
                <w:bCs/>
              </w:rPr>
              <w:t xml:space="preserve">Indeed, the issue was discussed but not concluded for NR NTN due to time limitation in the late stage of Rel-17. We propose to discuss the issue now in Rel-18 since it may result in PUSCH transmission failure and waste system resource in vain because of TA Report transmission error.  </w:t>
            </w:r>
          </w:p>
          <w:p>
            <w:pPr>
              <w:jc w:val="left"/>
              <w:rPr>
                <w:rFonts w:eastAsia="等线"/>
              </w:rPr>
            </w:pPr>
            <w:r>
              <w:rPr>
                <w:bCs/>
              </w:rPr>
              <w:t>The typical case is that, when</w:t>
            </w:r>
            <w:r>
              <w:rPr>
                <w:rFonts w:eastAsia="等线"/>
              </w:rPr>
              <w:t xml:space="preserve"> the UE’s TA is increased due to the increase of UE-Satellite-eNB distance, the UE may trigger a TA report to update the latest TA to NW. However, if the TAR MAC CE was not transmitted to eNB successfully (</w:t>
            </w:r>
            <w:r>
              <w:rPr>
                <w:rFonts w:eastAsia="等线"/>
                <w:i/>
                <w:iCs/>
              </w:rPr>
              <w:t>e.g. due to MAC CE transmission in HARQ Mode B and MAC CE has no RLC retx</w:t>
            </w:r>
            <w:r>
              <w:rPr>
                <w:rFonts w:eastAsia="等线"/>
              </w:rPr>
              <w:t xml:space="preserve">), the eNB would not know TA is updated/increased in UE hence the outdated TA is maintained in eNB. Therefore, the eNB has no way to update/increase its Koffset based on the outdated TA.  In the end, when the </w:t>
            </w:r>
            <w:r>
              <w:rPr>
                <w:rFonts w:eastAsia="等线"/>
                <w:i/>
                <w:iCs/>
                <w:u w:val="single"/>
              </w:rPr>
              <w:t>UE’s actual TA</w:t>
            </w:r>
            <w:r>
              <w:rPr>
                <w:rFonts w:eastAsia="等线"/>
              </w:rPr>
              <w:t xml:space="preserve"> is larger than (</w:t>
            </w:r>
            <w:r>
              <w:rPr>
                <w:rFonts w:eastAsia="等线"/>
                <w:i/>
                <w:iCs/>
                <w:u w:val="single"/>
              </w:rPr>
              <w:t>UE's outdated Koffset + 4 - UE's UL processing delay</w:t>
            </w:r>
            <w:r>
              <w:rPr>
                <w:rFonts w:eastAsia="等线"/>
              </w:rPr>
              <w:t xml:space="preserve">), the UE cannot perform UL transmission at all due to not enough processing time in UE in between PDCCH grant and the corresponding PUSCH transmission. </w:t>
            </w:r>
          </w:p>
          <w:p>
            <w:pPr>
              <w:rPr>
                <w:rFonts w:eastAsia="等线"/>
              </w:rPr>
            </w:pPr>
            <w:r>
              <w:rPr>
                <w:rFonts w:eastAsia="等线"/>
              </w:rPr>
              <w:t xml:space="preserve">Furthermore, </w:t>
            </w:r>
            <w:r>
              <w:rPr>
                <w:rFonts w:hint="eastAsia" w:eastAsia="等线"/>
              </w:rPr>
              <w:t>t</w:t>
            </w:r>
            <w:r>
              <w:rPr>
                <w:rFonts w:eastAsia="等线"/>
              </w:rPr>
              <w:t>he motivation to report TA to NW is to facilitate NW configure proper Koffset hence reduce the latency for UE located in the cell centre. C</w:t>
            </w:r>
            <w:r>
              <w:t>onfiguring a larger Koffset to mitigate the issue is not a reasonable solution since NW has to configure a Koffset which can cover largest TA of all the UEs under the cell. While this solution will kill the motivation to support TA report which implies the TA report is not useful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lang w:val="en-US"/>
              </w:rPr>
            </w:pPr>
            <w:r>
              <w:rPr>
                <w:rFonts w:hint="eastAsia" w:eastAsia="等线"/>
                <w:lang w:val="en-US"/>
              </w:rPr>
              <w:t>Xiaomi</w:t>
            </w:r>
          </w:p>
        </w:tc>
        <w:tc>
          <w:tcPr>
            <w:tcW w:w="2113" w:type="dxa"/>
            <w:shd w:val="clear" w:color="auto" w:fill="auto"/>
          </w:tcPr>
          <w:p>
            <w:pPr>
              <w:rPr>
                <w:rFonts w:eastAsia="等线"/>
                <w:lang w:val="en-US"/>
              </w:rPr>
            </w:pPr>
            <w:r>
              <w:rPr>
                <w:rFonts w:hint="eastAsia" w:eastAsia="等线"/>
                <w:lang w:val="en-US"/>
              </w:rPr>
              <w:t>No strong view</w:t>
            </w:r>
          </w:p>
        </w:tc>
        <w:tc>
          <w:tcPr>
            <w:tcW w:w="5954" w:type="dxa"/>
            <w:shd w:val="clear" w:color="auto" w:fill="auto"/>
          </w:tcPr>
          <w:p>
            <w:pPr>
              <w:rPr>
                <w:rFonts w:eastAsia="等线"/>
                <w:lang w:val="en-US"/>
              </w:rPr>
            </w:pPr>
            <w:r>
              <w:rPr>
                <w:rFonts w:hint="eastAsia" w:eastAsia="等线"/>
                <w:lang w:val="en-US"/>
              </w:rPr>
              <w:t>If time allow, we are ok to consider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MediaTek</w:t>
            </w:r>
          </w:p>
        </w:tc>
        <w:tc>
          <w:tcPr>
            <w:tcW w:w="2113" w:type="dxa"/>
            <w:shd w:val="clear" w:color="auto" w:fill="auto"/>
          </w:tcPr>
          <w:p>
            <w:pPr>
              <w:rPr>
                <w:rFonts w:eastAsia="等线"/>
              </w:rPr>
            </w:pPr>
            <w:r>
              <w:rPr>
                <w:rFonts w:eastAsia="等线"/>
              </w:rPr>
              <w:t>No Strong Preference</w:t>
            </w: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Qualcomm</w:t>
            </w:r>
          </w:p>
        </w:tc>
        <w:tc>
          <w:tcPr>
            <w:tcW w:w="2113" w:type="dxa"/>
            <w:shd w:val="clear" w:color="auto" w:fill="auto"/>
          </w:tcPr>
          <w:p>
            <w:pPr>
              <w:rPr>
                <w:rFonts w:eastAsia="等线"/>
              </w:rPr>
            </w:pPr>
            <w:r>
              <w:rPr>
                <w:rFonts w:eastAsia="等线"/>
              </w:rPr>
              <w:t>Agree</w:t>
            </w:r>
          </w:p>
        </w:tc>
        <w:tc>
          <w:tcPr>
            <w:tcW w:w="5954" w:type="dxa"/>
            <w:shd w:val="clear" w:color="auto" w:fill="auto"/>
          </w:tcPr>
          <w:p>
            <w:pPr>
              <w:rPr>
                <w:rFonts w:eastAsia="等线"/>
              </w:rPr>
            </w:pPr>
            <w:r>
              <w:rPr>
                <w:rFonts w:eastAsia="等线"/>
              </w:rPr>
              <w:t>We agree with Nokia. Support of UE specific Koffset is important, that’s why we have TA report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L</w:t>
            </w:r>
            <w:r>
              <w:rPr>
                <w:rFonts w:eastAsia="等线"/>
              </w:rPr>
              <w:t>enovo</w:t>
            </w:r>
          </w:p>
        </w:tc>
        <w:tc>
          <w:tcPr>
            <w:tcW w:w="2113" w:type="dxa"/>
            <w:shd w:val="clear" w:color="auto" w:fill="auto"/>
          </w:tcPr>
          <w:p>
            <w:pPr>
              <w:rPr>
                <w:rFonts w:eastAsia="等线"/>
              </w:rPr>
            </w:pPr>
            <w:r>
              <w:rPr>
                <w:rFonts w:hint="eastAsia" w:eastAsia="等线"/>
                <w:lang w:val="en-US"/>
              </w:rPr>
              <w:t>No strong view</w:t>
            </w:r>
          </w:p>
        </w:tc>
        <w:tc>
          <w:tcPr>
            <w:tcW w:w="5954" w:type="dxa"/>
            <w:shd w:val="clear" w:color="auto" w:fill="auto"/>
          </w:tcPr>
          <w:p>
            <w:pPr>
              <w:rPr>
                <w:rFonts w:eastAsia="等线"/>
              </w:rPr>
            </w:pPr>
            <w:r>
              <w:rPr>
                <w:rFonts w:hint="eastAsia" w:eastAsia="等线"/>
              </w:rPr>
              <w:t>O</w:t>
            </w:r>
            <w:r>
              <w:rPr>
                <w:rFonts w:eastAsia="等线"/>
              </w:rPr>
              <w:t>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ascii="Calibri" w:hAnsi="Calibri" w:cs="Calibri" w:eastAsiaTheme="minorEastAsia"/>
                <w:sz w:val="22"/>
                <w:szCs w:val="22"/>
                <w:lang w:val="it-IT"/>
              </w:rPr>
              <w:t>Huawei, HiSilicon</w:t>
            </w:r>
          </w:p>
        </w:tc>
        <w:tc>
          <w:tcPr>
            <w:tcW w:w="2113" w:type="dxa"/>
            <w:shd w:val="clear" w:color="auto" w:fill="auto"/>
          </w:tcPr>
          <w:p>
            <w:pPr>
              <w:rPr>
                <w:rFonts w:eastAsia="等线"/>
              </w:rPr>
            </w:pPr>
            <w:r>
              <w:rPr>
                <w:rFonts w:eastAsia="等线"/>
                <w:lang w:val="en-US"/>
              </w:rPr>
              <w:t>Agree</w:t>
            </w:r>
          </w:p>
        </w:tc>
        <w:tc>
          <w:tcPr>
            <w:tcW w:w="5954" w:type="dxa"/>
            <w:shd w:val="clear" w:color="auto" w:fill="auto"/>
          </w:tcPr>
          <w:p>
            <w:pPr>
              <w:rPr>
                <w:rFonts w:eastAsia="等线"/>
              </w:rPr>
            </w:pPr>
            <w:r>
              <w:rPr>
                <w:rFonts w:hint="eastAsia" w:eastAsia="等线"/>
              </w:rPr>
              <w:t>A</w:t>
            </w:r>
            <w:r>
              <w:rPr>
                <w:rFonts w:eastAsia="等线"/>
              </w:rPr>
              <w:t>gree with Nokia and QC. This is something we should 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ascii="Calibri" w:hAnsi="Calibri" w:cs="Calibri" w:eastAsiaTheme="minorEastAsia"/>
                <w:sz w:val="22"/>
                <w:szCs w:val="22"/>
                <w:lang w:val="it-IT"/>
              </w:rPr>
            </w:pPr>
            <w:r>
              <w:rPr>
                <w:rFonts w:eastAsia="等线"/>
              </w:rPr>
              <w:t>Samsung</w:t>
            </w:r>
          </w:p>
        </w:tc>
        <w:tc>
          <w:tcPr>
            <w:tcW w:w="2113" w:type="dxa"/>
            <w:shd w:val="clear" w:color="auto" w:fill="auto"/>
          </w:tcPr>
          <w:p>
            <w:pPr>
              <w:rPr>
                <w:rFonts w:eastAsia="等线"/>
                <w:lang w:val="en-US"/>
              </w:rPr>
            </w:pPr>
            <w:r>
              <w:rPr>
                <w:rFonts w:eastAsia="等线"/>
              </w:rPr>
              <w:t>No strong view</w:t>
            </w:r>
          </w:p>
        </w:tc>
        <w:tc>
          <w:tcPr>
            <w:tcW w:w="5954" w:type="dxa"/>
            <w:shd w:val="clear" w:color="auto" w:fill="auto"/>
          </w:tcPr>
          <w:p>
            <w:pPr>
              <w:rPr>
                <w:rFonts w:eastAsia="等线"/>
              </w:rPr>
            </w:pPr>
            <w:r>
              <w:rPr>
                <w:rFonts w:eastAsia="等线"/>
              </w:rPr>
              <w:t>We do not see this enhancement as crucial, but we can consider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Ericsson</w:t>
            </w:r>
          </w:p>
        </w:tc>
        <w:tc>
          <w:tcPr>
            <w:tcW w:w="2113" w:type="dxa"/>
            <w:shd w:val="clear" w:color="auto" w:fill="auto"/>
          </w:tcPr>
          <w:p>
            <w:pPr>
              <w:rPr>
                <w:rFonts w:eastAsia="等线"/>
              </w:rPr>
            </w:pPr>
            <w:r>
              <w:rPr>
                <w:rFonts w:eastAsia="等线"/>
                <w:lang w:val="en-US"/>
              </w:rPr>
              <w:t>Strongly Disagree</w:t>
            </w:r>
          </w:p>
        </w:tc>
        <w:tc>
          <w:tcPr>
            <w:tcW w:w="5954" w:type="dxa"/>
            <w:shd w:val="clear" w:color="auto" w:fill="auto"/>
          </w:tcPr>
          <w:p>
            <w:pPr>
              <w:rPr>
                <w:rFonts w:eastAsia="等线"/>
              </w:rPr>
            </w:pPr>
            <w:r>
              <w:rPr>
                <w:rFonts w:eastAsia="等线"/>
              </w:rPr>
              <w:t xml:space="preserve">Was discussed and agreed in NR, no need to repeat that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hint="default" w:eastAsia="等线"/>
                <w:lang w:val="en-US" w:eastAsia="zh-CN"/>
              </w:rPr>
            </w:pPr>
            <w:r>
              <w:rPr>
                <w:rFonts w:hint="eastAsia" w:eastAsia="等线"/>
                <w:lang w:val="en-US" w:eastAsia="zh-CN"/>
              </w:rPr>
              <w:t>CMCC</w:t>
            </w:r>
          </w:p>
        </w:tc>
        <w:tc>
          <w:tcPr>
            <w:tcW w:w="2113" w:type="dxa"/>
            <w:shd w:val="clear" w:color="auto" w:fill="auto"/>
          </w:tcPr>
          <w:p>
            <w:pPr>
              <w:rPr>
                <w:rFonts w:hint="default" w:eastAsia="等线"/>
                <w:lang w:val="en-US" w:eastAsia="zh-CN"/>
              </w:rPr>
            </w:pPr>
            <w:r>
              <w:rPr>
                <w:rFonts w:hint="eastAsia" w:eastAsia="等线"/>
                <w:lang w:val="en-US" w:eastAsia="zh-CN"/>
              </w:rPr>
              <w:t>Disagree</w:t>
            </w:r>
          </w:p>
        </w:tc>
        <w:tc>
          <w:tcPr>
            <w:tcW w:w="5954" w:type="dxa"/>
            <w:shd w:val="clear" w:color="auto" w:fill="auto"/>
          </w:tcPr>
          <w:p>
            <w:pPr>
              <w:rPr>
                <w:rFonts w:eastAsia="等线"/>
              </w:rPr>
            </w:pPr>
          </w:p>
        </w:tc>
      </w:tr>
    </w:tbl>
    <w:p>
      <w:pPr>
        <w:rPr>
          <w:szCs w:val="21"/>
        </w:rPr>
      </w:pPr>
    </w:p>
    <w:p>
      <w:pPr>
        <w:rPr>
          <w:szCs w:val="21"/>
        </w:rPr>
      </w:pPr>
    </w:p>
    <w:p>
      <w:pPr>
        <w:jc w:val="left"/>
        <w:rPr>
          <w:rFonts w:cs="Arial"/>
          <w:b/>
          <w:i/>
          <w:u w:val="single"/>
        </w:rPr>
      </w:pPr>
      <w:r>
        <w:rPr>
          <w:rFonts w:cs="Arial"/>
          <w:b/>
          <w:i/>
          <w:u w:val="single"/>
        </w:rPr>
        <w:t>HARQ-based LCP restriction</w:t>
      </w:r>
    </w:p>
    <w:p>
      <w:pPr>
        <w:jc w:val="left"/>
        <w:rPr>
          <w:rFonts w:cs="Arial"/>
        </w:rPr>
      </w:pPr>
      <w:r>
        <w:rPr>
          <w:rFonts w:cs="Arial"/>
        </w:rPr>
        <w:t>In [9], it is observed that to minimise the risk of protocol stalling at RLC when using higher data rates, initial RLC transmission could be sent using HARQ processes configured with HARQ Mode B to improve throughput, and RLC retransmissions and RLC STATUS PDUs could be sent using HARQ processes configured with HARQ mode A to ensure reliable delivery. Following proposal are given.</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cs="Arial"/>
              </w:rPr>
              <w:t xml:space="preserve">Contributions </w:t>
            </w:r>
          </w:p>
        </w:tc>
        <w:tc>
          <w:tcPr>
            <w:tcW w:w="8234" w:type="dxa"/>
          </w:tcPr>
          <w:p>
            <w:pPr>
              <w:jc w:val="left"/>
              <w:rPr>
                <w:rFonts w:cs="Arial"/>
              </w:rPr>
            </w:pPr>
            <w:r>
              <w:rPr>
                <w:rFonts w:cs="Arial"/>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9]</w:t>
            </w:r>
          </w:p>
        </w:tc>
        <w:tc>
          <w:tcPr>
            <w:tcW w:w="8234" w:type="dxa"/>
          </w:tcPr>
          <w:p>
            <w:r>
              <w:rPr>
                <w:bCs/>
              </w:rPr>
              <w:t>Proposal 1: At least for eMTC: LCP restriction based on uplinkHARQ-Mode can be configured for different RLC PDU types, such that RLC initial transmissions, retransmission, and STATUS PDUs can be restricted to a particular HARQ Mode.</w:t>
            </w:r>
          </w:p>
        </w:tc>
      </w:tr>
    </w:tbl>
    <w:p>
      <w:pPr>
        <w:jc w:val="left"/>
        <w:rPr>
          <w:rFonts w:cs="Arial"/>
        </w:rPr>
      </w:pPr>
    </w:p>
    <w:p>
      <w:pPr>
        <w:rPr>
          <w:rFonts w:cs="Arial"/>
          <w:b/>
          <w:lang w:val="en-US"/>
        </w:rPr>
      </w:pPr>
      <w:r>
        <w:rPr>
          <w:rFonts w:cs="Arial"/>
          <w:b/>
          <w:bCs/>
        </w:rPr>
        <w:t xml:space="preserve">Question </w:t>
      </w:r>
      <w:r>
        <w:rPr>
          <w:rFonts w:cs="Arial"/>
          <w:b/>
          <w:bCs/>
          <w:lang w:val="en-US"/>
        </w:rPr>
        <w:t>15</w:t>
      </w:r>
      <w:r>
        <w:rPr>
          <w:rFonts w:cs="Arial"/>
          <w:b/>
        </w:rPr>
        <w:t>: Do com</w:t>
      </w:r>
      <w:r>
        <w:rPr>
          <w:rFonts w:cs="Arial"/>
          <w:b/>
          <w:lang w:val="en-US"/>
        </w:rPr>
        <w:t>panies agree to P1 in [9]</w:t>
      </w:r>
      <w:r>
        <w:rPr>
          <w:rFonts w:hint="eastAsia" w:cs="Arial"/>
          <w:b/>
          <w:lang w:val="en-US"/>
        </w:rPr>
        <w:t>?</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O</w:t>
            </w:r>
            <w:r>
              <w:rPr>
                <w:rFonts w:eastAsia="等线"/>
              </w:rPr>
              <w:t>PPO</w:t>
            </w:r>
          </w:p>
        </w:tc>
        <w:tc>
          <w:tcPr>
            <w:tcW w:w="2113" w:type="dxa"/>
            <w:shd w:val="clear" w:color="auto" w:fill="auto"/>
          </w:tcPr>
          <w:p>
            <w:pPr>
              <w:rPr>
                <w:rFonts w:eastAsia="等线"/>
              </w:rPr>
            </w:pPr>
            <w:r>
              <w:rPr>
                <w:rFonts w:hint="eastAsia" w:eastAsia="等线"/>
              </w:rPr>
              <w:t>D</w:t>
            </w:r>
            <w:r>
              <w:rPr>
                <w:rFonts w:eastAsia="等线"/>
              </w:rPr>
              <w:t>isagree</w:t>
            </w:r>
          </w:p>
        </w:tc>
        <w:tc>
          <w:tcPr>
            <w:tcW w:w="5954" w:type="dxa"/>
            <w:shd w:val="clear" w:color="auto" w:fill="auto"/>
          </w:tcPr>
          <w:p>
            <w:pPr>
              <w:jc w:val="left"/>
              <w:rPr>
                <w:rFonts w:eastAsia="等线"/>
              </w:rPr>
            </w:pPr>
            <w:r>
              <w:rPr>
                <w:rFonts w:eastAsia="等线"/>
              </w:rPr>
              <w:t>This not IoT NTN-specific issue. Prefer to not have this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CATT</w:t>
            </w:r>
          </w:p>
        </w:tc>
        <w:tc>
          <w:tcPr>
            <w:tcW w:w="2113" w:type="dxa"/>
            <w:shd w:val="clear" w:color="auto" w:fill="auto"/>
          </w:tcPr>
          <w:p>
            <w:pPr>
              <w:rPr>
                <w:rFonts w:eastAsia="等线"/>
              </w:rPr>
            </w:pPr>
            <w:r>
              <w:rPr>
                <w:rFonts w:hint="eastAsia" w:eastAsia="等线"/>
              </w:rPr>
              <w:t>Disagree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bookmarkStart w:id="7" w:name="OLE_LINK1"/>
            <w:r>
              <w:rPr>
                <w:rFonts w:eastAsia="等线"/>
              </w:rPr>
              <w:t>Disagree</w:t>
            </w:r>
            <w:bookmarkEnd w:id="7"/>
          </w:p>
        </w:tc>
        <w:tc>
          <w:tcPr>
            <w:tcW w:w="5954" w:type="dxa"/>
            <w:shd w:val="clear" w:color="auto" w:fill="auto"/>
          </w:tcPr>
          <w:p>
            <w:pPr>
              <w:rPr>
                <w:rFonts w:eastAsia="等线"/>
              </w:rPr>
            </w:pPr>
            <w:r>
              <w:rPr>
                <w:rFonts w:eastAsia="等线"/>
              </w:rPr>
              <w:t>It seems not reasonable to mix the RLC layer function and MAC layer function (LCP).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lang w:val="en-US"/>
              </w:rPr>
            </w:pPr>
            <w:r>
              <w:rPr>
                <w:rFonts w:hint="eastAsia" w:eastAsia="等线"/>
                <w:lang w:val="en-US"/>
              </w:rPr>
              <w:t>Xiaomi</w:t>
            </w:r>
          </w:p>
        </w:tc>
        <w:tc>
          <w:tcPr>
            <w:tcW w:w="2113" w:type="dxa"/>
            <w:shd w:val="clear" w:color="auto" w:fill="auto"/>
          </w:tcPr>
          <w:p>
            <w:pPr>
              <w:rPr>
                <w:rFonts w:eastAsia="等线"/>
              </w:rPr>
            </w:pPr>
            <w:r>
              <w:rPr>
                <w:rFonts w:eastAsia="等线"/>
              </w:rPr>
              <w:t>Disagree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MediaTek</w:t>
            </w:r>
          </w:p>
        </w:tc>
        <w:tc>
          <w:tcPr>
            <w:tcW w:w="2113" w:type="dxa"/>
            <w:shd w:val="clear" w:color="auto" w:fill="auto"/>
          </w:tcPr>
          <w:p>
            <w:pPr>
              <w:rPr>
                <w:rFonts w:eastAsia="等线"/>
              </w:rPr>
            </w:pPr>
            <w:r>
              <w:rPr>
                <w:rFonts w:eastAsia="等线"/>
              </w:rPr>
              <w:t>Agree</w:t>
            </w: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Qualcomm</w:t>
            </w:r>
          </w:p>
        </w:tc>
        <w:tc>
          <w:tcPr>
            <w:tcW w:w="2113" w:type="dxa"/>
            <w:shd w:val="clear" w:color="auto" w:fill="auto"/>
          </w:tcPr>
          <w:p>
            <w:pPr>
              <w:rPr>
                <w:rFonts w:eastAsia="等线"/>
              </w:rPr>
            </w:pPr>
            <w:r>
              <w:rPr>
                <w:rFonts w:eastAsia="等线"/>
              </w:rPr>
              <w:t>Disagree</w:t>
            </w:r>
          </w:p>
        </w:tc>
        <w:tc>
          <w:tcPr>
            <w:tcW w:w="5954" w:type="dxa"/>
            <w:shd w:val="clear" w:color="auto" w:fill="auto"/>
          </w:tcPr>
          <w:p>
            <w:pPr>
              <w:rPr>
                <w:rFonts w:eastAsia="等线"/>
              </w:rPr>
            </w:pPr>
            <w:r>
              <w:rPr>
                <w:rFonts w:eastAsia="等线"/>
              </w:rPr>
              <w:t>It is sufficient to align with NR NTN. We prefer to avoid RLC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L</w:t>
            </w:r>
            <w:r>
              <w:rPr>
                <w:rFonts w:eastAsia="等线"/>
              </w:rPr>
              <w:t>enovo</w:t>
            </w:r>
          </w:p>
        </w:tc>
        <w:tc>
          <w:tcPr>
            <w:tcW w:w="2113" w:type="dxa"/>
            <w:shd w:val="clear" w:color="auto" w:fill="auto"/>
          </w:tcPr>
          <w:p>
            <w:pPr>
              <w:rPr>
                <w:rFonts w:eastAsia="等线"/>
              </w:rPr>
            </w:pPr>
            <w:r>
              <w:rPr>
                <w:rFonts w:eastAsia="等线"/>
                <w:lang w:val="en-US"/>
              </w:rPr>
              <w:t>Disagree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ascii="Calibri" w:hAnsi="Calibri" w:cs="Calibri" w:eastAsiaTheme="minorEastAsia"/>
                <w:sz w:val="22"/>
                <w:szCs w:val="22"/>
                <w:lang w:val="it-IT"/>
              </w:rPr>
              <w:t>Huawei, HiSilicon</w:t>
            </w:r>
          </w:p>
        </w:tc>
        <w:tc>
          <w:tcPr>
            <w:tcW w:w="2113" w:type="dxa"/>
            <w:shd w:val="clear" w:color="auto" w:fill="auto"/>
          </w:tcPr>
          <w:p>
            <w:pPr>
              <w:rPr>
                <w:rFonts w:eastAsia="等线"/>
              </w:rPr>
            </w:pPr>
            <w:r>
              <w:rPr>
                <w:rFonts w:eastAsia="等线"/>
                <w:lang w:val="en-US"/>
              </w:rPr>
              <w:t>Disagree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ascii="Calibri" w:hAnsi="Calibri" w:cs="Calibri" w:eastAsiaTheme="minorEastAsia"/>
                <w:sz w:val="22"/>
                <w:szCs w:val="22"/>
                <w:lang w:val="it-IT"/>
              </w:rPr>
            </w:pPr>
            <w:r>
              <w:rPr>
                <w:rFonts w:eastAsia="等线"/>
              </w:rPr>
              <w:t>Samsung</w:t>
            </w:r>
          </w:p>
        </w:tc>
        <w:tc>
          <w:tcPr>
            <w:tcW w:w="2113" w:type="dxa"/>
            <w:shd w:val="clear" w:color="auto" w:fill="auto"/>
          </w:tcPr>
          <w:p>
            <w:pPr>
              <w:rPr>
                <w:rFonts w:eastAsia="等线"/>
                <w:lang w:val="en-US"/>
              </w:rPr>
            </w:pPr>
            <w:r>
              <w:rPr>
                <w:rFonts w:eastAsia="等线"/>
              </w:rPr>
              <w:t>Disagree</w:t>
            </w:r>
          </w:p>
        </w:tc>
        <w:tc>
          <w:tcPr>
            <w:tcW w:w="5954" w:type="dxa"/>
            <w:shd w:val="clear" w:color="auto" w:fill="auto"/>
          </w:tcPr>
          <w:p>
            <w:pPr>
              <w:rPr>
                <w:rFonts w:eastAsia="等线"/>
              </w:rPr>
            </w:pPr>
            <w:r>
              <w:rPr>
                <w:rFonts w:eastAsia="等线"/>
              </w:rPr>
              <w:t xml:space="preserve">Similar LCP prioritization to mix RLC and LCP was discussed in Rel-16 NTN SI but it did not gain traction.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Ericsson</w:t>
            </w:r>
          </w:p>
        </w:tc>
        <w:tc>
          <w:tcPr>
            <w:tcW w:w="2113" w:type="dxa"/>
            <w:shd w:val="clear" w:color="auto" w:fill="auto"/>
          </w:tcPr>
          <w:p>
            <w:pPr>
              <w:rPr>
                <w:rFonts w:eastAsia="等线"/>
              </w:rPr>
            </w:pPr>
            <w:r>
              <w:rPr>
                <w:rFonts w:eastAsia="等线"/>
                <w:lang w:val="en-US"/>
              </w:rPr>
              <w:t>Disagree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CMCC</w:t>
            </w:r>
          </w:p>
        </w:tc>
        <w:tc>
          <w:tcPr>
            <w:tcW w:w="2113" w:type="dxa"/>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Disagree</w:t>
            </w:r>
          </w:p>
        </w:tc>
        <w:tc>
          <w:tcPr>
            <w:tcW w:w="5954" w:type="dxa"/>
            <w:shd w:val="clear" w:color="auto" w:fill="auto"/>
          </w:tcPr>
          <w:p>
            <w:pPr>
              <w:rPr>
                <w:rFonts w:eastAsia="等线"/>
              </w:rPr>
            </w:pPr>
          </w:p>
        </w:tc>
      </w:tr>
    </w:tbl>
    <w:p>
      <w:pPr>
        <w:jc w:val="left"/>
        <w:rPr>
          <w:rFonts w:cs="Arial"/>
        </w:rPr>
      </w:pPr>
    </w:p>
    <w:p>
      <w:pPr>
        <w:jc w:val="left"/>
        <w:rPr>
          <w:rFonts w:cs="Arial"/>
        </w:rPr>
      </w:pPr>
    </w:p>
    <w:p>
      <w:pPr>
        <w:pStyle w:val="3"/>
      </w:pPr>
      <w:r>
        <w:t>3.3</w:t>
      </w:r>
      <w:r>
        <w:tab/>
      </w:r>
      <w:r>
        <w:t>Others</w:t>
      </w:r>
    </w:p>
    <w:p>
      <w:pPr>
        <w:jc w:val="left"/>
        <w:rPr>
          <w:rFonts w:cs="Arial"/>
          <w:b/>
          <w:i/>
          <w:u w:val="single"/>
        </w:rPr>
      </w:pPr>
      <w:r>
        <w:rPr>
          <w:rFonts w:cs="Arial"/>
          <w:b/>
          <w:i/>
          <w:u w:val="single"/>
        </w:rPr>
        <w:t>LS to RAN1 to inform RAN2’s agreements?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cs="Arial"/>
              </w:rPr>
              <w:t xml:space="preserve">Contributions </w:t>
            </w:r>
          </w:p>
        </w:tc>
        <w:tc>
          <w:tcPr>
            <w:tcW w:w="8234" w:type="dxa"/>
          </w:tcPr>
          <w:p>
            <w:pPr>
              <w:jc w:val="left"/>
              <w:rPr>
                <w:rFonts w:cs="Arial"/>
              </w:rPr>
            </w:pPr>
            <w:r>
              <w:rPr>
                <w:rFonts w:cs="Arial"/>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1]</w:t>
            </w:r>
          </w:p>
        </w:tc>
        <w:tc>
          <w:tcPr>
            <w:tcW w:w="8234" w:type="dxa"/>
          </w:tcPr>
          <w:p>
            <w:pPr>
              <w:rPr>
                <w:bCs/>
              </w:rPr>
            </w:pPr>
            <w:r>
              <w:rPr>
                <w:bCs/>
              </w:rPr>
              <w:t xml:space="preserve">Proposal 7: Send a LS to RAN1 regarding RAN2 agreements on disabling HARQ feedback and UL HARQ mode B.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4]</w:t>
            </w:r>
          </w:p>
        </w:tc>
        <w:tc>
          <w:tcPr>
            <w:tcW w:w="8234" w:type="dxa"/>
          </w:tcPr>
          <w:p>
            <w:pPr>
              <w:rPr>
                <w:bCs/>
              </w:rPr>
            </w:pPr>
            <w:r>
              <w:rPr>
                <w:bCs/>
              </w:rPr>
              <w:t>Proposal 6: RAN2 should send an LS to RAN1 to notify the RAN2’s agreement about HARQ mode B and the possible RAN1 spec impact.</w:t>
            </w:r>
          </w:p>
          <w:p>
            <w:pPr>
              <w:rPr>
                <w:bCs/>
              </w:rPr>
            </w:pPr>
          </w:p>
        </w:tc>
      </w:tr>
    </w:tbl>
    <w:p>
      <w:pPr>
        <w:jc w:val="left"/>
        <w:rPr>
          <w:rFonts w:cs="Arial"/>
        </w:rPr>
      </w:pPr>
      <w:r>
        <w:rPr>
          <w:rFonts w:cs="Arial"/>
        </w:rPr>
        <w:t>Maybe the LS to RAN1 can include relevant RAN2 agreements and also questions to be checked with RAN1.</w:t>
      </w:r>
    </w:p>
    <w:p>
      <w:pPr>
        <w:rPr>
          <w:rFonts w:cs="Arial"/>
          <w:b/>
          <w:lang w:val="en-US"/>
        </w:rPr>
      </w:pPr>
      <w:r>
        <w:rPr>
          <w:rFonts w:cs="Arial"/>
          <w:b/>
          <w:bCs/>
        </w:rPr>
        <w:t xml:space="preserve">Question </w:t>
      </w:r>
      <w:r>
        <w:rPr>
          <w:rFonts w:cs="Arial"/>
          <w:b/>
          <w:bCs/>
          <w:lang w:val="en-US"/>
        </w:rPr>
        <w:t>16</w:t>
      </w:r>
      <w:r>
        <w:rPr>
          <w:rFonts w:cs="Arial"/>
          <w:b/>
        </w:rPr>
        <w:t>: Do com</w:t>
      </w:r>
      <w:r>
        <w:rPr>
          <w:rFonts w:cs="Arial"/>
          <w:b/>
          <w:lang w:val="en-US"/>
        </w:rPr>
        <w:t>panies agree to send LS to RAN1 informing RAN2’s agreements together with questions to be checked with RAN1</w:t>
      </w:r>
      <w:r>
        <w:rPr>
          <w:rFonts w:hint="eastAsia" w:cs="Arial"/>
          <w:b/>
          <w:lang w:val="en-US"/>
        </w:rPr>
        <w:t>?</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O</w:t>
            </w:r>
            <w:r>
              <w:rPr>
                <w:rFonts w:eastAsia="等线"/>
              </w:rPr>
              <w:t>PPO</w:t>
            </w:r>
          </w:p>
        </w:tc>
        <w:tc>
          <w:tcPr>
            <w:tcW w:w="2113" w:type="dxa"/>
            <w:shd w:val="clear" w:color="auto" w:fill="auto"/>
          </w:tcPr>
          <w:p>
            <w:pPr>
              <w:rPr>
                <w:rFonts w:eastAsia="等线"/>
              </w:rPr>
            </w:pPr>
            <w:r>
              <w:rPr>
                <w:rFonts w:hint="eastAsia" w:eastAsia="等线"/>
              </w:rPr>
              <w:t>A</w:t>
            </w:r>
            <w:r>
              <w:rPr>
                <w:rFonts w:eastAsia="等线"/>
              </w:rPr>
              <w:t>gree</w:t>
            </w:r>
          </w:p>
        </w:tc>
        <w:tc>
          <w:tcPr>
            <w:tcW w:w="5954" w:type="dxa"/>
            <w:shd w:val="clear" w:color="auto" w:fill="auto"/>
          </w:tcPr>
          <w:p>
            <w:pPr>
              <w:jc w:val="left"/>
              <w:rPr>
                <w:rFonts w:eastAsia="等线"/>
              </w:rPr>
            </w:pPr>
            <w:r>
              <w:rPr>
                <w:rFonts w:eastAsia="等线"/>
              </w:rPr>
              <w:t>In the LS, RAN2 can</w:t>
            </w:r>
          </w:p>
          <w:p>
            <w:pPr>
              <w:pStyle w:val="91"/>
              <w:numPr>
                <w:ilvl w:val="0"/>
                <w:numId w:val="25"/>
              </w:numPr>
              <w:jc w:val="left"/>
              <w:rPr>
                <w:rFonts w:eastAsia="等线"/>
              </w:rPr>
            </w:pPr>
            <w:r>
              <w:rPr>
                <w:rFonts w:eastAsia="等线"/>
              </w:rPr>
              <w:t xml:space="preserve">inform RAN1 of RAN2’s agreements on UL HARQ mode B and check with RAN1 on the processing time </w:t>
            </w:r>
          </w:p>
          <w:p>
            <w:pPr>
              <w:pStyle w:val="91"/>
              <w:numPr>
                <w:ilvl w:val="0"/>
                <w:numId w:val="25"/>
              </w:numPr>
              <w:jc w:val="left"/>
              <w:rPr>
                <w:rFonts w:eastAsia="等线"/>
              </w:rPr>
            </w:pPr>
            <w:r>
              <w:rPr>
                <w:rFonts w:eastAsia="等线"/>
              </w:rPr>
              <w:t>on DCI-based solution for indicating DL HARQ feedback enable/disable, check RAN1’s views on RRC signalling’s granularity, e.g. per UE or per HARQ process</w:t>
            </w:r>
          </w:p>
          <w:p>
            <w:pPr>
              <w:pStyle w:val="91"/>
              <w:numPr>
                <w:ilvl w:val="0"/>
                <w:numId w:val="25"/>
              </w:numPr>
              <w:jc w:val="left"/>
              <w:rPr>
                <w:rFonts w:eastAsia="等线"/>
              </w:rPr>
            </w:pPr>
            <w:r>
              <w:rPr>
                <w:rFonts w:eastAsia="等线"/>
              </w:rPr>
              <w:t xml:space="preserve">check RAN1’s views on whether to introduce DCI-based solution for UL HARQ mode A/B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CATT</w:t>
            </w:r>
          </w:p>
        </w:tc>
        <w:tc>
          <w:tcPr>
            <w:tcW w:w="2113" w:type="dxa"/>
            <w:shd w:val="clear" w:color="auto" w:fill="auto"/>
          </w:tcPr>
          <w:p>
            <w:pPr>
              <w:rPr>
                <w:rFonts w:eastAsia="等线"/>
              </w:rPr>
            </w:pPr>
            <w:r>
              <w:rPr>
                <w:rFonts w:hint="eastAsia" w:eastAsia="等线"/>
              </w:rPr>
              <w:t>Agree</w:t>
            </w:r>
          </w:p>
        </w:tc>
        <w:tc>
          <w:tcPr>
            <w:tcW w:w="5954" w:type="dxa"/>
            <w:shd w:val="clear" w:color="auto" w:fill="auto"/>
          </w:tcPr>
          <w:p>
            <w:pPr>
              <w:rPr>
                <w:rFonts w:eastAsia="等线"/>
              </w:rPr>
            </w:pPr>
            <w:r>
              <w:rPr>
                <w:rFonts w:eastAsia="等线"/>
              </w:rPr>
              <w:t>O</w:t>
            </w:r>
            <w:r>
              <w:rPr>
                <w:rFonts w:hint="eastAsia" w:eastAsia="等线"/>
              </w:rPr>
              <w:t xml:space="preserve">ne LS can be sent to inform RAN2 agreements, and check the view of RAN1 on RAN2 concerned issue, not only HARQ aspect.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r>
              <w:rPr>
                <w:rFonts w:eastAsia="等线"/>
              </w:rPr>
              <w:t>Agree with comments</w:t>
            </w:r>
          </w:p>
        </w:tc>
        <w:tc>
          <w:tcPr>
            <w:tcW w:w="5954" w:type="dxa"/>
            <w:shd w:val="clear" w:color="auto" w:fill="auto"/>
          </w:tcPr>
          <w:p>
            <w:pPr>
              <w:rPr>
                <w:rFonts w:eastAsia="等线"/>
              </w:rPr>
            </w:pPr>
            <w:r>
              <w:rPr>
                <w:rFonts w:eastAsia="等线"/>
              </w:rPr>
              <w:t>Also the aspects discussed in Question 8 and Question 10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lang w:val="en-US"/>
              </w:rPr>
            </w:pPr>
            <w:r>
              <w:rPr>
                <w:rFonts w:hint="eastAsia" w:eastAsia="等线"/>
                <w:lang w:val="en-US"/>
              </w:rPr>
              <w:t>Xiaomi</w:t>
            </w:r>
          </w:p>
        </w:tc>
        <w:tc>
          <w:tcPr>
            <w:tcW w:w="2113" w:type="dxa"/>
            <w:shd w:val="clear" w:color="auto" w:fill="auto"/>
          </w:tcPr>
          <w:p>
            <w:pPr>
              <w:rPr>
                <w:rFonts w:eastAsia="等线"/>
                <w:lang w:val="en-US"/>
              </w:rPr>
            </w:pPr>
            <w:r>
              <w:rPr>
                <w:rFonts w:hint="eastAsia" w:eastAsia="等线"/>
                <w:lang w:val="en-US"/>
              </w:rPr>
              <w:t>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6" w:type="dxa"/>
            <w:shd w:val="clear" w:color="auto" w:fill="auto"/>
          </w:tcPr>
          <w:p>
            <w:pPr>
              <w:rPr>
                <w:rFonts w:eastAsia="等线"/>
              </w:rPr>
            </w:pPr>
            <w:r>
              <w:rPr>
                <w:rFonts w:eastAsia="等线"/>
              </w:rPr>
              <w:t>MediaTek</w:t>
            </w:r>
          </w:p>
        </w:tc>
        <w:tc>
          <w:tcPr>
            <w:tcW w:w="2113" w:type="dxa"/>
            <w:shd w:val="clear" w:color="auto" w:fill="auto"/>
          </w:tcPr>
          <w:p>
            <w:pPr>
              <w:rPr>
                <w:rFonts w:eastAsia="等线"/>
              </w:rPr>
            </w:pPr>
            <w:r>
              <w:rPr>
                <w:rFonts w:eastAsia="等线"/>
              </w:rPr>
              <w:t>Agree</w:t>
            </w: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Qualcomm</w:t>
            </w:r>
          </w:p>
        </w:tc>
        <w:tc>
          <w:tcPr>
            <w:tcW w:w="2113" w:type="dxa"/>
            <w:shd w:val="clear" w:color="auto" w:fill="auto"/>
          </w:tcPr>
          <w:p>
            <w:pPr>
              <w:rPr>
                <w:rFonts w:eastAsia="等线"/>
              </w:rPr>
            </w:pPr>
            <w:r>
              <w:rPr>
                <w:rFonts w:eastAsia="等线"/>
              </w:rPr>
              <w:t>See comments</w:t>
            </w:r>
          </w:p>
        </w:tc>
        <w:tc>
          <w:tcPr>
            <w:tcW w:w="5954" w:type="dxa"/>
            <w:shd w:val="clear" w:color="auto" w:fill="auto"/>
          </w:tcPr>
          <w:p>
            <w:pPr>
              <w:rPr>
                <w:rFonts w:eastAsia="等线"/>
              </w:rPr>
            </w:pPr>
            <w:r>
              <w:rPr>
                <w:rFonts w:eastAsia="等线"/>
              </w:rPr>
              <w:t>RAN1 has not worked on UL HARQ process. It is because it is left to RAN2 as it is in RAN2 scope. There is no need to ask RAN1 on UL HARQ.</w:t>
            </w:r>
          </w:p>
          <w:p>
            <w:pPr>
              <w:rPr>
                <w:rFonts w:eastAsia="等线"/>
              </w:rPr>
            </w:pPr>
            <w:r>
              <w:rPr>
                <w:rFonts w:eastAsia="等线"/>
              </w:rPr>
              <w:t>But sending LS on informing RAN2 agreements will be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L</w:t>
            </w:r>
            <w:r>
              <w:rPr>
                <w:rFonts w:eastAsia="等线"/>
              </w:rPr>
              <w:t>enovo</w:t>
            </w:r>
          </w:p>
        </w:tc>
        <w:tc>
          <w:tcPr>
            <w:tcW w:w="2113" w:type="dxa"/>
            <w:shd w:val="clear" w:color="auto" w:fill="auto"/>
          </w:tcPr>
          <w:p>
            <w:pPr>
              <w:rPr>
                <w:rFonts w:eastAsia="等线"/>
              </w:rPr>
            </w:pPr>
            <w:r>
              <w:rPr>
                <w:rFonts w:eastAsia="等线"/>
                <w:lang w:val="en-US"/>
              </w:rPr>
              <w:t>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ascii="Calibri" w:hAnsi="Calibri" w:cs="Calibri" w:eastAsiaTheme="minorEastAsia"/>
                <w:sz w:val="22"/>
                <w:szCs w:val="22"/>
                <w:lang w:val="it-IT"/>
              </w:rPr>
              <w:t>Huawei, HiSilicon</w:t>
            </w:r>
          </w:p>
        </w:tc>
        <w:tc>
          <w:tcPr>
            <w:tcW w:w="2113" w:type="dxa"/>
            <w:shd w:val="clear" w:color="auto" w:fill="auto"/>
          </w:tcPr>
          <w:p>
            <w:pPr>
              <w:rPr>
                <w:rFonts w:eastAsia="等线"/>
              </w:rPr>
            </w:pPr>
            <w:r>
              <w:rPr>
                <w:rFonts w:eastAsia="等线"/>
                <w:lang w:val="en-US"/>
              </w:rPr>
              <w:t>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ascii="Calibri" w:hAnsi="Calibri" w:cs="Calibri" w:eastAsiaTheme="minorEastAsia"/>
                <w:sz w:val="22"/>
                <w:szCs w:val="22"/>
                <w:lang w:val="it-IT"/>
              </w:rPr>
            </w:pPr>
            <w:r>
              <w:rPr>
                <w:rFonts w:eastAsia="等线"/>
              </w:rPr>
              <w:t>Samsung</w:t>
            </w:r>
          </w:p>
        </w:tc>
        <w:tc>
          <w:tcPr>
            <w:tcW w:w="2113" w:type="dxa"/>
            <w:shd w:val="clear" w:color="auto" w:fill="auto"/>
          </w:tcPr>
          <w:p>
            <w:pPr>
              <w:rPr>
                <w:rFonts w:eastAsia="等线"/>
                <w:lang w:val="en-US"/>
              </w:rPr>
            </w:pPr>
            <w:r>
              <w:rPr>
                <w:rFonts w:eastAsia="等线"/>
              </w:rPr>
              <w:t>Agree</w:t>
            </w:r>
          </w:p>
        </w:tc>
        <w:tc>
          <w:tcPr>
            <w:tcW w:w="5954" w:type="dxa"/>
            <w:shd w:val="clear" w:color="auto" w:fill="auto"/>
          </w:tcPr>
          <w:p>
            <w:pPr>
              <w:rPr>
                <w:rFonts w:eastAsia="等线"/>
              </w:rPr>
            </w:pPr>
            <w:r>
              <w:rPr>
                <w:rFonts w:eastAsia="等线"/>
              </w:rPr>
              <w:t>There seem to be a need for a rather large LS to RAN1 on a range of issues. RAN2 should discuss which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6" w:type="dxa"/>
            <w:shd w:val="clear" w:color="auto" w:fill="auto"/>
          </w:tcPr>
          <w:p>
            <w:pPr>
              <w:rPr>
                <w:rFonts w:eastAsia="等线"/>
              </w:rPr>
            </w:pPr>
            <w:r>
              <w:rPr>
                <w:rFonts w:eastAsia="等线"/>
              </w:rPr>
              <w:t>Ericsson</w:t>
            </w:r>
          </w:p>
        </w:tc>
        <w:tc>
          <w:tcPr>
            <w:tcW w:w="2113" w:type="dxa"/>
            <w:shd w:val="clear" w:color="auto" w:fill="auto"/>
          </w:tcPr>
          <w:p>
            <w:pPr>
              <w:rPr>
                <w:rFonts w:eastAsia="等线"/>
              </w:rPr>
            </w:pPr>
            <w:r>
              <w:rPr>
                <w:rFonts w:eastAsia="等线"/>
                <w:lang w:val="en-US"/>
              </w:rPr>
              <w:t>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CMCC</w:t>
            </w:r>
          </w:p>
        </w:tc>
        <w:tc>
          <w:tcPr>
            <w:tcW w:w="2113" w:type="dxa"/>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Agree</w:t>
            </w:r>
            <w:bookmarkStart w:id="10" w:name="_GoBack"/>
            <w:bookmarkEnd w:id="10"/>
          </w:p>
        </w:tc>
        <w:tc>
          <w:tcPr>
            <w:tcW w:w="5954" w:type="dxa"/>
            <w:shd w:val="clear" w:color="auto" w:fill="auto"/>
          </w:tcPr>
          <w:p>
            <w:pPr>
              <w:rPr>
                <w:rFonts w:eastAsia="等线"/>
              </w:rPr>
            </w:pPr>
          </w:p>
        </w:tc>
      </w:tr>
    </w:tbl>
    <w:p>
      <w:pPr>
        <w:jc w:val="left"/>
        <w:rPr>
          <w:rFonts w:cs="Arial"/>
        </w:rPr>
      </w:pPr>
    </w:p>
    <w:p>
      <w:pPr>
        <w:jc w:val="left"/>
        <w:rPr>
          <w:rFonts w:cs="Arial"/>
        </w:rPr>
      </w:pPr>
    </w:p>
    <w:bookmarkEnd w:id="4"/>
    <w:p>
      <w:pPr>
        <w:pStyle w:val="2"/>
      </w:pPr>
      <w:r>
        <w:t>4. Summary and Proposals</w:t>
      </w:r>
    </w:p>
    <w:p>
      <w:pPr>
        <w:pStyle w:val="64"/>
        <w:overflowPunct/>
        <w:autoSpaceDE/>
        <w:autoSpaceDN/>
        <w:adjustRightInd/>
        <w:spacing w:line="259" w:lineRule="auto"/>
        <w:textAlignment w:val="auto"/>
        <w:rPr>
          <w:b w:val="0"/>
        </w:rPr>
      </w:pPr>
      <w:r>
        <w:rPr>
          <w:b w:val="0"/>
        </w:rPr>
        <w:t>This section summarizes the main proposals:</w:t>
      </w:r>
    </w:p>
    <w:p>
      <w:pPr>
        <w:pStyle w:val="64"/>
        <w:overflowPunct/>
        <w:autoSpaceDE/>
        <w:autoSpaceDN/>
        <w:adjustRightInd/>
        <w:spacing w:line="259" w:lineRule="auto"/>
        <w:textAlignment w:val="auto"/>
        <w:rPr>
          <w:b w:val="0"/>
        </w:rPr>
      </w:pPr>
    </w:p>
    <w:p>
      <w:pPr>
        <w:pStyle w:val="27"/>
        <w:widowControl w:val="0"/>
        <w:overflowPunct/>
        <w:autoSpaceDE/>
        <w:autoSpaceDN/>
        <w:adjustRightInd/>
        <w:spacing w:before="156" w:beforeLines="50" w:after="156" w:afterLines="50" w:line="280" w:lineRule="exact"/>
        <w:textAlignment w:val="auto"/>
        <w:rPr>
          <w:color w:val="000000" w:themeColor="text1"/>
          <w:sz w:val="22"/>
          <w:szCs w:val="22"/>
          <w14:textFill>
            <w14:solidFill>
              <w14:schemeClr w14:val="tx1"/>
            </w14:solidFill>
          </w14:textFill>
        </w:rPr>
      </w:pPr>
    </w:p>
    <w:p>
      <w:pPr>
        <w:pStyle w:val="2"/>
      </w:pPr>
      <w:r>
        <w:t>5. References</w:t>
      </w:r>
    </w:p>
    <w:p>
      <w:pPr>
        <w:pStyle w:val="131"/>
        <w:numPr>
          <w:ilvl w:val="0"/>
          <w:numId w:val="26"/>
        </w:numPr>
      </w:pPr>
      <w:bookmarkStart w:id="8" w:name="_Hlk132536748"/>
      <w:bookmarkStart w:id="9" w:name="_Hlk132536824"/>
      <w:r>
        <w:t>R2-2302533</w:t>
      </w:r>
      <w:r>
        <w:tab/>
      </w:r>
      <w:r>
        <w:t>Discussion on HARQ enhancement for IoT NTN</w:t>
      </w:r>
      <w:r>
        <w:tab/>
      </w:r>
      <w:r>
        <w:t>OPPO</w:t>
      </w:r>
      <w:r>
        <w:tab/>
      </w:r>
      <w:r>
        <w:t>discussion</w:t>
      </w:r>
      <w:r>
        <w:tab/>
      </w:r>
      <w:r>
        <w:t>Rel-18</w:t>
      </w:r>
      <w:r>
        <w:tab/>
      </w:r>
      <w:r>
        <w:t>IoT_NTN_enh-Core</w:t>
      </w:r>
    </w:p>
    <w:p>
      <w:pPr>
        <w:pStyle w:val="131"/>
        <w:numPr>
          <w:ilvl w:val="0"/>
          <w:numId w:val="26"/>
        </w:numPr>
      </w:pPr>
      <w:r>
        <w:t>R2-2302534</w:t>
      </w:r>
      <w:r>
        <w:tab/>
      </w:r>
      <w:r>
        <w:t>Draft LS to RAN1 on HARQ enhancement for IoT NTN</w:t>
      </w:r>
      <w:r>
        <w:tab/>
      </w:r>
      <w:r>
        <w:t>OPPO</w:t>
      </w:r>
      <w:r>
        <w:tab/>
      </w:r>
      <w:r>
        <w:t>LS out</w:t>
      </w:r>
      <w:r>
        <w:tab/>
      </w:r>
      <w:r>
        <w:t>Rel-18</w:t>
      </w:r>
      <w:r>
        <w:tab/>
      </w:r>
      <w:r>
        <w:t>IoT_NTN_enh-Core</w:t>
      </w:r>
      <w:r>
        <w:tab/>
      </w:r>
      <w:r>
        <w:t>To:RAN1</w:t>
      </w:r>
    </w:p>
    <w:p>
      <w:pPr>
        <w:pStyle w:val="131"/>
        <w:numPr>
          <w:ilvl w:val="0"/>
          <w:numId w:val="26"/>
        </w:numPr>
      </w:pPr>
      <w:r>
        <w:t>R2-2302557</w:t>
      </w:r>
      <w:r>
        <w:tab/>
      </w:r>
      <w:r>
        <w:t>Discussion on the HARQ enhancements in IoT NTN</w:t>
      </w:r>
      <w:r>
        <w:tab/>
      </w:r>
      <w:r>
        <w:t>CATT</w:t>
      </w:r>
      <w:r>
        <w:tab/>
      </w:r>
      <w:r>
        <w:t>discussion</w:t>
      </w:r>
      <w:r>
        <w:tab/>
      </w:r>
      <w:r>
        <w:t>Rel-18</w:t>
      </w:r>
      <w:r>
        <w:tab/>
      </w:r>
      <w:r>
        <w:t>IoT_NTN_enh-Core</w:t>
      </w:r>
    </w:p>
    <w:p>
      <w:pPr>
        <w:pStyle w:val="131"/>
        <w:numPr>
          <w:ilvl w:val="0"/>
          <w:numId w:val="26"/>
        </w:numPr>
      </w:pPr>
      <w:r>
        <w:t>R2-2302672</w:t>
      </w:r>
      <w:r>
        <w:tab/>
      </w:r>
      <w:r>
        <w:t>On Disabling HARQ Feedback in IoT-NTN</w:t>
      </w:r>
      <w:r>
        <w:tab/>
      </w:r>
      <w:r>
        <w:t>MediaTek Inc.</w:t>
      </w:r>
      <w:r>
        <w:tab/>
      </w:r>
      <w:r>
        <w:t>discussion</w:t>
      </w:r>
    </w:p>
    <w:p>
      <w:pPr>
        <w:pStyle w:val="131"/>
        <w:numPr>
          <w:ilvl w:val="0"/>
          <w:numId w:val="26"/>
        </w:numPr>
      </w:pPr>
      <w:r>
        <w:t>R2-2302819</w:t>
      </w:r>
      <w:r>
        <w:tab/>
      </w:r>
      <w:r>
        <w:t>Further discussion on HARQ enhancements</w:t>
      </w:r>
      <w:r>
        <w:tab/>
      </w:r>
      <w:r>
        <w:t>ZTE Corporation, Sanechips</w:t>
      </w:r>
      <w:r>
        <w:tab/>
      </w:r>
      <w:r>
        <w:t>discussion</w:t>
      </w:r>
      <w:r>
        <w:tab/>
      </w:r>
      <w:r>
        <w:t>Rel-18</w:t>
      </w:r>
      <w:r>
        <w:tab/>
      </w:r>
      <w:r>
        <w:t>IoT_NTN_enh-Core</w:t>
      </w:r>
    </w:p>
    <w:p>
      <w:pPr>
        <w:pStyle w:val="131"/>
        <w:numPr>
          <w:ilvl w:val="0"/>
          <w:numId w:val="26"/>
        </w:numPr>
      </w:pPr>
      <w:r>
        <w:t>R2-2303041</w:t>
      </w:r>
      <w:r>
        <w:tab/>
      </w:r>
      <w:r>
        <w:t>Enhancement for UL and DL HARQ processes</w:t>
      </w:r>
      <w:r>
        <w:tab/>
      </w:r>
      <w:r>
        <w:t>Qualcomm Incorporated</w:t>
      </w:r>
      <w:r>
        <w:tab/>
      </w:r>
      <w:r>
        <w:t>discussion</w:t>
      </w:r>
      <w:r>
        <w:tab/>
      </w:r>
      <w:r>
        <w:t>Rel-18</w:t>
      </w:r>
      <w:r>
        <w:tab/>
      </w:r>
      <w:r>
        <w:t>IoT_NTN_enh-Core</w:t>
      </w:r>
      <w:r>
        <w:tab/>
      </w:r>
      <w:r>
        <w:t>R2-2300889</w:t>
      </w:r>
    </w:p>
    <w:p>
      <w:pPr>
        <w:pStyle w:val="131"/>
        <w:numPr>
          <w:ilvl w:val="0"/>
          <w:numId w:val="26"/>
        </w:numPr>
      </w:pPr>
      <w:r>
        <w:t>R2-2303517</w:t>
      </w:r>
      <w:r>
        <w:tab/>
      </w:r>
      <w:r>
        <w:t>Discussion on the HARQ enhancement for IoT-NTN</w:t>
      </w:r>
      <w:r>
        <w:tab/>
      </w:r>
      <w:r>
        <w:t>CMCC</w:t>
      </w:r>
      <w:r>
        <w:tab/>
      </w:r>
      <w:r>
        <w:t>discussion</w:t>
      </w:r>
      <w:r>
        <w:tab/>
      </w:r>
      <w:r>
        <w:t>Rel-18</w:t>
      </w:r>
      <w:r>
        <w:tab/>
      </w:r>
      <w:r>
        <w:t>IoT_NTN_enh-Core</w:t>
      </w:r>
    </w:p>
    <w:p>
      <w:pPr>
        <w:pStyle w:val="131"/>
        <w:numPr>
          <w:ilvl w:val="0"/>
          <w:numId w:val="26"/>
        </w:numPr>
      </w:pPr>
      <w:r>
        <w:t>R2-2303644</w:t>
      </w:r>
      <w:r>
        <w:tab/>
      </w:r>
      <w:r>
        <w:t>Discussion on Timing Advance Report MAC CE transmission in eMTC NTN</w:t>
      </w:r>
      <w:r>
        <w:tab/>
      </w:r>
      <w:r>
        <w:t>Nokia, Nokia Shanghai Bell, Huawei, HiSilicon</w:t>
      </w:r>
      <w:r>
        <w:tab/>
      </w:r>
      <w:r>
        <w:t>discussion</w:t>
      </w:r>
      <w:r>
        <w:tab/>
      </w:r>
      <w:r>
        <w:t>Rel-18</w:t>
      </w:r>
      <w:r>
        <w:tab/>
      </w:r>
      <w:r>
        <w:t>IoT_NTN_enh-Core</w:t>
      </w:r>
      <w:r>
        <w:tab/>
      </w:r>
      <w:r>
        <w:t>R2-2301659</w:t>
      </w:r>
    </w:p>
    <w:p>
      <w:pPr>
        <w:pStyle w:val="131"/>
        <w:numPr>
          <w:ilvl w:val="0"/>
          <w:numId w:val="26"/>
        </w:numPr>
      </w:pPr>
      <w:r>
        <w:t>R2-2303713</w:t>
      </w:r>
      <w:r>
        <w:tab/>
      </w:r>
      <w:r>
        <w:t>Disabling HARQ feedback for IoT-NTN</w:t>
      </w:r>
      <w:r>
        <w:tab/>
      </w:r>
      <w:r>
        <w:t>Interdigital, Inc.</w:t>
      </w:r>
      <w:r>
        <w:tab/>
      </w:r>
      <w:r>
        <w:t>discussion</w:t>
      </w:r>
      <w:r>
        <w:tab/>
      </w:r>
      <w:r>
        <w:t>Rel-18</w:t>
      </w:r>
      <w:r>
        <w:tab/>
      </w:r>
      <w:r>
        <w:t>IoT_NTN_enh-Core</w:t>
      </w:r>
    </w:p>
    <w:p>
      <w:pPr>
        <w:pStyle w:val="131"/>
        <w:numPr>
          <w:ilvl w:val="0"/>
          <w:numId w:val="26"/>
        </w:numPr>
      </w:pPr>
      <w:r>
        <w:t>R2-2303837</w:t>
      </w:r>
      <w:r>
        <w:tab/>
      </w:r>
      <w:r>
        <w:t>R18 IoT NTN HARQ enhancements</w:t>
      </w:r>
      <w:r>
        <w:tab/>
      </w:r>
      <w:r>
        <w:t>Ericsson</w:t>
      </w:r>
      <w:r>
        <w:tab/>
      </w:r>
      <w:r>
        <w:t>discussion</w:t>
      </w:r>
      <w:r>
        <w:tab/>
      </w:r>
      <w:r>
        <w:t>Rel-18</w:t>
      </w:r>
      <w:r>
        <w:tab/>
      </w:r>
      <w:r>
        <w:t>IoT_NTN_enh</w:t>
      </w:r>
    </w:p>
    <w:bookmarkEnd w:id="8"/>
    <w:p>
      <w:pPr>
        <w:pStyle w:val="131"/>
        <w:numPr>
          <w:ilvl w:val="0"/>
          <w:numId w:val="26"/>
        </w:numPr>
      </w:pPr>
      <w:r>
        <w:t>R2-2303964</w:t>
      </w:r>
      <w:r>
        <w:tab/>
      </w:r>
      <w:r>
        <w:t>Discussion on HARQ enhancements</w:t>
      </w:r>
      <w:r>
        <w:tab/>
      </w:r>
      <w:r>
        <w:t>Huawei, HiSilicon</w:t>
      </w:r>
      <w:r>
        <w:tab/>
      </w:r>
      <w:r>
        <w:t>discussion</w:t>
      </w:r>
      <w:r>
        <w:tab/>
      </w:r>
      <w:r>
        <w:t>Rel-18</w:t>
      </w:r>
      <w:r>
        <w:tab/>
      </w:r>
      <w:r>
        <w:t>IoT_NTN_enh-Core</w:t>
      </w:r>
    </w:p>
    <w:p>
      <w:pPr>
        <w:pStyle w:val="131"/>
        <w:numPr>
          <w:ilvl w:val="0"/>
          <w:numId w:val="26"/>
        </w:numPr>
      </w:pPr>
      <w:r>
        <w:t>R2-2304030</w:t>
      </w:r>
      <w:r>
        <w:tab/>
      </w:r>
      <w:r>
        <w:t>Discussion on HARQ enhancement</w:t>
      </w:r>
      <w:r>
        <w:tab/>
      </w:r>
      <w:r>
        <w:t>Xiaomi</w:t>
      </w:r>
      <w:r>
        <w:tab/>
      </w:r>
      <w:r>
        <w:t>discussion</w:t>
      </w:r>
      <w:r>
        <w:tab/>
      </w:r>
      <w:r>
        <w:t>Rel-18</w:t>
      </w:r>
    </w:p>
    <w:p>
      <w:pPr>
        <w:pStyle w:val="131"/>
        <w:numPr>
          <w:ilvl w:val="0"/>
          <w:numId w:val="26"/>
        </w:numPr>
      </w:pPr>
      <w:r>
        <w:t>R2-2304032</w:t>
      </w:r>
      <w:r>
        <w:tab/>
      </w:r>
      <w:r>
        <w:t>LS on NPDCCH monitoring for HARQ mode B</w:t>
      </w:r>
      <w:r>
        <w:tab/>
      </w:r>
      <w:r>
        <w:t>Xiaomi</w:t>
      </w:r>
      <w:r>
        <w:tab/>
      </w:r>
      <w:r>
        <w:t>LS out</w:t>
      </w:r>
      <w:r>
        <w:tab/>
      </w:r>
      <w:r>
        <w:t>Rel-18</w:t>
      </w:r>
      <w:r>
        <w:tab/>
      </w:r>
      <w:r>
        <w:t>To:RAN1</w:t>
      </w:r>
    </w:p>
    <w:bookmarkEnd w:id="9"/>
    <w:p>
      <w:pPr>
        <w:pStyle w:val="131"/>
        <w:ind w:left="0" w:firstLine="0"/>
      </w:pPr>
    </w:p>
    <w:p>
      <w:pPr>
        <w:pStyle w:val="131"/>
        <w:ind w:left="0" w:firstLine="0"/>
      </w:pPr>
    </w:p>
    <w:sectPr>
      <w:footerReference r:id="rId5" w:type="default"/>
      <w:headerReference r:id="rId4" w:type="even"/>
      <w:footnotePr>
        <w:numRestart w:val="eachSect"/>
      </w:footnotePr>
      <w:pgSz w:w="11907" w:h="16840"/>
      <w:pgMar w:top="1418" w:right="1134" w:bottom="1134" w:left="1134" w:header="68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rPr>
        <w:rStyle w:val="49"/>
      </w:rPr>
      <w:fldChar w:fldCharType="begin"/>
    </w:r>
    <w:r>
      <w:rPr>
        <w:rStyle w:val="49"/>
      </w:rPr>
      <w:instrText xml:space="preserve"> PAGE </w:instrText>
    </w:r>
    <w:r>
      <w:rPr>
        <w:rStyle w:val="49"/>
      </w:rPr>
      <w:fldChar w:fldCharType="separate"/>
    </w:r>
    <w:r>
      <w:rPr>
        <w:rStyle w:val="49"/>
      </w:rPr>
      <w:t>22</w:t>
    </w:r>
    <w:r>
      <w:rPr>
        <w:rStyle w:val="49"/>
      </w:rPr>
      <w:fldChar w:fldCharType="end"/>
    </w:r>
    <w:r>
      <w:rPr>
        <w:rStyle w:val="49"/>
      </w:rPr>
      <w:t>/</w:t>
    </w:r>
    <w:r>
      <w:rPr>
        <w:rStyle w:val="49"/>
      </w:rPr>
      <w:fldChar w:fldCharType="begin"/>
    </w:r>
    <w:r>
      <w:rPr>
        <w:rStyle w:val="49"/>
      </w:rPr>
      <w:instrText xml:space="preserve"> NUMPAGES </w:instrText>
    </w:r>
    <w:r>
      <w:rPr>
        <w:rStyle w:val="49"/>
      </w:rPr>
      <w:fldChar w:fldCharType="separate"/>
    </w:r>
    <w:r>
      <w:rPr>
        <w:rStyle w:val="49"/>
      </w:rPr>
      <w:t>23</w:t>
    </w:r>
    <w:r>
      <w:rPr>
        <w:rStyle w:val="49"/>
      </w:rPr>
      <w:fldChar w:fldCharType="end"/>
    </w:r>
    <w:r>
      <w:rPr>
        <w:rStyle w:val="4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30953"/>
    <w:multiLevelType w:val="multilevel"/>
    <w:tmpl w:val="01930953"/>
    <w:lvl w:ilvl="0" w:tentative="0">
      <w:start w:val="0"/>
      <w:numFmt w:val="bullet"/>
      <w:lvlText w:val="•"/>
      <w:lvlJc w:val="left"/>
      <w:pPr>
        <w:ind w:left="520" w:hanging="420"/>
      </w:pPr>
      <w:rPr>
        <w:rFonts w:hint="default" w:ascii="Times New Roman" w:hAnsi="Times New Roman" w:cs="Times New Roman" w:eastAsiaTheme="minorHAnsi"/>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1">
    <w:nsid w:val="10F079D9"/>
    <w:multiLevelType w:val="multilevel"/>
    <w:tmpl w:val="10F079D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807F16"/>
    <w:multiLevelType w:val="multilevel"/>
    <w:tmpl w:val="11807F16"/>
    <w:lvl w:ilvl="0" w:tentative="0">
      <w:start w:val="1"/>
      <w:numFmt w:val="bullet"/>
      <w:lvlText w:val=""/>
      <w:lvlJc w:val="left"/>
      <w:pPr>
        <w:ind w:left="1219" w:hanging="420"/>
      </w:pPr>
      <w:rPr>
        <w:rFonts w:hint="default" w:ascii="Symbol" w:hAnsi="Symbol" w:eastAsia="MS Mincho" w:cs="Times New Roman"/>
      </w:rPr>
    </w:lvl>
    <w:lvl w:ilvl="1" w:tentative="0">
      <w:start w:val="1"/>
      <w:numFmt w:val="bullet"/>
      <w:lvlText w:val="o"/>
      <w:lvlJc w:val="left"/>
      <w:pPr>
        <w:ind w:left="1639" w:hanging="420"/>
      </w:pPr>
      <w:rPr>
        <w:rFonts w:hint="default" w:ascii="Courier New" w:hAnsi="Courier New" w:cs="Courier New"/>
      </w:rPr>
    </w:lvl>
    <w:lvl w:ilvl="2" w:tentative="0">
      <w:start w:val="0"/>
      <w:numFmt w:val="bullet"/>
      <w:lvlText w:val="-"/>
      <w:lvlJc w:val="left"/>
      <w:pPr>
        <w:ind w:left="2059" w:hanging="420"/>
      </w:pPr>
      <w:rPr>
        <w:rFonts w:hint="default" w:ascii="Times" w:hAnsi="Times" w:eastAsia="Batang" w:cs="Times"/>
      </w:rPr>
    </w:lvl>
    <w:lvl w:ilvl="3" w:tentative="0">
      <w:start w:val="1"/>
      <w:numFmt w:val="bullet"/>
      <w:lvlText w:val=""/>
      <w:lvlJc w:val="left"/>
      <w:pPr>
        <w:ind w:left="2479" w:hanging="420"/>
      </w:pPr>
      <w:rPr>
        <w:rFonts w:hint="default" w:ascii="Wingdings" w:hAnsi="Wingdings"/>
      </w:rPr>
    </w:lvl>
    <w:lvl w:ilvl="4" w:tentative="0">
      <w:start w:val="1"/>
      <w:numFmt w:val="bullet"/>
      <w:lvlText w:val=""/>
      <w:lvlJc w:val="left"/>
      <w:pPr>
        <w:ind w:left="2899" w:hanging="420"/>
      </w:pPr>
      <w:rPr>
        <w:rFonts w:hint="default" w:ascii="Wingdings" w:hAnsi="Wingdings"/>
      </w:rPr>
    </w:lvl>
    <w:lvl w:ilvl="5" w:tentative="0">
      <w:start w:val="1"/>
      <w:numFmt w:val="bullet"/>
      <w:lvlText w:val=""/>
      <w:lvlJc w:val="left"/>
      <w:pPr>
        <w:ind w:left="3319" w:hanging="420"/>
      </w:pPr>
      <w:rPr>
        <w:rFonts w:hint="default" w:ascii="Wingdings" w:hAnsi="Wingdings"/>
      </w:rPr>
    </w:lvl>
    <w:lvl w:ilvl="6" w:tentative="0">
      <w:start w:val="1"/>
      <w:numFmt w:val="bullet"/>
      <w:lvlText w:val=""/>
      <w:lvlJc w:val="left"/>
      <w:pPr>
        <w:ind w:left="3739" w:hanging="420"/>
      </w:pPr>
      <w:rPr>
        <w:rFonts w:hint="default" w:ascii="Wingdings" w:hAnsi="Wingdings"/>
      </w:rPr>
    </w:lvl>
    <w:lvl w:ilvl="7" w:tentative="0">
      <w:start w:val="1"/>
      <w:numFmt w:val="bullet"/>
      <w:lvlText w:val=""/>
      <w:lvlJc w:val="left"/>
      <w:pPr>
        <w:ind w:left="4159" w:hanging="420"/>
      </w:pPr>
      <w:rPr>
        <w:rFonts w:hint="default" w:ascii="Wingdings" w:hAnsi="Wingdings"/>
      </w:rPr>
    </w:lvl>
    <w:lvl w:ilvl="8" w:tentative="0">
      <w:start w:val="1"/>
      <w:numFmt w:val="bullet"/>
      <w:lvlText w:val=""/>
      <w:lvlJc w:val="left"/>
      <w:pPr>
        <w:ind w:left="4579" w:hanging="420"/>
      </w:pPr>
      <w:rPr>
        <w:rFonts w:hint="default" w:ascii="Wingdings" w:hAnsi="Wingdings"/>
      </w:rPr>
    </w:lvl>
  </w:abstractNum>
  <w:abstractNum w:abstractNumId="3">
    <w:nsid w:val="17C51EC1"/>
    <w:multiLevelType w:val="multilevel"/>
    <w:tmpl w:val="17C51EC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0191D58"/>
    <w:multiLevelType w:val="multilevel"/>
    <w:tmpl w:val="20191D58"/>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
    <w:nsid w:val="2AC802AE"/>
    <w:multiLevelType w:val="multilevel"/>
    <w:tmpl w:val="2AC802A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9">
    <w:nsid w:val="3D825517"/>
    <w:multiLevelType w:val="multilevel"/>
    <w:tmpl w:val="3D82551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896691A"/>
    <w:multiLevelType w:val="multilevel"/>
    <w:tmpl w:val="4896691A"/>
    <w:lvl w:ilvl="0" w:tentative="0">
      <w:start w:val="2"/>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521F44A7"/>
    <w:multiLevelType w:val="multilevel"/>
    <w:tmpl w:val="521F44A7"/>
    <w:lvl w:ilvl="0" w:tentative="0">
      <w:start w:val="1"/>
      <w:numFmt w:val="bullet"/>
      <w:pStyle w:val="13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D5B249C"/>
    <w:multiLevelType w:val="multilevel"/>
    <w:tmpl w:val="5D5B249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60A32A63"/>
    <w:multiLevelType w:val="multilevel"/>
    <w:tmpl w:val="60A32A63"/>
    <w:lvl w:ilvl="0" w:tentative="0">
      <w:start w:val="3"/>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5">
    <w:nsid w:val="637247E8"/>
    <w:multiLevelType w:val="multilevel"/>
    <w:tmpl w:val="637247E8"/>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6">
    <w:nsid w:val="64E86404"/>
    <w:multiLevelType w:val="multilevel"/>
    <w:tmpl w:val="64E86404"/>
    <w:lvl w:ilvl="0" w:tentative="0">
      <w:start w:val="1"/>
      <w:numFmt w:val="bullet"/>
      <w:lvlText w:val=""/>
      <w:lvlJc w:val="left"/>
      <w:pPr>
        <w:ind w:left="986" w:hanging="420"/>
      </w:pPr>
      <w:rPr>
        <w:rFonts w:hint="default" w:ascii="Wingdings" w:hAnsi="Wingdings"/>
      </w:rPr>
    </w:lvl>
    <w:lvl w:ilvl="1" w:tentative="0">
      <w:start w:val="1"/>
      <w:numFmt w:val="bullet"/>
      <w:lvlText w:val=""/>
      <w:lvlJc w:val="left"/>
      <w:pPr>
        <w:ind w:left="1406" w:hanging="420"/>
      </w:pPr>
      <w:rPr>
        <w:rFonts w:hint="default" w:ascii="Wingdings" w:hAnsi="Wingdings"/>
      </w:rPr>
    </w:lvl>
    <w:lvl w:ilvl="2" w:tentative="0">
      <w:start w:val="1"/>
      <w:numFmt w:val="bullet"/>
      <w:lvlText w:val=""/>
      <w:lvlJc w:val="left"/>
      <w:pPr>
        <w:ind w:left="1826" w:hanging="420"/>
      </w:pPr>
      <w:rPr>
        <w:rFonts w:hint="default" w:ascii="Wingdings" w:hAnsi="Wingdings"/>
      </w:rPr>
    </w:lvl>
    <w:lvl w:ilvl="3" w:tentative="0">
      <w:start w:val="1"/>
      <w:numFmt w:val="bullet"/>
      <w:lvlText w:val=""/>
      <w:lvlJc w:val="left"/>
      <w:pPr>
        <w:ind w:left="2246" w:hanging="420"/>
      </w:pPr>
      <w:rPr>
        <w:rFonts w:hint="default" w:ascii="Wingdings" w:hAnsi="Wingdings"/>
      </w:rPr>
    </w:lvl>
    <w:lvl w:ilvl="4" w:tentative="0">
      <w:start w:val="1"/>
      <w:numFmt w:val="bullet"/>
      <w:lvlText w:val=""/>
      <w:lvlJc w:val="left"/>
      <w:pPr>
        <w:ind w:left="2666" w:hanging="420"/>
      </w:pPr>
      <w:rPr>
        <w:rFonts w:hint="default" w:ascii="Wingdings" w:hAnsi="Wingdings"/>
      </w:rPr>
    </w:lvl>
    <w:lvl w:ilvl="5" w:tentative="0">
      <w:start w:val="1"/>
      <w:numFmt w:val="bullet"/>
      <w:lvlText w:val=""/>
      <w:lvlJc w:val="left"/>
      <w:pPr>
        <w:ind w:left="3086" w:hanging="420"/>
      </w:pPr>
      <w:rPr>
        <w:rFonts w:hint="default" w:ascii="Wingdings" w:hAnsi="Wingdings"/>
      </w:rPr>
    </w:lvl>
    <w:lvl w:ilvl="6" w:tentative="0">
      <w:start w:val="1"/>
      <w:numFmt w:val="bullet"/>
      <w:lvlText w:val=""/>
      <w:lvlJc w:val="left"/>
      <w:pPr>
        <w:ind w:left="3506" w:hanging="420"/>
      </w:pPr>
      <w:rPr>
        <w:rFonts w:hint="default" w:ascii="Wingdings" w:hAnsi="Wingdings"/>
      </w:rPr>
    </w:lvl>
    <w:lvl w:ilvl="7" w:tentative="0">
      <w:start w:val="1"/>
      <w:numFmt w:val="bullet"/>
      <w:lvlText w:val=""/>
      <w:lvlJc w:val="left"/>
      <w:pPr>
        <w:ind w:left="3926" w:hanging="420"/>
      </w:pPr>
      <w:rPr>
        <w:rFonts w:hint="default" w:ascii="Wingdings" w:hAnsi="Wingdings"/>
      </w:rPr>
    </w:lvl>
    <w:lvl w:ilvl="8" w:tentative="0">
      <w:start w:val="1"/>
      <w:numFmt w:val="bullet"/>
      <w:lvlText w:val=""/>
      <w:lvlJc w:val="left"/>
      <w:pPr>
        <w:ind w:left="4346" w:hanging="420"/>
      </w:pPr>
      <w:rPr>
        <w:rFonts w:hint="default" w:ascii="Wingdings" w:hAnsi="Wingdings"/>
      </w:rPr>
    </w:lvl>
  </w:abstractNum>
  <w:abstractNum w:abstractNumId="17">
    <w:nsid w:val="65024C5B"/>
    <w:multiLevelType w:val="multilevel"/>
    <w:tmpl w:val="65024C5B"/>
    <w:lvl w:ilvl="0" w:tentative="0">
      <w:start w:val="38"/>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18">
    <w:nsid w:val="6E6B4FDE"/>
    <w:multiLevelType w:val="multilevel"/>
    <w:tmpl w:val="6E6B4FDE"/>
    <w:lvl w:ilvl="0" w:tentative="0">
      <w:start w:val="0"/>
      <w:numFmt w:val="bullet"/>
      <w:lvlText w:val="•"/>
      <w:lvlJc w:val="left"/>
      <w:pPr>
        <w:ind w:left="420" w:hanging="420"/>
      </w:pPr>
      <w:rPr>
        <w:rFonts w:hint="default" w:ascii="Times New Roman" w:hAnsi="Times New Roman" w:cs="Times New Roman" w:eastAsiaTheme="minorHAns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6E760327"/>
    <w:multiLevelType w:val="multilevel"/>
    <w:tmpl w:val="6E760327"/>
    <w:lvl w:ilvl="0" w:tentative="0">
      <w:start w:val="1"/>
      <w:numFmt w:val="decimal"/>
      <w:pStyle w:val="116"/>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0">
    <w:nsid w:val="70146DC0"/>
    <w:multiLevelType w:val="multilevel"/>
    <w:tmpl w:val="70146DC0"/>
    <w:lvl w:ilvl="0" w:tentative="0">
      <w:start w:val="1"/>
      <w:numFmt w:val="bullet"/>
      <w:pStyle w:val="12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75627DDD"/>
    <w:multiLevelType w:val="multilevel"/>
    <w:tmpl w:val="75627DDD"/>
    <w:lvl w:ilvl="0" w:tentative="0">
      <w:start w:val="1"/>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22">
    <w:nsid w:val="760C788E"/>
    <w:multiLevelType w:val="multilevel"/>
    <w:tmpl w:val="760C78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8F76F6F"/>
    <w:multiLevelType w:val="singleLevel"/>
    <w:tmpl w:val="78F76F6F"/>
    <w:lvl w:ilvl="0" w:tentative="0">
      <w:start w:val="1"/>
      <w:numFmt w:val="bullet"/>
      <w:pStyle w:val="141"/>
      <w:lvlText w:val=""/>
      <w:lvlJc w:val="left"/>
      <w:pPr>
        <w:tabs>
          <w:tab w:val="left" w:pos="360"/>
        </w:tabs>
        <w:ind w:left="360" w:hanging="360"/>
      </w:pPr>
      <w:rPr>
        <w:rFonts w:hint="default" w:ascii="Symbol" w:hAnsi="Symbol"/>
      </w:rPr>
    </w:lvl>
  </w:abstractNum>
  <w:abstractNum w:abstractNumId="24">
    <w:nsid w:val="7E887833"/>
    <w:multiLevelType w:val="multilevel"/>
    <w:tmpl w:val="7E887833"/>
    <w:lvl w:ilvl="0" w:tentative="0">
      <w:start w:val="7"/>
      <w:numFmt w:val="bullet"/>
      <w:lvlText w:val="-"/>
      <w:lvlJc w:val="left"/>
      <w:pPr>
        <w:ind w:left="1619" w:hanging="360"/>
      </w:pPr>
      <w:rPr>
        <w:rFonts w:hint="default" w:ascii="Arial" w:hAnsi="Arial" w:eastAsia="MS Mincho" w:cs="Arial"/>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25">
    <w:nsid w:val="7F547DFD"/>
    <w:multiLevelType w:val="singleLevel"/>
    <w:tmpl w:val="7F547DFD"/>
    <w:lvl w:ilvl="0" w:tentative="0">
      <w:start w:val="1"/>
      <w:numFmt w:val="bullet"/>
      <w:pStyle w:val="104"/>
      <w:lvlText w:val=""/>
      <w:lvlJc w:val="left"/>
      <w:pPr>
        <w:tabs>
          <w:tab w:val="left" w:pos="1418"/>
        </w:tabs>
        <w:ind w:left="1418" w:hanging="426"/>
      </w:pPr>
      <w:rPr>
        <w:rFonts w:hint="default" w:ascii="Wingdings" w:hAnsi="Wingdings"/>
      </w:rPr>
    </w:lvl>
  </w:abstractNum>
  <w:num w:numId="1">
    <w:abstractNumId w:val="7"/>
  </w:num>
  <w:num w:numId="2">
    <w:abstractNumId w:val="12"/>
  </w:num>
  <w:num w:numId="3">
    <w:abstractNumId w:val="6"/>
  </w:num>
  <w:num w:numId="4">
    <w:abstractNumId w:val="8"/>
  </w:num>
  <w:num w:numId="5">
    <w:abstractNumId w:val="25"/>
  </w:num>
  <w:num w:numId="6">
    <w:abstractNumId w:val="19"/>
  </w:num>
  <w:num w:numId="7">
    <w:abstractNumId w:val="20"/>
  </w:num>
  <w:num w:numId="8">
    <w:abstractNumId w:val="11"/>
  </w:num>
  <w:num w:numId="9">
    <w:abstractNumId w:val="23"/>
  </w:num>
  <w:num w:numId="10">
    <w:abstractNumId w:val="21"/>
  </w:num>
  <w:num w:numId="11">
    <w:abstractNumId w:val="14"/>
  </w:num>
  <w:num w:numId="12">
    <w:abstractNumId w:val="15"/>
  </w:num>
  <w:num w:numId="13">
    <w:abstractNumId w:val="24"/>
  </w:num>
  <w:num w:numId="14">
    <w:abstractNumId w:val="17"/>
  </w:num>
  <w:num w:numId="15">
    <w:abstractNumId w:val="2"/>
  </w:num>
  <w:num w:numId="16">
    <w:abstractNumId w:val="16"/>
  </w:num>
  <w:num w:numId="17">
    <w:abstractNumId w:val="13"/>
  </w:num>
  <w:num w:numId="18">
    <w:abstractNumId w:val="18"/>
  </w:num>
  <w:num w:numId="19">
    <w:abstractNumId w:val="22"/>
  </w:num>
  <w:num w:numId="20">
    <w:abstractNumId w:val="10"/>
  </w:num>
  <w:num w:numId="21">
    <w:abstractNumId w:val="1"/>
  </w:num>
  <w:num w:numId="22">
    <w:abstractNumId w:val="4"/>
  </w:num>
  <w:num w:numId="23">
    <w:abstractNumId w:val="5"/>
  </w:num>
  <w:num w:numId="24">
    <w:abstractNumId w:val="9"/>
  </w:num>
  <w:num w:numId="25">
    <w:abstractNumId w:val="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isplayBackgroundShape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attachedTemplate r:id="rId1"/>
  <w:documentProtection w:enforcement="0"/>
  <w:defaultTabStop w:val="567"/>
  <w:doNotHyphenateCaps/>
  <w:drawingGridHorizontalSpacing w:val="100"/>
  <w:drawingGridVerticalSpacing w:val="156"/>
  <w:displayHorizontalDrawingGridEvery w:val="2"/>
  <w:displayVerticalDrawingGridEvery w:val="0"/>
  <w:doNotShadeFormData w:val="1"/>
  <w:characterSpacingControl w:val="doNotCompress"/>
  <w:footnotePr>
    <w:numRestart w:val="eachSect"/>
    <w:footnote w:id="0"/>
    <w:footnote w:id="1"/>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NThlMGFjMWNjMTQxZGRjZDBmMDU3M2M1MWJiYjlhNzEifQ=="/>
  </w:docVars>
  <w:rsids>
    <w:rsidRoot w:val="002804D3"/>
    <w:rsid w:val="000006E1"/>
    <w:rsid w:val="000013AA"/>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870"/>
    <w:rsid w:val="00015D15"/>
    <w:rsid w:val="00016256"/>
    <w:rsid w:val="000174B1"/>
    <w:rsid w:val="000203DC"/>
    <w:rsid w:val="00020616"/>
    <w:rsid w:val="00020B6B"/>
    <w:rsid w:val="0002226F"/>
    <w:rsid w:val="00023602"/>
    <w:rsid w:val="00024D72"/>
    <w:rsid w:val="000253A9"/>
    <w:rsid w:val="0002564D"/>
    <w:rsid w:val="00025ECA"/>
    <w:rsid w:val="00026666"/>
    <w:rsid w:val="00026FCB"/>
    <w:rsid w:val="00027573"/>
    <w:rsid w:val="000275D6"/>
    <w:rsid w:val="00030FCB"/>
    <w:rsid w:val="00032059"/>
    <w:rsid w:val="00032244"/>
    <w:rsid w:val="00032533"/>
    <w:rsid w:val="000325B8"/>
    <w:rsid w:val="00032D18"/>
    <w:rsid w:val="00034C15"/>
    <w:rsid w:val="00034C43"/>
    <w:rsid w:val="00034D6F"/>
    <w:rsid w:val="000353FC"/>
    <w:rsid w:val="0003688D"/>
    <w:rsid w:val="00036BA1"/>
    <w:rsid w:val="00036BD5"/>
    <w:rsid w:val="0003770F"/>
    <w:rsid w:val="000378B8"/>
    <w:rsid w:val="00040095"/>
    <w:rsid w:val="000416F3"/>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2AA"/>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E1A"/>
    <w:rsid w:val="00066044"/>
    <w:rsid w:val="000667BD"/>
    <w:rsid w:val="00066BAB"/>
    <w:rsid w:val="00066D04"/>
    <w:rsid w:val="00066F56"/>
    <w:rsid w:val="00067944"/>
    <w:rsid w:val="000712AE"/>
    <w:rsid w:val="00071CEF"/>
    <w:rsid w:val="000721C1"/>
    <w:rsid w:val="00072BEF"/>
    <w:rsid w:val="00073AF3"/>
    <w:rsid w:val="00073B24"/>
    <w:rsid w:val="0007593F"/>
    <w:rsid w:val="00076004"/>
    <w:rsid w:val="0007620B"/>
    <w:rsid w:val="00076CDD"/>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87C7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063"/>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5CEA"/>
    <w:rsid w:val="000B61E9"/>
    <w:rsid w:val="000B627D"/>
    <w:rsid w:val="000C165A"/>
    <w:rsid w:val="000C1AAE"/>
    <w:rsid w:val="000C1C86"/>
    <w:rsid w:val="000C240D"/>
    <w:rsid w:val="000C2E19"/>
    <w:rsid w:val="000C3060"/>
    <w:rsid w:val="000C3BA5"/>
    <w:rsid w:val="000C45D0"/>
    <w:rsid w:val="000C4617"/>
    <w:rsid w:val="000C53A0"/>
    <w:rsid w:val="000C57A2"/>
    <w:rsid w:val="000C6324"/>
    <w:rsid w:val="000C64BD"/>
    <w:rsid w:val="000C66FC"/>
    <w:rsid w:val="000C7251"/>
    <w:rsid w:val="000C7913"/>
    <w:rsid w:val="000C7BAD"/>
    <w:rsid w:val="000D0509"/>
    <w:rsid w:val="000D0D07"/>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4C27"/>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5145"/>
    <w:rsid w:val="000F5EB7"/>
    <w:rsid w:val="000F628C"/>
    <w:rsid w:val="000F642B"/>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0C7C"/>
    <w:rsid w:val="001110A6"/>
    <w:rsid w:val="001114D0"/>
    <w:rsid w:val="00111647"/>
    <w:rsid w:val="00111671"/>
    <w:rsid w:val="001116C6"/>
    <w:rsid w:val="00112042"/>
    <w:rsid w:val="00112475"/>
    <w:rsid w:val="001129A9"/>
    <w:rsid w:val="00113092"/>
    <w:rsid w:val="00113CF4"/>
    <w:rsid w:val="00114286"/>
    <w:rsid w:val="00114988"/>
    <w:rsid w:val="00114A7A"/>
    <w:rsid w:val="001153EA"/>
    <w:rsid w:val="00115643"/>
    <w:rsid w:val="001158A9"/>
    <w:rsid w:val="00116143"/>
    <w:rsid w:val="00116765"/>
    <w:rsid w:val="001178A7"/>
    <w:rsid w:val="00117B4D"/>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B6B"/>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10FA"/>
    <w:rsid w:val="0017143E"/>
    <w:rsid w:val="00171AB1"/>
    <w:rsid w:val="00172D29"/>
    <w:rsid w:val="001731B7"/>
    <w:rsid w:val="00173666"/>
    <w:rsid w:val="001736DD"/>
    <w:rsid w:val="00173A8E"/>
    <w:rsid w:val="00173ABB"/>
    <w:rsid w:val="00173E4C"/>
    <w:rsid w:val="0017595C"/>
    <w:rsid w:val="001760DB"/>
    <w:rsid w:val="00176A65"/>
    <w:rsid w:val="0017791E"/>
    <w:rsid w:val="0018015C"/>
    <w:rsid w:val="0018143F"/>
    <w:rsid w:val="00181694"/>
    <w:rsid w:val="00181BA6"/>
    <w:rsid w:val="0018290D"/>
    <w:rsid w:val="00183C22"/>
    <w:rsid w:val="00184227"/>
    <w:rsid w:val="00184258"/>
    <w:rsid w:val="0018482B"/>
    <w:rsid w:val="00184BE4"/>
    <w:rsid w:val="00184D7D"/>
    <w:rsid w:val="001850DE"/>
    <w:rsid w:val="00185578"/>
    <w:rsid w:val="001857D0"/>
    <w:rsid w:val="00186B4A"/>
    <w:rsid w:val="001875EB"/>
    <w:rsid w:val="00190664"/>
    <w:rsid w:val="00190AC1"/>
    <w:rsid w:val="00190B1D"/>
    <w:rsid w:val="0019112B"/>
    <w:rsid w:val="00191775"/>
    <w:rsid w:val="00192CD0"/>
    <w:rsid w:val="0019341A"/>
    <w:rsid w:val="00193513"/>
    <w:rsid w:val="001938D2"/>
    <w:rsid w:val="00193C22"/>
    <w:rsid w:val="00193C64"/>
    <w:rsid w:val="00193EC9"/>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4878"/>
    <w:rsid w:val="001A6173"/>
    <w:rsid w:val="001A6633"/>
    <w:rsid w:val="001A67F9"/>
    <w:rsid w:val="001A6CBA"/>
    <w:rsid w:val="001B04D5"/>
    <w:rsid w:val="001B05F9"/>
    <w:rsid w:val="001B0B5A"/>
    <w:rsid w:val="001B0B6C"/>
    <w:rsid w:val="001B0D97"/>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BCC"/>
    <w:rsid w:val="001C3D2A"/>
    <w:rsid w:val="001C4315"/>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298"/>
    <w:rsid w:val="00234CFE"/>
    <w:rsid w:val="00234E22"/>
    <w:rsid w:val="00235632"/>
    <w:rsid w:val="00235872"/>
    <w:rsid w:val="00235FFB"/>
    <w:rsid w:val="00236F6A"/>
    <w:rsid w:val="00241559"/>
    <w:rsid w:val="002422A0"/>
    <w:rsid w:val="002435B3"/>
    <w:rsid w:val="0024373E"/>
    <w:rsid w:val="00243B26"/>
    <w:rsid w:val="002443AC"/>
    <w:rsid w:val="0024558E"/>
    <w:rsid w:val="002458EB"/>
    <w:rsid w:val="0024591B"/>
    <w:rsid w:val="00245A75"/>
    <w:rsid w:val="002465D4"/>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765"/>
    <w:rsid w:val="00262C31"/>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380C"/>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8FC"/>
    <w:rsid w:val="00296F44"/>
    <w:rsid w:val="0029777D"/>
    <w:rsid w:val="00297817"/>
    <w:rsid w:val="0029793D"/>
    <w:rsid w:val="00297E0E"/>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2EE2"/>
    <w:rsid w:val="002B333E"/>
    <w:rsid w:val="002B3A8F"/>
    <w:rsid w:val="002B3E10"/>
    <w:rsid w:val="002B3F42"/>
    <w:rsid w:val="002B4D04"/>
    <w:rsid w:val="002B55F8"/>
    <w:rsid w:val="002B625A"/>
    <w:rsid w:val="002B6C7F"/>
    <w:rsid w:val="002C0ED0"/>
    <w:rsid w:val="002C0F30"/>
    <w:rsid w:val="002C19DB"/>
    <w:rsid w:val="002C2AE2"/>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10D4"/>
    <w:rsid w:val="002D1508"/>
    <w:rsid w:val="002D15AD"/>
    <w:rsid w:val="002D24EE"/>
    <w:rsid w:val="002D2921"/>
    <w:rsid w:val="002D2D59"/>
    <w:rsid w:val="002D34B2"/>
    <w:rsid w:val="002D39C7"/>
    <w:rsid w:val="002D5C38"/>
    <w:rsid w:val="002D5D04"/>
    <w:rsid w:val="002D5E68"/>
    <w:rsid w:val="002D6000"/>
    <w:rsid w:val="002D64F9"/>
    <w:rsid w:val="002D66F1"/>
    <w:rsid w:val="002D75D3"/>
    <w:rsid w:val="002D7637"/>
    <w:rsid w:val="002D774D"/>
    <w:rsid w:val="002E109F"/>
    <w:rsid w:val="002E12C1"/>
    <w:rsid w:val="002E179E"/>
    <w:rsid w:val="002E17F2"/>
    <w:rsid w:val="002E184B"/>
    <w:rsid w:val="002E1A81"/>
    <w:rsid w:val="002E1B40"/>
    <w:rsid w:val="002E2397"/>
    <w:rsid w:val="002E2EBC"/>
    <w:rsid w:val="002E3EA6"/>
    <w:rsid w:val="002E4CD9"/>
    <w:rsid w:val="002E5C4A"/>
    <w:rsid w:val="002E674C"/>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4CFF"/>
    <w:rsid w:val="002F57AF"/>
    <w:rsid w:val="002F6251"/>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34C3"/>
    <w:rsid w:val="00303FF3"/>
    <w:rsid w:val="0030501F"/>
    <w:rsid w:val="00305C1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507A"/>
    <w:rsid w:val="00315678"/>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2B7"/>
    <w:rsid w:val="00344FEC"/>
    <w:rsid w:val="00345261"/>
    <w:rsid w:val="00346DB5"/>
    <w:rsid w:val="003477B1"/>
    <w:rsid w:val="00351499"/>
    <w:rsid w:val="00352392"/>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4602"/>
    <w:rsid w:val="00384BA4"/>
    <w:rsid w:val="003850E0"/>
    <w:rsid w:val="00385BF0"/>
    <w:rsid w:val="00390339"/>
    <w:rsid w:val="00390659"/>
    <w:rsid w:val="00390FBC"/>
    <w:rsid w:val="00391498"/>
    <w:rsid w:val="003917D7"/>
    <w:rsid w:val="0039231E"/>
    <w:rsid w:val="00392578"/>
    <w:rsid w:val="0039340E"/>
    <w:rsid w:val="00393431"/>
    <w:rsid w:val="00393524"/>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033"/>
    <w:rsid w:val="003B0225"/>
    <w:rsid w:val="003B0326"/>
    <w:rsid w:val="003B07A7"/>
    <w:rsid w:val="003B0DF5"/>
    <w:rsid w:val="003B159C"/>
    <w:rsid w:val="003B1B11"/>
    <w:rsid w:val="003B1EE8"/>
    <w:rsid w:val="003B369F"/>
    <w:rsid w:val="003B36A3"/>
    <w:rsid w:val="003B4D7E"/>
    <w:rsid w:val="003B542D"/>
    <w:rsid w:val="003B5D72"/>
    <w:rsid w:val="003B6326"/>
    <w:rsid w:val="003B6501"/>
    <w:rsid w:val="003B66DA"/>
    <w:rsid w:val="003B71C1"/>
    <w:rsid w:val="003B77DF"/>
    <w:rsid w:val="003B7E35"/>
    <w:rsid w:val="003B7FE5"/>
    <w:rsid w:val="003C0E53"/>
    <w:rsid w:val="003C11C8"/>
    <w:rsid w:val="003C19DA"/>
    <w:rsid w:val="003C23C9"/>
    <w:rsid w:val="003C2702"/>
    <w:rsid w:val="003C327D"/>
    <w:rsid w:val="003C38EB"/>
    <w:rsid w:val="003C411B"/>
    <w:rsid w:val="003C5070"/>
    <w:rsid w:val="003C5215"/>
    <w:rsid w:val="003C7806"/>
    <w:rsid w:val="003D0471"/>
    <w:rsid w:val="003D109F"/>
    <w:rsid w:val="003D135B"/>
    <w:rsid w:val="003D2478"/>
    <w:rsid w:val="003D24DC"/>
    <w:rsid w:val="003D2688"/>
    <w:rsid w:val="003D27F0"/>
    <w:rsid w:val="003D2B79"/>
    <w:rsid w:val="003D33B4"/>
    <w:rsid w:val="003D3AFB"/>
    <w:rsid w:val="003D3C45"/>
    <w:rsid w:val="003D3F86"/>
    <w:rsid w:val="003D4E4F"/>
    <w:rsid w:val="003D59E0"/>
    <w:rsid w:val="003D5B1F"/>
    <w:rsid w:val="003D5CEB"/>
    <w:rsid w:val="003D5FB0"/>
    <w:rsid w:val="003D62C8"/>
    <w:rsid w:val="003D764B"/>
    <w:rsid w:val="003D7900"/>
    <w:rsid w:val="003E01F7"/>
    <w:rsid w:val="003E1007"/>
    <w:rsid w:val="003E1499"/>
    <w:rsid w:val="003E15FA"/>
    <w:rsid w:val="003E2466"/>
    <w:rsid w:val="003E2B9B"/>
    <w:rsid w:val="003E2EC0"/>
    <w:rsid w:val="003E3C77"/>
    <w:rsid w:val="003E4AF8"/>
    <w:rsid w:val="003E4D35"/>
    <w:rsid w:val="003E4DD1"/>
    <w:rsid w:val="003E4F46"/>
    <w:rsid w:val="003E55E4"/>
    <w:rsid w:val="003E6405"/>
    <w:rsid w:val="003E6B41"/>
    <w:rsid w:val="003E74E3"/>
    <w:rsid w:val="003F05C7"/>
    <w:rsid w:val="003F13A4"/>
    <w:rsid w:val="003F1455"/>
    <w:rsid w:val="003F1F72"/>
    <w:rsid w:val="003F2904"/>
    <w:rsid w:val="003F2C3C"/>
    <w:rsid w:val="003F2CD4"/>
    <w:rsid w:val="003F3A0D"/>
    <w:rsid w:val="003F3DD8"/>
    <w:rsid w:val="003F3F5A"/>
    <w:rsid w:val="003F435A"/>
    <w:rsid w:val="003F4C16"/>
    <w:rsid w:val="003F56C1"/>
    <w:rsid w:val="003F6BBE"/>
    <w:rsid w:val="003F7F51"/>
    <w:rsid w:val="004000E8"/>
    <w:rsid w:val="00400664"/>
    <w:rsid w:val="00401ACA"/>
    <w:rsid w:val="00401CEA"/>
    <w:rsid w:val="00402058"/>
    <w:rsid w:val="00402E2B"/>
    <w:rsid w:val="00403378"/>
    <w:rsid w:val="004035E4"/>
    <w:rsid w:val="00404835"/>
    <w:rsid w:val="0040498B"/>
    <w:rsid w:val="0040512B"/>
    <w:rsid w:val="004052DE"/>
    <w:rsid w:val="004052E5"/>
    <w:rsid w:val="00405357"/>
    <w:rsid w:val="00405CA5"/>
    <w:rsid w:val="00405F23"/>
    <w:rsid w:val="00406CB3"/>
    <w:rsid w:val="0040734A"/>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138F"/>
    <w:rsid w:val="004223AC"/>
    <w:rsid w:val="004231C8"/>
    <w:rsid w:val="00424211"/>
    <w:rsid w:val="004242F4"/>
    <w:rsid w:val="00425B88"/>
    <w:rsid w:val="00426565"/>
    <w:rsid w:val="004270CD"/>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5AE"/>
    <w:rsid w:val="00441A92"/>
    <w:rsid w:val="00443897"/>
    <w:rsid w:val="004441AE"/>
    <w:rsid w:val="00444F56"/>
    <w:rsid w:val="00445B72"/>
    <w:rsid w:val="00446488"/>
    <w:rsid w:val="00446D86"/>
    <w:rsid w:val="0044780B"/>
    <w:rsid w:val="00447CAE"/>
    <w:rsid w:val="00447DE8"/>
    <w:rsid w:val="00450337"/>
    <w:rsid w:val="00450790"/>
    <w:rsid w:val="004511DB"/>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6"/>
    <w:rsid w:val="004914F8"/>
    <w:rsid w:val="00491624"/>
    <w:rsid w:val="00491C6E"/>
    <w:rsid w:val="00492BC5"/>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3B30"/>
    <w:rsid w:val="004A4277"/>
    <w:rsid w:val="004A5819"/>
    <w:rsid w:val="004A61DA"/>
    <w:rsid w:val="004A6744"/>
    <w:rsid w:val="004B059A"/>
    <w:rsid w:val="004B08EB"/>
    <w:rsid w:val="004B0F34"/>
    <w:rsid w:val="004B0F93"/>
    <w:rsid w:val="004B236F"/>
    <w:rsid w:val="004B2DC8"/>
    <w:rsid w:val="004B4D75"/>
    <w:rsid w:val="004B572C"/>
    <w:rsid w:val="004B5C2F"/>
    <w:rsid w:val="004B5D8E"/>
    <w:rsid w:val="004B6F1D"/>
    <w:rsid w:val="004B766C"/>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45C"/>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53A7"/>
    <w:rsid w:val="00515992"/>
    <w:rsid w:val="005164A5"/>
    <w:rsid w:val="0052148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791"/>
    <w:rsid w:val="00541A35"/>
    <w:rsid w:val="005424E6"/>
    <w:rsid w:val="005428C6"/>
    <w:rsid w:val="005429C3"/>
    <w:rsid w:val="00542BCE"/>
    <w:rsid w:val="005432BF"/>
    <w:rsid w:val="00543D55"/>
    <w:rsid w:val="00543FD9"/>
    <w:rsid w:val="0054469B"/>
    <w:rsid w:val="00544B59"/>
    <w:rsid w:val="0054556B"/>
    <w:rsid w:val="00546970"/>
    <w:rsid w:val="00546B4D"/>
    <w:rsid w:val="00546E69"/>
    <w:rsid w:val="00550BC1"/>
    <w:rsid w:val="0055129E"/>
    <w:rsid w:val="00552585"/>
    <w:rsid w:val="00552EC7"/>
    <w:rsid w:val="00553311"/>
    <w:rsid w:val="00553CDB"/>
    <w:rsid w:val="00553EAD"/>
    <w:rsid w:val="005549D4"/>
    <w:rsid w:val="00554E19"/>
    <w:rsid w:val="00555B57"/>
    <w:rsid w:val="00555D41"/>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2389"/>
    <w:rsid w:val="005D23D1"/>
    <w:rsid w:val="005D28F9"/>
    <w:rsid w:val="005D2993"/>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660"/>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A3"/>
    <w:rsid w:val="006324DB"/>
    <w:rsid w:val="0063284C"/>
    <w:rsid w:val="00632B50"/>
    <w:rsid w:val="00632BE1"/>
    <w:rsid w:val="00632E33"/>
    <w:rsid w:val="00633502"/>
    <w:rsid w:val="0063366C"/>
    <w:rsid w:val="00634BA8"/>
    <w:rsid w:val="00635B05"/>
    <w:rsid w:val="00636398"/>
    <w:rsid w:val="0063645F"/>
    <w:rsid w:val="006368D3"/>
    <w:rsid w:val="00637011"/>
    <w:rsid w:val="006377EC"/>
    <w:rsid w:val="006409D3"/>
    <w:rsid w:val="0064151F"/>
    <w:rsid w:val="00641533"/>
    <w:rsid w:val="00641D12"/>
    <w:rsid w:val="00641F07"/>
    <w:rsid w:val="0064208D"/>
    <w:rsid w:val="00643475"/>
    <w:rsid w:val="0064396A"/>
    <w:rsid w:val="0064404D"/>
    <w:rsid w:val="00645EA0"/>
    <w:rsid w:val="0064608A"/>
    <w:rsid w:val="0064624E"/>
    <w:rsid w:val="00650AB9"/>
    <w:rsid w:val="00650DCF"/>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13A6"/>
    <w:rsid w:val="0066199D"/>
    <w:rsid w:val="00661C2F"/>
    <w:rsid w:val="006627A2"/>
    <w:rsid w:val="00662F45"/>
    <w:rsid w:val="006634E6"/>
    <w:rsid w:val="0066425B"/>
    <w:rsid w:val="006655EE"/>
    <w:rsid w:val="0066598E"/>
    <w:rsid w:val="00665A06"/>
    <w:rsid w:val="00666C09"/>
    <w:rsid w:val="00667B9E"/>
    <w:rsid w:val="00667EE7"/>
    <w:rsid w:val="006700B5"/>
    <w:rsid w:val="00670922"/>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50C"/>
    <w:rsid w:val="006827A1"/>
    <w:rsid w:val="00683ECE"/>
    <w:rsid w:val="00685333"/>
    <w:rsid w:val="00685AED"/>
    <w:rsid w:val="00686494"/>
    <w:rsid w:val="00687865"/>
    <w:rsid w:val="0069055A"/>
    <w:rsid w:val="006915E7"/>
    <w:rsid w:val="00691672"/>
    <w:rsid w:val="00692374"/>
    <w:rsid w:val="00692537"/>
    <w:rsid w:val="00692F1D"/>
    <w:rsid w:val="0069409C"/>
    <w:rsid w:val="00694221"/>
    <w:rsid w:val="00695FC2"/>
    <w:rsid w:val="00696532"/>
    <w:rsid w:val="00696949"/>
    <w:rsid w:val="00696D26"/>
    <w:rsid w:val="00697013"/>
    <w:rsid w:val="00697052"/>
    <w:rsid w:val="006976F4"/>
    <w:rsid w:val="006A12D1"/>
    <w:rsid w:val="006A2E65"/>
    <w:rsid w:val="006A35C0"/>
    <w:rsid w:val="006A46FB"/>
    <w:rsid w:val="006A5016"/>
    <w:rsid w:val="006A545A"/>
    <w:rsid w:val="006A5E28"/>
    <w:rsid w:val="006A68A0"/>
    <w:rsid w:val="006A697B"/>
    <w:rsid w:val="006A7AFF"/>
    <w:rsid w:val="006B1816"/>
    <w:rsid w:val="006B1B8A"/>
    <w:rsid w:val="006B2099"/>
    <w:rsid w:val="006B2249"/>
    <w:rsid w:val="006B2C74"/>
    <w:rsid w:val="006B45C2"/>
    <w:rsid w:val="006B50CF"/>
    <w:rsid w:val="006B5412"/>
    <w:rsid w:val="006B5C66"/>
    <w:rsid w:val="006B6928"/>
    <w:rsid w:val="006B76C6"/>
    <w:rsid w:val="006C03B8"/>
    <w:rsid w:val="006C03EB"/>
    <w:rsid w:val="006C1408"/>
    <w:rsid w:val="006C16B6"/>
    <w:rsid w:val="006C1DB4"/>
    <w:rsid w:val="006C49F2"/>
    <w:rsid w:val="006C5055"/>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037"/>
    <w:rsid w:val="006D64CF"/>
    <w:rsid w:val="006D6597"/>
    <w:rsid w:val="006D6CA0"/>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4FB0"/>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5BD9"/>
    <w:rsid w:val="00706101"/>
    <w:rsid w:val="00706636"/>
    <w:rsid w:val="00706DDB"/>
    <w:rsid w:val="00707072"/>
    <w:rsid w:val="00707870"/>
    <w:rsid w:val="00707BA7"/>
    <w:rsid w:val="00707D61"/>
    <w:rsid w:val="00711296"/>
    <w:rsid w:val="00711C2E"/>
    <w:rsid w:val="00712287"/>
    <w:rsid w:val="00712772"/>
    <w:rsid w:val="007129D8"/>
    <w:rsid w:val="0071340C"/>
    <w:rsid w:val="00713AEA"/>
    <w:rsid w:val="00713D85"/>
    <w:rsid w:val="007148D3"/>
    <w:rsid w:val="007149CF"/>
    <w:rsid w:val="0071579B"/>
    <w:rsid w:val="00715B9A"/>
    <w:rsid w:val="00716101"/>
    <w:rsid w:val="00716138"/>
    <w:rsid w:val="00716199"/>
    <w:rsid w:val="0071688C"/>
    <w:rsid w:val="00716B85"/>
    <w:rsid w:val="00720277"/>
    <w:rsid w:val="00721049"/>
    <w:rsid w:val="0072126E"/>
    <w:rsid w:val="00721628"/>
    <w:rsid w:val="00721AE9"/>
    <w:rsid w:val="00721B95"/>
    <w:rsid w:val="00722CD5"/>
    <w:rsid w:val="0072409B"/>
    <w:rsid w:val="0072441F"/>
    <w:rsid w:val="0072456B"/>
    <w:rsid w:val="00725E8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8B1"/>
    <w:rsid w:val="00734FE4"/>
    <w:rsid w:val="007355B6"/>
    <w:rsid w:val="0073617B"/>
    <w:rsid w:val="007362A6"/>
    <w:rsid w:val="00736D7D"/>
    <w:rsid w:val="007375F2"/>
    <w:rsid w:val="007402E0"/>
    <w:rsid w:val="0074038B"/>
    <w:rsid w:val="007406E6"/>
    <w:rsid w:val="00740E58"/>
    <w:rsid w:val="007429B1"/>
    <w:rsid w:val="00742B6F"/>
    <w:rsid w:val="00742F37"/>
    <w:rsid w:val="00742FD1"/>
    <w:rsid w:val="00743630"/>
    <w:rsid w:val="00743938"/>
    <w:rsid w:val="00743BEC"/>
    <w:rsid w:val="007445A0"/>
    <w:rsid w:val="0074524B"/>
    <w:rsid w:val="00745AFA"/>
    <w:rsid w:val="007469BA"/>
    <w:rsid w:val="00747D8B"/>
    <w:rsid w:val="007504C4"/>
    <w:rsid w:val="00751228"/>
    <w:rsid w:val="007528FE"/>
    <w:rsid w:val="00752976"/>
    <w:rsid w:val="00753E2D"/>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77E"/>
    <w:rsid w:val="00781975"/>
    <w:rsid w:val="0078304C"/>
    <w:rsid w:val="00783393"/>
    <w:rsid w:val="00783673"/>
    <w:rsid w:val="007836E6"/>
    <w:rsid w:val="007843D5"/>
    <w:rsid w:val="00785490"/>
    <w:rsid w:val="007868C0"/>
    <w:rsid w:val="007869BE"/>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B89"/>
    <w:rsid w:val="007A0DF6"/>
    <w:rsid w:val="007A1CB3"/>
    <w:rsid w:val="007A306F"/>
    <w:rsid w:val="007A3ED1"/>
    <w:rsid w:val="007A42A0"/>
    <w:rsid w:val="007A43A6"/>
    <w:rsid w:val="007A5473"/>
    <w:rsid w:val="007A58A6"/>
    <w:rsid w:val="007A5D82"/>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619"/>
    <w:rsid w:val="007C6A07"/>
    <w:rsid w:val="007C75A1"/>
    <w:rsid w:val="007C77A5"/>
    <w:rsid w:val="007C7BC8"/>
    <w:rsid w:val="007D04E5"/>
    <w:rsid w:val="007D0A78"/>
    <w:rsid w:val="007D0BD6"/>
    <w:rsid w:val="007D17B8"/>
    <w:rsid w:val="007D1E27"/>
    <w:rsid w:val="007D1E2F"/>
    <w:rsid w:val="007D1E8B"/>
    <w:rsid w:val="007D3009"/>
    <w:rsid w:val="007D3017"/>
    <w:rsid w:val="007D31FC"/>
    <w:rsid w:val="007D4537"/>
    <w:rsid w:val="007D455C"/>
    <w:rsid w:val="007D45D5"/>
    <w:rsid w:val="007D5410"/>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3509"/>
    <w:rsid w:val="007E4412"/>
    <w:rsid w:val="007E4610"/>
    <w:rsid w:val="007E4715"/>
    <w:rsid w:val="007E505B"/>
    <w:rsid w:val="007E5377"/>
    <w:rsid w:val="007E5EFF"/>
    <w:rsid w:val="007E6BEA"/>
    <w:rsid w:val="007E7091"/>
    <w:rsid w:val="007E777B"/>
    <w:rsid w:val="007E7F7C"/>
    <w:rsid w:val="007F007D"/>
    <w:rsid w:val="007F0615"/>
    <w:rsid w:val="007F0827"/>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018"/>
    <w:rsid w:val="00810A8E"/>
    <w:rsid w:val="00811132"/>
    <w:rsid w:val="00811790"/>
    <w:rsid w:val="00811FCB"/>
    <w:rsid w:val="008134F4"/>
    <w:rsid w:val="008135E0"/>
    <w:rsid w:val="008139F8"/>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2B9"/>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76AC"/>
    <w:rsid w:val="00837B4D"/>
    <w:rsid w:val="00840F7C"/>
    <w:rsid w:val="008412EA"/>
    <w:rsid w:val="00841660"/>
    <w:rsid w:val="00841691"/>
    <w:rsid w:val="00843D92"/>
    <w:rsid w:val="00843F75"/>
    <w:rsid w:val="008444E8"/>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61D0"/>
    <w:rsid w:val="00856866"/>
    <w:rsid w:val="00856911"/>
    <w:rsid w:val="00856BFA"/>
    <w:rsid w:val="00857276"/>
    <w:rsid w:val="00857F50"/>
    <w:rsid w:val="00860D88"/>
    <w:rsid w:val="008617E4"/>
    <w:rsid w:val="0086281F"/>
    <w:rsid w:val="0086318D"/>
    <w:rsid w:val="0086347D"/>
    <w:rsid w:val="00864023"/>
    <w:rsid w:val="00864630"/>
    <w:rsid w:val="008647DF"/>
    <w:rsid w:val="008654B8"/>
    <w:rsid w:val="00865BAC"/>
    <w:rsid w:val="00865C41"/>
    <w:rsid w:val="008668A0"/>
    <w:rsid w:val="00867039"/>
    <w:rsid w:val="008677FD"/>
    <w:rsid w:val="00867A2C"/>
    <w:rsid w:val="008706D4"/>
    <w:rsid w:val="00870F8A"/>
    <w:rsid w:val="00871228"/>
    <w:rsid w:val="00871923"/>
    <w:rsid w:val="008719A4"/>
    <w:rsid w:val="008719C6"/>
    <w:rsid w:val="00871D23"/>
    <w:rsid w:val="00872D66"/>
    <w:rsid w:val="00872F99"/>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1A5E"/>
    <w:rsid w:val="0088205D"/>
    <w:rsid w:val="00882393"/>
    <w:rsid w:val="00885B0E"/>
    <w:rsid w:val="00885BD5"/>
    <w:rsid w:val="00887637"/>
    <w:rsid w:val="00887F18"/>
    <w:rsid w:val="00890223"/>
    <w:rsid w:val="00891973"/>
    <w:rsid w:val="00891A15"/>
    <w:rsid w:val="00891C3C"/>
    <w:rsid w:val="00891C82"/>
    <w:rsid w:val="00891F58"/>
    <w:rsid w:val="00892165"/>
    <w:rsid w:val="00892324"/>
    <w:rsid w:val="0089292C"/>
    <w:rsid w:val="00892F30"/>
    <w:rsid w:val="008931A2"/>
    <w:rsid w:val="00893329"/>
    <w:rsid w:val="00893365"/>
    <w:rsid w:val="00893442"/>
    <w:rsid w:val="00893E22"/>
    <w:rsid w:val="00894A88"/>
    <w:rsid w:val="00894B05"/>
    <w:rsid w:val="00895386"/>
    <w:rsid w:val="0089561B"/>
    <w:rsid w:val="00895AD2"/>
    <w:rsid w:val="00895CF2"/>
    <w:rsid w:val="00895E44"/>
    <w:rsid w:val="00895EAC"/>
    <w:rsid w:val="008967C3"/>
    <w:rsid w:val="008968B5"/>
    <w:rsid w:val="00897469"/>
    <w:rsid w:val="00897B38"/>
    <w:rsid w:val="00897E0A"/>
    <w:rsid w:val="008A0D44"/>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7CC"/>
    <w:rsid w:val="008B592A"/>
    <w:rsid w:val="008B5D78"/>
    <w:rsid w:val="008B6FB9"/>
    <w:rsid w:val="008B758A"/>
    <w:rsid w:val="008B7997"/>
    <w:rsid w:val="008B7B5C"/>
    <w:rsid w:val="008B7DBD"/>
    <w:rsid w:val="008C0B84"/>
    <w:rsid w:val="008C0C99"/>
    <w:rsid w:val="008C1012"/>
    <w:rsid w:val="008C15CD"/>
    <w:rsid w:val="008C1739"/>
    <w:rsid w:val="008C1C91"/>
    <w:rsid w:val="008C2017"/>
    <w:rsid w:val="008C2363"/>
    <w:rsid w:val="008C314A"/>
    <w:rsid w:val="008C3B74"/>
    <w:rsid w:val="008C432A"/>
    <w:rsid w:val="008C4958"/>
    <w:rsid w:val="008C4BA6"/>
    <w:rsid w:val="008C4BAA"/>
    <w:rsid w:val="008C4F2C"/>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5BF6"/>
    <w:rsid w:val="008E645B"/>
    <w:rsid w:val="008E6B42"/>
    <w:rsid w:val="008F0CC9"/>
    <w:rsid w:val="008F0DA9"/>
    <w:rsid w:val="008F159A"/>
    <w:rsid w:val="008F1EAB"/>
    <w:rsid w:val="008F2432"/>
    <w:rsid w:val="008F2ADB"/>
    <w:rsid w:val="008F2B0F"/>
    <w:rsid w:val="008F2D7E"/>
    <w:rsid w:val="008F3348"/>
    <w:rsid w:val="008F33DC"/>
    <w:rsid w:val="008F39DD"/>
    <w:rsid w:val="008F3FBF"/>
    <w:rsid w:val="008F4062"/>
    <w:rsid w:val="008F477F"/>
    <w:rsid w:val="00900A7E"/>
    <w:rsid w:val="00900FA3"/>
    <w:rsid w:val="00901A35"/>
    <w:rsid w:val="00902350"/>
    <w:rsid w:val="00902696"/>
    <w:rsid w:val="00902A4F"/>
    <w:rsid w:val="0090336B"/>
    <w:rsid w:val="00903640"/>
    <w:rsid w:val="00903A14"/>
    <w:rsid w:val="009053AA"/>
    <w:rsid w:val="0090559C"/>
    <w:rsid w:val="0090574A"/>
    <w:rsid w:val="009061E2"/>
    <w:rsid w:val="00906939"/>
    <w:rsid w:val="00906DB1"/>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077"/>
    <w:rsid w:val="00920BF2"/>
    <w:rsid w:val="00921D86"/>
    <w:rsid w:val="00922010"/>
    <w:rsid w:val="00922314"/>
    <w:rsid w:val="009231A6"/>
    <w:rsid w:val="0092347D"/>
    <w:rsid w:val="00923DDB"/>
    <w:rsid w:val="00924B46"/>
    <w:rsid w:val="00925F09"/>
    <w:rsid w:val="0092645C"/>
    <w:rsid w:val="00927D85"/>
    <w:rsid w:val="009305EA"/>
    <w:rsid w:val="009306E7"/>
    <w:rsid w:val="00931196"/>
    <w:rsid w:val="00931623"/>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D3C"/>
    <w:rsid w:val="00944EEE"/>
    <w:rsid w:val="00945C05"/>
    <w:rsid w:val="00945C1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6001B"/>
    <w:rsid w:val="009601EC"/>
    <w:rsid w:val="00960CF6"/>
    <w:rsid w:val="00960F58"/>
    <w:rsid w:val="00960F75"/>
    <w:rsid w:val="009610A5"/>
    <w:rsid w:val="00961921"/>
    <w:rsid w:val="00962AFA"/>
    <w:rsid w:val="009632C7"/>
    <w:rsid w:val="00963AE3"/>
    <w:rsid w:val="0096430A"/>
    <w:rsid w:val="00964B5A"/>
    <w:rsid w:val="0096554B"/>
    <w:rsid w:val="0096584A"/>
    <w:rsid w:val="00965A7E"/>
    <w:rsid w:val="00965AED"/>
    <w:rsid w:val="009662E4"/>
    <w:rsid w:val="00967990"/>
    <w:rsid w:val="00967E82"/>
    <w:rsid w:val="00971626"/>
    <w:rsid w:val="00971F08"/>
    <w:rsid w:val="00972289"/>
    <w:rsid w:val="00972DBF"/>
    <w:rsid w:val="00972DC9"/>
    <w:rsid w:val="00973C82"/>
    <w:rsid w:val="00973D68"/>
    <w:rsid w:val="0097446E"/>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5775"/>
    <w:rsid w:val="009960EC"/>
    <w:rsid w:val="009968B5"/>
    <w:rsid w:val="009970DD"/>
    <w:rsid w:val="009A0FBA"/>
    <w:rsid w:val="009A11A5"/>
    <w:rsid w:val="009A1601"/>
    <w:rsid w:val="009A1E11"/>
    <w:rsid w:val="009A3903"/>
    <w:rsid w:val="009A45BD"/>
    <w:rsid w:val="009A4600"/>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0E0E"/>
    <w:rsid w:val="009C132A"/>
    <w:rsid w:val="009C2F60"/>
    <w:rsid w:val="009C326D"/>
    <w:rsid w:val="009C3E25"/>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617"/>
    <w:rsid w:val="009E1835"/>
    <w:rsid w:val="009E1C70"/>
    <w:rsid w:val="009E1F3E"/>
    <w:rsid w:val="009E20AA"/>
    <w:rsid w:val="009E31B1"/>
    <w:rsid w:val="009E35DB"/>
    <w:rsid w:val="009E3DF1"/>
    <w:rsid w:val="009E3E14"/>
    <w:rsid w:val="009E3E50"/>
    <w:rsid w:val="009E47A3"/>
    <w:rsid w:val="009E4A80"/>
    <w:rsid w:val="009E5457"/>
    <w:rsid w:val="009E55BD"/>
    <w:rsid w:val="009E5816"/>
    <w:rsid w:val="009E6D44"/>
    <w:rsid w:val="009E724E"/>
    <w:rsid w:val="009E7A5A"/>
    <w:rsid w:val="009E7AEF"/>
    <w:rsid w:val="009F08F3"/>
    <w:rsid w:val="009F0CDA"/>
    <w:rsid w:val="009F1796"/>
    <w:rsid w:val="009F1983"/>
    <w:rsid w:val="009F2BA3"/>
    <w:rsid w:val="009F30C7"/>
    <w:rsid w:val="009F344F"/>
    <w:rsid w:val="009F441D"/>
    <w:rsid w:val="009F4D14"/>
    <w:rsid w:val="009F7643"/>
    <w:rsid w:val="00A01D3A"/>
    <w:rsid w:val="00A01D53"/>
    <w:rsid w:val="00A0304B"/>
    <w:rsid w:val="00A031D8"/>
    <w:rsid w:val="00A03385"/>
    <w:rsid w:val="00A03531"/>
    <w:rsid w:val="00A035D3"/>
    <w:rsid w:val="00A0401C"/>
    <w:rsid w:val="00A04378"/>
    <w:rsid w:val="00A04720"/>
    <w:rsid w:val="00A048A8"/>
    <w:rsid w:val="00A04988"/>
    <w:rsid w:val="00A04F49"/>
    <w:rsid w:val="00A051D2"/>
    <w:rsid w:val="00A055B5"/>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1A5A"/>
    <w:rsid w:val="00A221F8"/>
    <w:rsid w:val="00A231A6"/>
    <w:rsid w:val="00A232C0"/>
    <w:rsid w:val="00A2351A"/>
    <w:rsid w:val="00A23BA4"/>
    <w:rsid w:val="00A240EC"/>
    <w:rsid w:val="00A24C03"/>
    <w:rsid w:val="00A264A9"/>
    <w:rsid w:val="00A27785"/>
    <w:rsid w:val="00A27E0D"/>
    <w:rsid w:val="00A30187"/>
    <w:rsid w:val="00A30E31"/>
    <w:rsid w:val="00A31688"/>
    <w:rsid w:val="00A32B03"/>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8C0"/>
    <w:rsid w:val="00A71B99"/>
    <w:rsid w:val="00A71E97"/>
    <w:rsid w:val="00A724D6"/>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2DDC"/>
    <w:rsid w:val="00A8300A"/>
    <w:rsid w:val="00A833D6"/>
    <w:rsid w:val="00A838B0"/>
    <w:rsid w:val="00A83E2A"/>
    <w:rsid w:val="00A8454E"/>
    <w:rsid w:val="00A84D6B"/>
    <w:rsid w:val="00A84E3D"/>
    <w:rsid w:val="00A85511"/>
    <w:rsid w:val="00A8555A"/>
    <w:rsid w:val="00A85E7C"/>
    <w:rsid w:val="00A866A5"/>
    <w:rsid w:val="00A87427"/>
    <w:rsid w:val="00A87C5B"/>
    <w:rsid w:val="00A9099A"/>
    <w:rsid w:val="00A9206D"/>
    <w:rsid w:val="00A92879"/>
    <w:rsid w:val="00A92BEC"/>
    <w:rsid w:val="00A92F39"/>
    <w:rsid w:val="00A93885"/>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8EB"/>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1E6F"/>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253"/>
    <w:rsid w:val="00B130C7"/>
    <w:rsid w:val="00B133D4"/>
    <w:rsid w:val="00B13851"/>
    <w:rsid w:val="00B1513C"/>
    <w:rsid w:val="00B15394"/>
    <w:rsid w:val="00B155BF"/>
    <w:rsid w:val="00B157F9"/>
    <w:rsid w:val="00B15D9E"/>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5E38"/>
    <w:rsid w:val="00B36CF5"/>
    <w:rsid w:val="00B372AA"/>
    <w:rsid w:val="00B37EE5"/>
    <w:rsid w:val="00B4013C"/>
    <w:rsid w:val="00B40445"/>
    <w:rsid w:val="00B40A39"/>
    <w:rsid w:val="00B41888"/>
    <w:rsid w:val="00B420FF"/>
    <w:rsid w:val="00B42A16"/>
    <w:rsid w:val="00B43349"/>
    <w:rsid w:val="00B44C7C"/>
    <w:rsid w:val="00B44E30"/>
    <w:rsid w:val="00B4587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64C7"/>
    <w:rsid w:val="00B70061"/>
    <w:rsid w:val="00B717BF"/>
    <w:rsid w:val="00B72960"/>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1F2"/>
    <w:rsid w:val="00B83A8B"/>
    <w:rsid w:val="00B83ED7"/>
    <w:rsid w:val="00B84DBD"/>
    <w:rsid w:val="00B85DE5"/>
    <w:rsid w:val="00B85E85"/>
    <w:rsid w:val="00B8620A"/>
    <w:rsid w:val="00B869D5"/>
    <w:rsid w:val="00B86B0E"/>
    <w:rsid w:val="00B87522"/>
    <w:rsid w:val="00B87834"/>
    <w:rsid w:val="00B90737"/>
    <w:rsid w:val="00B9075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847"/>
    <w:rsid w:val="00BA7506"/>
    <w:rsid w:val="00BA76E0"/>
    <w:rsid w:val="00BB0233"/>
    <w:rsid w:val="00BB09DF"/>
    <w:rsid w:val="00BB1993"/>
    <w:rsid w:val="00BB1BAE"/>
    <w:rsid w:val="00BB23D8"/>
    <w:rsid w:val="00BB2A25"/>
    <w:rsid w:val="00BB2EE5"/>
    <w:rsid w:val="00BB3C14"/>
    <w:rsid w:val="00BB3EB3"/>
    <w:rsid w:val="00BB517C"/>
    <w:rsid w:val="00BB51E9"/>
    <w:rsid w:val="00BB7AC5"/>
    <w:rsid w:val="00BB7C1C"/>
    <w:rsid w:val="00BC0FDC"/>
    <w:rsid w:val="00BC1399"/>
    <w:rsid w:val="00BC1967"/>
    <w:rsid w:val="00BC1B88"/>
    <w:rsid w:val="00BC2319"/>
    <w:rsid w:val="00BC2466"/>
    <w:rsid w:val="00BC266C"/>
    <w:rsid w:val="00BC29E9"/>
    <w:rsid w:val="00BC2ACB"/>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81F"/>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279"/>
    <w:rsid w:val="00BF354A"/>
    <w:rsid w:val="00BF3C7F"/>
    <w:rsid w:val="00BF3DA1"/>
    <w:rsid w:val="00BF4ACC"/>
    <w:rsid w:val="00BF5835"/>
    <w:rsid w:val="00BF60DA"/>
    <w:rsid w:val="00BF64E6"/>
    <w:rsid w:val="00BF74C7"/>
    <w:rsid w:val="00BF7DBA"/>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7F2"/>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2EDE"/>
    <w:rsid w:val="00C3354C"/>
    <w:rsid w:val="00C34745"/>
    <w:rsid w:val="00C36352"/>
    <w:rsid w:val="00C369B2"/>
    <w:rsid w:val="00C370CD"/>
    <w:rsid w:val="00C3719D"/>
    <w:rsid w:val="00C374D5"/>
    <w:rsid w:val="00C37912"/>
    <w:rsid w:val="00C37F69"/>
    <w:rsid w:val="00C40156"/>
    <w:rsid w:val="00C41154"/>
    <w:rsid w:val="00C41779"/>
    <w:rsid w:val="00C41B67"/>
    <w:rsid w:val="00C42679"/>
    <w:rsid w:val="00C427DB"/>
    <w:rsid w:val="00C42FFC"/>
    <w:rsid w:val="00C43014"/>
    <w:rsid w:val="00C4413A"/>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14C4"/>
    <w:rsid w:val="00C92603"/>
    <w:rsid w:val="00C93599"/>
    <w:rsid w:val="00C9365E"/>
    <w:rsid w:val="00C93C4B"/>
    <w:rsid w:val="00C940AB"/>
    <w:rsid w:val="00C944AB"/>
    <w:rsid w:val="00C950AA"/>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0A13"/>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C7A"/>
    <w:rsid w:val="00CD66D6"/>
    <w:rsid w:val="00CE0086"/>
    <w:rsid w:val="00CE0424"/>
    <w:rsid w:val="00CE1123"/>
    <w:rsid w:val="00CE21B9"/>
    <w:rsid w:val="00CE2B0B"/>
    <w:rsid w:val="00CE33C5"/>
    <w:rsid w:val="00CE440C"/>
    <w:rsid w:val="00CE4EBA"/>
    <w:rsid w:val="00CE722E"/>
    <w:rsid w:val="00CE7561"/>
    <w:rsid w:val="00CE7C8E"/>
    <w:rsid w:val="00CF0526"/>
    <w:rsid w:val="00CF0635"/>
    <w:rsid w:val="00CF0E2B"/>
    <w:rsid w:val="00CF1354"/>
    <w:rsid w:val="00CF1D42"/>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0C8D"/>
    <w:rsid w:val="00D41B46"/>
    <w:rsid w:val="00D41F20"/>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52"/>
    <w:rsid w:val="00D576CA"/>
    <w:rsid w:val="00D57C44"/>
    <w:rsid w:val="00D60DC0"/>
    <w:rsid w:val="00D60EF3"/>
    <w:rsid w:val="00D6106D"/>
    <w:rsid w:val="00D61AF5"/>
    <w:rsid w:val="00D63714"/>
    <w:rsid w:val="00D63B8D"/>
    <w:rsid w:val="00D64085"/>
    <w:rsid w:val="00D6435C"/>
    <w:rsid w:val="00D652B5"/>
    <w:rsid w:val="00D65796"/>
    <w:rsid w:val="00D66155"/>
    <w:rsid w:val="00D67E64"/>
    <w:rsid w:val="00D700EF"/>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2636"/>
    <w:rsid w:val="00D92982"/>
    <w:rsid w:val="00D93566"/>
    <w:rsid w:val="00D9453C"/>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461"/>
    <w:rsid w:val="00DA6DC8"/>
    <w:rsid w:val="00DA6F6D"/>
    <w:rsid w:val="00DB03D2"/>
    <w:rsid w:val="00DB0A9F"/>
    <w:rsid w:val="00DB1361"/>
    <w:rsid w:val="00DB1A26"/>
    <w:rsid w:val="00DB249C"/>
    <w:rsid w:val="00DB2D12"/>
    <w:rsid w:val="00DB3185"/>
    <w:rsid w:val="00DB377D"/>
    <w:rsid w:val="00DB3FD0"/>
    <w:rsid w:val="00DB404D"/>
    <w:rsid w:val="00DB4AA0"/>
    <w:rsid w:val="00DB57B5"/>
    <w:rsid w:val="00DB5F1F"/>
    <w:rsid w:val="00DB74AC"/>
    <w:rsid w:val="00DB7680"/>
    <w:rsid w:val="00DB7F51"/>
    <w:rsid w:val="00DC06B9"/>
    <w:rsid w:val="00DC0F09"/>
    <w:rsid w:val="00DC120C"/>
    <w:rsid w:val="00DC1C55"/>
    <w:rsid w:val="00DC2CB7"/>
    <w:rsid w:val="00DC2D36"/>
    <w:rsid w:val="00DC2D88"/>
    <w:rsid w:val="00DC3113"/>
    <w:rsid w:val="00DC3927"/>
    <w:rsid w:val="00DC489D"/>
    <w:rsid w:val="00DC53EF"/>
    <w:rsid w:val="00DC5BC1"/>
    <w:rsid w:val="00DC7EDF"/>
    <w:rsid w:val="00DD0DA3"/>
    <w:rsid w:val="00DD1315"/>
    <w:rsid w:val="00DD184D"/>
    <w:rsid w:val="00DD1D98"/>
    <w:rsid w:val="00DD2063"/>
    <w:rsid w:val="00DD22BC"/>
    <w:rsid w:val="00DD250B"/>
    <w:rsid w:val="00DD3020"/>
    <w:rsid w:val="00DD444F"/>
    <w:rsid w:val="00DD56D7"/>
    <w:rsid w:val="00DD62C0"/>
    <w:rsid w:val="00DD71B0"/>
    <w:rsid w:val="00DD7512"/>
    <w:rsid w:val="00DD7FAE"/>
    <w:rsid w:val="00DE00AA"/>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7618"/>
    <w:rsid w:val="00DE7621"/>
    <w:rsid w:val="00DE774D"/>
    <w:rsid w:val="00DE7913"/>
    <w:rsid w:val="00DF0343"/>
    <w:rsid w:val="00DF0B6E"/>
    <w:rsid w:val="00DF15E0"/>
    <w:rsid w:val="00DF1E5B"/>
    <w:rsid w:val="00DF37A0"/>
    <w:rsid w:val="00DF3CFC"/>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B20"/>
    <w:rsid w:val="00E11D77"/>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242"/>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3452"/>
    <w:rsid w:val="00E34188"/>
    <w:rsid w:val="00E34715"/>
    <w:rsid w:val="00E34AFC"/>
    <w:rsid w:val="00E34B6E"/>
    <w:rsid w:val="00E34D5F"/>
    <w:rsid w:val="00E35559"/>
    <w:rsid w:val="00E3581C"/>
    <w:rsid w:val="00E35ABC"/>
    <w:rsid w:val="00E35F0F"/>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4DE"/>
    <w:rsid w:val="00E61D41"/>
    <w:rsid w:val="00E62FEE"/>
    <w:rsid w:val="00E63838"/>
    <w:rsid w:val="00E64434"/>
    <w:rsid w:val="00E65C27"/>
    <w:rsid w:val="00E66210"/>
    <w:rsid w:val="00E66B02"/>
    <w:rsid w:val="00E66CB5"/>
    <w:rsid w:val="00E66CBA"/>
    <w:rsid w:val="00E6749B"/>
    <w:rsid w:val="00E67C51"/>
    <w:rsid w:val="00E70446"/>
    <w:rsid w:val="00E7278F"/>
    <w:rsid w:val="00E72EFC"/>
    <w:rsid w:val="00E738E4"/>
    <w:rsid w:val="00E73A73"/>
    <w:rsid w:val="00E7418E"/>
    <w:rsid w:val="00E74715"/>
    <w:rsid w:val="00E755E0"/>
    <w:rsid w:val="00E758EC"/>
    <w:rsid w:val="00E7788C"/>
    <w:rsid w:val="00E80985"/>
    <w:rsid w:val="00E80BFF"/>
    <w:rsid w:val="00E80C37"/>
    <w:rsid w:val="00E81D96"/>
    <w:rsid w:val="00E8234C"/>
    <w:rsid w:val="00E83AA9"/>
    <w:rsid w:val="00E8431C"/>
    <w:rsid w:val="00E84C4B"/>
    <w:rsid w:val="00E85928"/>
    <w:rsid w:val="00E86861"/>
    <w:rsid w:val="00E86E00"/>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A26"/>
    <w:rsid w:val="00E96B19"/>
    <w:rsid w:val="00E97663"/>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32A1"/>
    <w:rsid w:val="00EB35B7"/>
    <w:rsid w:val="00EB3762"/>
    <w:rsid w:val="00EB3C82"/>
    <w:rsid w:val="00EB3DA2"/>
    <w:rsid w:val="00EB42F5"/>
    <w:rsid w:val="00EB4AB2"/>
    <w:rsid w:val="00EB4EA2"/>
    <w:rsid w:val="00EB4EF4"/>
    <w:rsid w:val="00EB50A9"/>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0CE"/>
    <w:rsid w:val="00ED6337"/>
    <w:rsid w:val="00ED6596"/>
    <w:rsid w:val="00ED697A"/>
    <w:rsid w:val="00ED6ADD"/>
    <w:rsid w:val="00EE04FF"/>
    <w:rsid w:val="00EE05AE"/>
    <w:rsid w:val="00EE183E"/>
    <w:rsid w:val="00EE21D7"/>
    <w:rsid w:val="00EE260A"/>
    <w:rsid w:val="00EE28F4"/>
    <w:rsid w:val="00EE2CE8"/>
    <w:rsid w:val="00EE3CF3"/>
    <w:rsid w:val="00EE4052"/>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0796A"/>
    <w:rsid w:val="00F10629"/>
    <w:rsid w:val="00F11477"/>
    <w:rsid w:val="00F114B7"/>
    <w:rsid w:val="00F1198B"/>
    <w:rsid w:val="00F11DB6"/>
    <w:rsid w:val="00F123EE"/>
    <w:rsid w:val="00F13913"/>
    <w:rsid w:val="00F13CE9"/>
    <w:rsid w:val="00F1490D"/>
    <w:rsid w:val="00F157CD"/>
    <w:rsid w:val="00F15EA4"/>
    <w:rsid w:val="00F15FA5"/>
    <w:rsid w:val="00F16074"/>
    <w:rsid w:val="00F16CDF"/>
    <w:rsid w:val="00F17716"/>
    <w:rsid w:val="00F17B84"/>
    <w:rsid w:val="00F17EBF"/>
    <w:rsid w:val="00F207C2"/>
    <w:rsid w:val="00F2081A"/>
    <w:rsid w:val="00F209B7"/>
    <w:rsid w:val="00F210F2"/>
    <w:rsid w:val="00F213C5"/>
    <w:rsid w:val="00F2146B"/>
    <w:rsid w:val="00F21721"/>
    <w:rsid w:val="00F22B02"/>
    <w:rsid w:val="00F22BD5"/>
    <w:rsid w:val="00F22D23"/>
    <w:rsid w:val="00F2376F"/>
    <w:rsid w:val="00F243D8"/>
    <w:rsid w:val="00F24BEF"/>
    <w:rsid w:val="00F24C63"/>
    <w:rsid w:val="00F25923"/>
    <w:rsid w:val="00F2742A"/>
    <w:rsid w:val="00F30099"/>
    <w:rsid w:val="00F301F6"/>
    <w:rsid w:val="00F30828"/>
    <w:rsid w:val="00F30B4E"/>
    <w:rsid w:val="00F313CE"/>
    <w:rsid w:val="00F313D6"/>
    <w:rsid w:val="00F316D1"/>
    <w:rsid w:val="00F321B5"/>
    <w:rsid w:val="00F34CDA"/>
    <w:rsid w:val="00F3514A"/>
    <w:rsid w:val="00F3655E"/>
    <w:rsid w:val="00F36D37"/>
    <w:rsid w:val="00F36FBA"/>
    <w:rsid w:val="00F37ACA"/>
    <w:rsid w:val="00F40412"/>
    <w:rsid w:val="00F40F0C"/>
    <w:rsid w:val="00F4103D"/>
    <w:rsid w:val="00F41DCC"/>
    <w:rsid w:val="00F41ED1"/>
    <w:rsid w:val="00F42CF5"/>
    <w:rsid w:val="00F42D00"/>
    <w:rsid w:val="00F43C59"/>
    <w:rsid w:val="00F45730"/>
    <w:rsid w:val="00F46610"/>
    <w:rsid w:val="00F46895"/>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5AC"/>
    <w:rsid w:val="00F65648"/>
    <w:rsid w:val="00F660DA"/>
    <w:rsid w:val="00F66468"/>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5A94"/>
    <w:rsid w:val="00F76357"/>
    <w:rsid w:val="00F76AC9"/>
    <w:rsid w:val="00F76EE2"/>
    <w:rsid w:val="00F76EFA"/>
    <w:rsid w:val="00F774F6"/>
    <w:rsid w:val="00F77A7E"/>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0B0"/>
    <w:rsid w:val="00FB6136"/>
    <w:rsid w:val="00FB6349"/>
    <w:rsid w:val="00FB6691"/>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00D"/>
    <w:rsid w:val="00FD74DB"/>
    <w:rsid w:val="00FD7660"/>
    <w:rsid w:val="00FD78E7"/>
    <w:rsid w:val="00FE0655"/>
    <w:rsid w:val="00FE08D3"/>
    <w:rsid w:val="00FE0E12"/>
    <w:rsid w:val="00FE1364"/>
    <w:rsid w:val="00FE1694"/>
    <w:rsid w:val="00FE209C"/>
    <w:rsid w:val="00FE2365"/>
    <w:rsid w:val="00FE2C24"/>
    <w:rsid w:val="00FE3199"/>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B96"/>
    <w:rsid w:val="00FF7C4E"/>
    <w:rsid w:val="056A609F"/>
    <w:rsid w:val="0AC37636"/>
    <w:rsid w:val="458A0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next w:val="1"/>
    <w:link w:val="59"/>
    <w:qFormat/>
    <w:uiPriority w:val="0"/>
    <w:pPr>
      <w:keepNext/>
      <w:keepLines/>
      <w:pBdr>
        <w:top w:val="single" w:color="auto" w:sz="12" w:space="3"/>
      </w:pBdr>
      <w:overflowPunct w:val="0"/>
      <w:autoSpaceDE w:val="0"/>
      <w:autoSpaceDN w:val="0"/>
      <w:adjustRightInd w:val="0"/>
      <w:spacing w:before="240" w:after="180"/>
      <w:textAlignment w:val="baseline"/>
      <w:outlineLvl w:val="0"/>
    </w:pPr>
    <w:rPr>
      <w:rFonts w:ascii="Arial" w:hAnsi="Arial" w:eastAsia="宋体" w:cs="Arial"/>
      <w:sz w:val="36"/>
      <w:szCs w:val="36"/>
      <w:lang w:val="en-GB" w:eastAsia="zh-CN" w:bidi="ar-SA"/>
    </w:rPr>
  </w:style>
  <w:style w:type="paragraph" w:styleId="3">
    <w:name w:val="heading 2"/>
    <w:basedOn w:val="2"/>
    <w:next w:val="1"/>
    <w:qFormat/>
    <w:uiPriority w:val="0"/>
    <w:pPr>
      <w:pBdr>
        <w:top w:val="none" w:color="auto" w:sz="0" w:space="0"/>
      </w:pBdr>
      <w:spacing w:before="180"/>
      <w:outlineLvl w:val="1"/>
    </w:pPr>
    <w:rPr>
      <w:sz w:val="32"/>
      <w:szCs w:val="32"/>
    </w:rPr>
  </w:style>
  <w:style w:type="paragraph" w:styleId="4">
    <w:name w:val="heading 3"/>
    <w:basedOn w:val="3"/>
    <w:next w:val="1"/>
    <w:qFormat/>
    <w:uiPriority w:val="0"/>
    <w:pPr>
      <w:spacing w:before="120"/>
      <w:outlineLvl w:val="2"/>
    </w:pPr>
    <w:rPr>
      <w:sz w:val="28"/>
      <w:szCs w:val="28"/>
    </w:rPr>
  </w:style>
  <w:style w:type="paragraph" w:styleId="5">
    <w:name w:val="heading 4"/>
    <w:basedOn w:val="4"/>
    <w:next w:val="1"/>
    <w:qFormat/>
    <w:uiPriority w:val="0"/>
    <w:pPr>
      <w:outlineLvl w:val="3"/>
    </w:pPr>
    <w:rPr>
      <w:sz w:val="24"/>
      <w:szCs w:val="24"/>
    </w:rPr>
  </w:style>
  <w:style w:type="paragraph" w:styleId="6">
    <w:name w:val="heading 5"/>
    <w:basedOn w:val="5"/>
    <w:next w:val="1"/>
    <w:qFormat/>
    <w:uiPriority w:val="0"/>
    <w:pPr>
      <w:outlineLvl w:val="4"/>
    </w:pPr>
    <w:rPr>
      <w:sz w:val="22"/>
      <w:szCs w:val="22"/>
    </w:rPr>
  </w:style>
  <w:style w:type="paragraph" w:styleId="7">
    <w:name w:val="heading 6"/>
    <w:basedOn w:val="1"/>
    <w:next w:val="1"/>
    <w:qFormat/>
    <w:uiPriority w:val="0"/>
    <w:pPr>
      <w:keepNext/>
      <w:keepLines/>
      <w:spacing w:before="120"/>
      <w:outlineLvl w:val="5"/>
    </w:pPr>
    <w:rPr>
      <w:rFonts w:cs="Arial"/>
    </w:rPr>
  </w:style>
  <w:style w:type="paragraph" w:styleId="8">
    <w:name w:val="heading 7"/>
    <w:basedOn w:val="1"/>
    <w:next w:val="1"/>
    <w:qFormat/>
    <w:uiPriority w:val="0"/>
    <w:pPr>
      <w:keepNext/>
      <w:keepLines/>
      <w:spacing w:before="120"/>
      <w:outlineLvl w:val="6"/>
    </w:pPr>
    <w:rPr>
      <w:rFonts w:cs="Arial"/>
    </w:rPr>
  </w:style>
  <w:style w:type="paragraph" w:styleId="9">
    <w:name w:val="heading 8"/>
    <w:basedOn w:val="8"/>
    <w:next w:val="1"/>
    <w:qFormat/>
    <w:uiPriority w:val="0"/>
    <w:pPr>
      <w:outlineLvl w:val="7"/>
    </w:pPr>
  </w:style>
  <w:style w:type="paragraph" w:styleId="10">
    <w:name w:val="heading 9"/>
    <w:basedOn w:val="9"/>
    <w:next w:val="1"/>
    <w:qFormat/>
    <w:uiPriority w:val="0"/>
    <w:pPr>
      <w:outlineLvl w:val="8"/>
    </w:pPr>
  </w:style>
  <w:style w:type="character" w:default="1" w:styleId="47">
    <w:name w:val="Default Paragraph Font"/>
    <w:semiHidden/>
    <w:unhideWhenUsed/>
    <w:qFormat/>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qFormat/>
    <w:uiPriority w:val="39"/>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1"/>
      </w:numPr>
      <w:tabs>
        <w:tab w:val="left" w:pos="510"/>
        <w:tab w:val="left" w:pos="794"/>
        <w:tab w:val="left" w:pos="1077"/>
        <w:tab w:val="left" w:pos="1361"/>
      </w:tabs>
    </w:pPr>
  </w:style>
  <w:style w:type="paragraph" w:styleId="24">
    <w:name w:val="List Bullet 3"/>
    <w:basedOn w:val="25"/>
    <w:qFormat/>
    <w:uiPriority w:val="0"/>
    <w:pPr>
      <w:numPr>
        <w:numId w:val="2"/>
      </w:numPr>
      <w:tabs>
        <w:tab w:val="left" w:pos="510"/>
        <w:tab w:val="left" w:pos="794"/>
        <w:tab w:val="left" w:pos="1077"/>
      </w:tabs>
    </w:pPr>
  </w:style>
  <w:style w:type="paragraph" w:styleId="25">
    <w:name w:val="List Bullet 2"/>
    <w:basedOn w:val="26"/>
    <w:qFormat/>
    <w:uiPriority w:val="0"/>
    <w:pPr>
      <w:tabs>
        <w:tab w:val="left" w:pos="510"/>
        <w:tab w:val="left" w:pos="794"/>
      </w:tabs>
      <w:ind w:left="794"/>
    </w:pPr>
  </w:style>
  <w:style w:type="paragraph" w:styleId="26">
    <w:name w:val="List Bullet"/>
    <w:basedOn w:val="27"/>
    <w:qFormat/>
    <w:uiPriority w:val="0"/>
    <w:pPr>
      <w:numPr>
        <w:ilvl w:val="0"/>
        <w:numId w:val="3"/>
      </w:numPr>
    </w:pPr>
  </w:style>
  <w:style w:type="paragraph" w:styleId="27">
    <w:name w:val="Body Text"/>
    <w:basedOn w:val="1"/>
    <w:link w:val="65"/>
    <w:qFormat/>
    <w:uiPriority w:val="0"/>
  </w:style>
  <w:style w:type="paragraph" w:styleId="28">
    <w:name w:val="caption"/>
    <w:basedOn w:val="1"/>
    <w:next w:val="1"/>
    <w:link w:val="145"/>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25"/>
    <w:semiHidden/>
    <w:qFormat/>
    <w:uiPriority w:val="0"/>
  </w:style>
  <w:style w:type="paragraph" w:styleId="31">
    <w:name w:val="List Bullet 5"/>
    <w:basedOn w:val="23"/>
    <w:qFormat/>
    <w:uiPriority w:val="0"/>
    <w:pPr>
      <w:numPr>
        <w:numId w:val="4"/>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link w:val="102"/>
    <w:qFormat/>
    <w:uiPriority w:val="99"/>
    <w:pPr>
      <w:jc w:val="center"/>
    </w:pPr>
    <w:rPr>
      <w:i/>
      <w:iCs/>
    </w:rPr>
  </w:style>
  <w:style w:type="paragraph" w:styleId="35">
    <w:name w:val="header"/>
    <w:link w:val="101"/>
    <w:qFormat/>
    <w:uiPriority w:val="99"/>
    <w:pPr>
      <w:widowControl w:val="0"/>
      <w:overflowPunct w:val="0"/>
      <w:autoSpaceDE w:val="0"/>
      <w:autoSpaceDN w:val="0"/>
      <w:adjustRightInd w:val="0"/>
      <w:textAlignment w:val="baseline"/>
    </w:pPr>
    <w:rPr>
      <w:rFonts w:ascii="Arial" w:hAnsi="Arial" w:eastAsia="宋体" w:cs="Arial"/>
      <w:b/>
      <w:bCs/>
      <w:sz w:val="18"/>
      <w:szCs w:val="18"/>
      <w:lang w:val="en-US" w:eastAsia="zh-CN" w:bidi="ar-SA"/>
    </w:rPr>
  </w:style>
  <w:style w:type="paragraph" w:styleId="36">
    <w:name w:val="footnote text"/>
    <w:basedOn w:val="1"/>
    <w:semiHidden/>
    <w:qFormat/>
    <w:uiPriority w:val="0"/>
    <w:pPr>
      <w:keepLines/>
      <w:spacing w:after="0"/>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qFormat/>
    <w:uiPriority w:val="0"/>
    <w:pPr>
      <w:ind w:left="1418" w:hanging="1418"/>
    </w:pPr>
  </w:style>
  <w:style w:type="paragraph" w:styleId="41">
    <w:name w:val="Normal (Web)"/>
    <w:basedOn w:val="1"/>
    <w:unhideWhenUsed/>
    <w:qFormat/>
    <w:uiPriority w:val="99"/>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30"/>
    <w:next w:val="30"/>
    <w:semiHidden/>
    <w:qFormat/>
    <w:uiPriority w:val="0"/>
    <w:rPr>
      <w:b/>
      <w:bCs/>
    </w:rPr>
  </w:style>
  <w:style w:type="table" w:styleId="46">
    <w:name w:val="Table Grid"/>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rPr>
  </w:style>
  <w:style w:type="character" w:styleId="49">
    <w:name w:val="page number"/>
    <w:basedOn w:val="47"/>
    <w:semiHidden/>
    <w:qFormat/>
    <w:uiPriority w:val="0"/>
  </w:style>
  <w:style w:type="character" w:styleId="50">
    <w:name w:val="FollowedHyperlink"/>
    <w:semiHidden/>
    <w:qFormat/>
    <w:uiPriority w:val="0"/>
    <w:rPr>
      <w:color w:val="FF0000"/>
      <w:u w:val="single"/>
    </w:rPr>
  </w:style>
  <w:style w:type="character" w:styleId="51">
    <w:name w:val="Hyperlink"/>
    <w:qFormat/>
    <w:uiPriority w:val="99"/>
    <w:rPr>
      <w:color w:val="0000FF"/>
      <w:u w:val="single"/>
      <w:lang w:val="en-GB"/>
    </w:rPr>
  </w:style>
  <w:style w:type="character" w:styleId="52">
    <w:name w:val="annotation reference"/>
    <w:semiHidden/>
    <w:qFormat/>
    <w:uiPriority w:val="0"/>
    <w:rPr>
      <w:sz w:val="16"/>
      <w:szCs w:val="16"/>
    </w:rPr>
  </w:style>
  <w:style w:type="character" w:styleId="53">
    <w:name w:val="footnote reference"/>
    <w:semiHidden/>
    <w:qFormat/>
    <w:uiPriority w:val="0"/>
    <w:rPr>
      <w:b/>
      <w:bCs/>
      <w:position w:val="6"/>
      <w:sz w:val="16"/>
      <w:szCs w:val="16"/>
    </w:rPr>
  </w:style>
  <w:style w:type="paragraph" w:customStyle="1" w:styleId="54">
    <w:name w:val="Figure"/>
    <w:basedOn w:val="1"/>
    <w:next w:val="28"/>
    <w:qFormat/>
    <w:uiPriority w:val="0"/>
    <w:pPr>
      <w:keepNext/>
      <w:keepLines/>
      <w:spacing w:before="180"/>
      <w:jc w:val="center"/>
    </w:pPr>
  </w:style>
  <w:style w:type="paragraph" w:customStyle="1" w:styleId="55">
    <w:name w:val="3GPP_Header"/>
    <w:basedOn w:val="1"/>
    <w:qFormat/>
    <w:uiPriority w:val="0"/>
    <w:pPr>
      <w:tabs>
        <w:tab w:val="left" w:pos="1701"/>
        <w:tab w:val="right" w:pos="9639"/>
      </w:tabs>
      <w:spacing w:after="240"/>
    </w:pPr>
    <w:rPr>
      <w:b/>
      <w:sz w:val="24"/>
    </w:rPr>
  </w:style>
  <w:style w:type="paragraph" w:customStyle="1" w:styleId="56">
    <w:name w:val="EQ"/>
    <w:basedOn w:val="1"/>
    <w:next w:val="1"/>
    <w:qFormat/>
    <w:uiPriority w:val="0"/>
    <w:pPr>
      <w:keepLines/>
      <w:tabs>
        <w:tab w:val="center" w:pos="4536"/>
        <w:tab w:val="right" w:pos="9072"/>
      </w:tabs>
      <w:spacing w:after="180"/>
      <w:jc w:val="left"/>
    </w:pPr>
    <w:rPr>
      <w:lang w:eastAsia="en-US"/>
    </w:rPr>
  </w:style>
  <w:style w:type="paragraph" w:customStyle="1" w:styleId="57">
    <w:name w:val="Editor's Note"/>
    <w:basedOn w:val="1"/>
    <w:qFormat/>
    <w:uiPriority w:val="0"/>
    <w:pPr>
      <w:keepLines/>
      <w:spacing w:after="180"/>
      <w:ind w:left="1135" w:hanging="851"/>
      <w:jc w:val="left"/>
    </w:pPr>
    <w:rPr>
      <w:color w:val="FF0000"/>
      <w:lang w:eastAsia="en-US"/>
    </w:rPr>
  </w:style>
  <w:style w:type="paragraph" w:customStyle="1" w:styleId="58">
    <w:name w:val="Reference"/>
    <w:basedOn w:val="1"/>
    <w:qFormat/>
    <w:uiPriority w:val="0"/>
  </w:style>
  <w:style w:type="character" w:customStyle="1" w:styleId="59">
    <w:name w:val="Heading 1 Char"/>
    <w:link w:val="2"/>
    <w:qFormat/>
    <w:uiPriority w:val="0"/>
    <w:rPr>
      <w:rFonts w:ascii="Arial" w:hAnsi="Arial" w:cs="Arial"/>
      <w:sz w:val="36"/>
      <w:szCs w:val="36"/>
      <w:lang w:val="en-GB"/>
    </w:rPr>
  </w:style>
  <w:style w:type="paragraph" w:customStyle="1" w:styleId="60">
    <w:name w:val="B1"/>
    <w:basedOn w:val="13"/>
    <w:link w:val="94"/>
    <w:qFormat/>
    <w:uiPriority w:val="0"/>
    <w:pPr>
      <w:spacing w:after="180"/>
      <w:jc w:val="left"/>
    </w:pPr>
    <w:rPr>
      <w:lang w:eastAsia="en-US"/>
    </w:rPr>
  </w:style>
  <w:style w:type="paragraph" w:customStyle="1" w:styleId="61">
    <w:name w:val="B2"/>
    <w:basedOn w:val="12"/>
    <w:link w:val="95"/>
    <w:qFormat/>
    <w:uiPriority w:val="0"/>
    <w:pPr>
      <w:spacing w:after="180"/>
      <w:jc w:val="left"/>
    </w:pPr>
    <w:rPr>
      <w:lang w:eastAsia="en-US"/>
    </w:rPr>
  </w:style>
  <w:style w:type="paragraph" w:customStyle="1" w:styleId="62">
    <w:name w:val="B3"/>
    <w:basedOn w:val="11"/>
    <w:link w:val="120"/>
    <w:qFormat/>
    <w:uiPriority w:val="0"/>
    <w:pPr>
      <w:spacing w:after="180"/>
      <w:jc w:val="left"/>
    </w:pPr>
    <w:rPr>
      <w:lang w:eastAsia="en-US"/>
    </w:rPr>
  </w:style>
  <w:style w:type="paragraph" w:customStyle="1" w:styleId="63">
    <w:name w:val="B4"/>
    <w:basedOn w:val="38"/>
    <w:link w:val="122"/>
    <w:qFormat/>
    <w:uiPriority w:val="0"/>
    <w:pPr>
      <w:spacing w:after="180"/>
      <w:jc w:val="left"/>
    </w:pPr>
    <w:rPr>
      <w:lang w:eastAsia="en-US"/>
    </w:rPr>
  </w:style>
  <w:style w:type="paragraph" w:customStyle="1" w:styleId="64">
    <w:name w:val="Proposal"/>
    <w:basedOn w:val="1"/>
    <w:link w:val="109"/>
    <w:qFormat/>
    <w:uiPriority w:val="0"/>
    <w:pPr>
      <w:tabs>
        <w:tab w:val="left" w:pos="1701"/>
      </w:tabs>
    </w:pPr>
    <w:rPr>
      <w:b/>
      <w:bCs/>
    </w:rPr>
  </w:style>
  <w:style w:type="character" w:customStyle="1" w:styleId="65">
    <w:name w:val="Body Text Char"/>
    <w:link w:val="27"/>
    <w:qFormat/>
    <w:uiPriority w:val="0"/>
    <w:rPr>
      <w:rFonts w:ascii="Arial" w:hAnsi="Arial"/>
      <w:lang w:val="en-GB"/>
    </w:rPr>
  </w:style>
  <w:style w:type="paragraph" w:customStyle="1" w:styleId="66">
    <w:name w:val="B5"/>
    <w:basedOn w:val="37"/>
    <w:link w:val="121"/>
    <w:qFormat/>
    <w:uiPriority w:val="0"/>
    <w:pPr>
      <w:spacing w:after="180"/>
      <w:jc w:val="left"/>
    </w:pPr>
    <w:rPr>
      <w:lang w:eastAsia="en-US"/>
    </w:rPr>
  </w:style>
  <w:style w:type="paragraph" w:customStyle="1" w:styleId="67">
    <w:name w:val="EX"/>
    <w:basedOn w:val="1"/>
    <w:qFormat/>
    <w:uiPriority w:val="0"/>
    <w:pPr>
      <w:keepLines/>
      <w:spacing w:after="180"/>
      <w:ind w:left="1702" w:hanging="1418"/>
      <w:jc w:val="left"/>
    </w:pPr>
    <w:rPr>
      <w:lang w:eastAsia="en-US"/>
    </w:rPr>
  </w:style>
  <w:style w:type="paragraph" w:customStyle="1" w:styleId="68">
    <w:name w:val="EW"/>
    <w:basedOn w:val="67"/>
    <w:qFormat/>
    <w:uiPriority w:val="0"/>
    <w:pPr>
      <w:spacing w:after="0"/>
    </w:pPr>
  </w:style>
  <w:style w:type="paragraph" w:customStyle="1" w:styleId="69">
    <w:name w:val="TAL"/>
    <w:basedOn w:val="1"/>
    <w:link w:val="105"/>
    <w:qFormat/>
    <w:uiPriority w:val="0"/>
    <w:pPr>
      <w:keepNext/>
      <w:keepLines/>
      <w:spacing w:after="0"/>
      <w:jc w:val="left"/>
    </w:pPr>
    <w:rPr>
      <w:sz w:val="18"/>
      <w:lang w:eastAsia="en-US"/>
    </w:rPr>
  </w:style>
  <w:style w:type="paragraph" w:customStyle="1" w:styleId="70">
    <w:name w:val="TAC"/>
    <w:basedOn w:val="69"/>
    <w:link w:val="129"/>
    <w:qFormat/>
    <w:uiPriority w:val="0"/>
    <w:pPr>
      <w:jc w:val="center"/>
    </w:pPr>
  </w:style>
  <w:style w:type="paragraph" w:customStyle="1" w:styleId="71">
    <w:name w:val="TAH"/>
    <w:basedOn w:val="70"/>
    <w:link w:val="130"/>
    <w:qFormat/>
    <w:uiPriority w:val="0"/>
    <w:rPr>
      <w:b/>
    </w:rPr>
  </w:style>
  <w:style w:type="paragraph" w:customStyle="1" w:styleId="72">
    <w:name w:val="TAN"/>
    <w:basedOn w:val="69"/>
    <w:qFormat/>
    <w:uiPriority w:val="0"/>
    <w:pPr>
      <w:ind w:left="851" w:hanging="851"/>
    </w:pPr>
  </w:style>
  <w:style w:type="paragraph" w:customStyle="1" w:styleId="73">
    <w:name w:val="TAR"/>
    <w:basedOn w:val="69"/>
    <w:qFormat/>
    <w:uiPriority w:val="0"/>
    <w:pPr>
      <w:jc w:val="right"/>
    </w:pPr>
  </w:style>
  <w:style w:type="paragraph" w:customStyle="1" w:styleId="74">
    <w:name w:val="TH"/>
    <w:basedOn w:val="1"/>
    <w:link w:val="106"/>
    <w:qFormat/>
    <w:uiPriority w:val="0"/>
    <w:pPr>
      <w:keepNext/>
      <w:keepLines/>
      <w:spacing w:before="60" w:after="180"/>
      <w:jc w:val="center"/>
    </w:pPr>
    <w:rPr>
      <w:b/>
      <w:lang w:eastAsia="en-US"/>
    </w:rPr>
  </w:style>
  <w:style w:type="paragraph" w:customStyle="1" w:styleId="75">
    <w:name w:val="TF"/>
    <w:basedOn w:val="74"/>
    <w:link w:val="107"/>
    <w:qFormat/>
    <w:uiPriority w:val="0"/>
    <w:pPr>
      <w:keepNext w:val="0"/>
      <w:spacing w:before="0" w:after="240"/>
    </w:pPr>
  </w:style>
  <w:style w:type="paragraph" w:customStyle="1" w:styleId="76">
    <w:name w:val="TT"/>
    <w:basedOn w:val="2"/>
    <w:next w:val="1"/>
    <w:qFormat/>
    <w:uiPriority w:val="0"/>
    <w:pPr>
      <w:ind w:left="1134" w:hanging="1134"/>
      <w:outlineLvl w:val="9"/>
    </w:pPr>
    <w:rPr>
      <w:rFonts w:cs="Times New Roman"/>
      <w:szCs w:val="20"/>
      <w:lang w:eastAsia="en-US"/>
    </w:rPr>
  </w:style>
  <w:style w:type="paragraph" w:customStyle="1" w:styleId="7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8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character" w:customStyle="1" w:styleId="81">
    <w:name w:val="ZGSM"/>
    <w:qFormat/>
    <w:uiPriority w:val="0"/>
  </w:style>
  <w:style w:type="paragraph" w:customStyle="1" w:styleId="8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8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84">
    <w:name w:val="ZTD"/>
    <w:basedOn w:val="78"/>
    <w:qFormat/>
    <w:uiPriority w:val="0"/>
    <w:pPr>
      <w:framePr w:hRule="auto" w:y="852"/>
    </w:pPr>
    <w:rPr>
      <w:i w:val="0"/>
      <w:sz w:val="40"/>
    </w:rPr>
  </w:style>
  <w:style w:type="paragraph" w:customStyle="1" w:styleId="8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6">
    <w:name w:val="ZV"/>
    <w:basedOn w:val="85"/>
    <w:qFormat/>
    <w:uiPriority w:val="0"/>
    <w:pPr>
      <w:framePr w:y="16161"/>
    </w:pPr>
  </w:style>
  <w:style w:type="paragraph" w:customStyle="1" w:styleId="87">
    <w:name w:val="FP"/>
    <w:basedOn w:val="1"/>
    <w:qFormat/>
    <w:uiPriority w:val="0"/>
    <w:pPr>
      <w:spacing w:after="0"/>
      <w:jc w:val="left"/>
    </w:pPr>
    <w:rPr>
      <w:lang w:eastAsia="en-US"/>
    </w:rPr>
  </w:style>
  <w:style w:type="paragraph" w:customStyle="1" w:styleId="88">
    <w:name w:val="Observation"/>
    <w:basedOn w:val="64"/>
    <w:link w:val="113"/>
    <w:qFormat/>
    <w:uiPriority w:val="0"/>
  </w:style>
  <w:style w:type="paragraph" w:customStyle="1" w:styleId="89">
    <w:name w:val="Doc-text2"/>
    <w:basedOn w:val="1"/>
    <w:link w:val="90"/>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90">
    <w:name w:val="Doc-text2 Char"/>
    <w:link w:val="89"/>
    <w:qFormat/>
    <w:uiPriority w:val="0"/>
    <w:rPr>
      <w:rFonts w:ascii="Arial" w:hAnsi="Arial" w:eastAsia="MS Mincho"/>
      <w:szCs w:val="24"/>
      <w:lang w:val="en-GB" w:eastAsia="en-GB"/>
    </w:rPr>
  </w:style>
  <w:style w:type="paragraph" w:styleId="91">
    <w:name w:val="List Paragraph"/>
    <w:basedOn w:val="1"/>
    <w:link w:val="117"/>
    <w:qFormat/>
    <w:uiPriority w:val="34"/>
    <w:pPr>
      <w:ind w:left="720"/>
      <w:contextualSpacing/>
    </w:pPr>
  </w:style>
  <w:style w:type="paragraph" w:customStyle="1" w:styleId="92">
    <w:name w:val="NO"/>
    <w:basedOn w:val="1"/>
    <w:link w:val="93"/>
    <w:qFormat/>
    <w:uiPriority w:val="0"/>
    <w:pPr>
      <w:keepLines/>
      <w:spacing w:after="180"/>
      <w:ind w:left="1135" w:hanging="851"/>
      <w:jc w:val="left"/>
    </w:pPr>
    <w:rPr>
      <w:rFonts w:ascii="Times New Roman" w:hAnsi="Times New Roman" w:eastAsia="Times New Roman"/>
    </w:rPr>
  </w:style>
  <w:style w:type="character" w:customStyle="1" w:styleId="93">
    <w:name w:val="NO Char"/>
    <w:link w:val="92"/>
    <w:qFormat/>
    <w:uiPriority w:val="0"/>
    <w:rPr>
      <w:rFonts w:ascii="Times New Roman" w:hAnsi="Times New Roman" w:eastAsia="Times New Roman"/>
    </w:rPr>
  </w:style>
  <w:style w:type="character" w:customStyle="1" w:styleId="94">
    <w:name w:val="B1 Char"/>
    <w:link w:val="60"/>
    <w:qFormat/>
    <w:uiPriority w:val="0"/>
    <w:rPr>
      <w:rFonts w:ascii="Arial" w:hAnsi="Arial"/>
      <w:lang w:val="en-GB" w:eastAsia="en-US"/>
    </w:rPr>
  </w:style>
  <w:style w:type="character" w:customStyle="1" w:styleId="95">
    <w:name w:val="B2 Char"/>
    <w:link w:val="61"/>
    <w:qFormat/>
    <w:uiPriority w:val="0"/>
    <w:rPr>
      <w:rFonts w:ascii="Arial" w:hAnsi="Arial"/>
      <w:lang w:val="en-GB" w:eastAsia="en-US"/>
    </w:rPr>
  </w:style>
  <w:style w:type="paragraph" w:customStyle="1" w:styleId="96">
    <w:name w:val="PL"/>
    <w:link w:val="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97">
    <w:name w:val="PL Char"/>
    <w:link w:val="96"/>
    <w:qFormat/>
    <w:uiPriority w:val="0"/>
    <w:rPr>
      <w:rFonts w:ascii="Courier New" w:hAnsi="Courier New" w:eastAsia="Times New Roman"/>
      <w:sz w:val="16"/>
    </w:rPr>
  </w:style>
  <w:style w:type="character" w:customStyle="1" w:styleId="98">
    <w:name w:val="st"/>
    <w:qFormat/>
    <w:uiPriority w:val="0"/>
  </w:style>
  <w:style w:type="character" w:customStyle="1" w:styleId="99">
    <w:name w:val="Char Char7"/>
    <w:qFormat/>
    <w:uiPriority w:val="0"/>
    <w:rPr>
      <w:rFonts w:ascii="Arial" w:hAnsi="Arial" w:eastAsia="MS Mincho" w:cs="Arial"/>
      <w:b/>
      <w:bCs/>
      <w:iCs/>
      <w:sz w:val="28"/>
      <w:szCs w:val="28"/>
      <w:lang w:val="en-GB" w:eastAsia="en-GB" w:bidi="ar-SA"/>
    </w:rPr>
  </w:style>
  <w:style w:type="character" w:customStyle="1" w:styleId="100">
    <w:name w:val="首标题"/>
    <w:qFormat/>
    <w:uiPriority w:val="99"/>
    <w:rPr>
      <w:rFonts w:ascii="Arial" w:hAnsi="Arial" w:cs="Times New Roman"/>
      <w:sz w:val="24"/>
    </w:rPr>
  </w:style>
  <w:style w:type="character" w:customStyle="1" w:styleId="101">
    <w:name w:val="Header Char"/>
    <w:link w:val="35"/>
    <w:qFormat/>
    <w:locked/>
    <w:uiPriority w:val="99"/>
    <w:rPr>
      <w:rFonts w:ascii="Arial" w:hAnsi="Arial" w:cs="Arial"/>
      <w:b/>
      <w:bCs/>
      <w:sz w:val="18"/>
      <w:szCs w:val="18"/>
    </w:rPr>
  </w:style>
  <w:style w:type="character" w:customStyle="1" w:styleId="102">
    <w:name w:val="Footer Char"/>
    <w:link w:val="34"/>
    <w:qFormat/>
    <w:locked/>
    <w:uiPriority w:val="99"/>
    <w:rPr>
      <w:rFonts w:ascii="Arial" w:hAnsi="Arial" w:cs="Arial"/>
      <w:b/>
      <w:bCs/>
      <w:i/>
      <w:iCs/>
      <w:sz w:val="18"/>
      <w:szCs w:val="18"/>
    </w:rPr>
  </w:style>
  <w:style w:type="character" w:customStyle="1" w:styleId="103">
    <w:name w:val="B1 Char1"/>
    <w:qFormat/>
    <w:uiPriority w:val="99"/>
    <w:rPr>
      <w:rFonts w:eastAsia="Times New Roman"/>
    </w:rPr>
  </w:style>
  <w:style w:type="paragraph" w:customStyle="1" w:styleId="104">
    <w:name w:val="text intend 2"/>
    <w:basedOn w:val="1"/>
    <w:qFormat/>
    <w:uiPriority w:val="0"/>
    <w:pPr>
      <w:numPr>
        <w:ilvl w:val="0"/>
        <w:numId w:val="5"/>
      </w:numPr>
    </w:pPr>
    <w:rPr>
      <w:rFonts w:ascii="Times New Roman" w:hAnsi="Times New Roman" w:eastAsia="MS Mincho"/>
      <w:sz w:val="24"/>
      <w:lang w:val="en-US" w:eastAsia="en-GB"/>
    </w:rPr>
  </w:style>
  <w:style w:type="character" w:customStyle="1" w:styleId="105">
    <w:name w:val="TAL Car"/>
    <w:link w:val="69"/>
    <w:qFormat/>
    <w:uiPriority w:val="0"/>
    <w:rPr>
      <w:rFonts w:ascii="Arial" w:hAnsi="Arial"/>
      <w:sz w:val="18"/>
      <w:lang w:val="en-GB" w:eastAsia="en-US"/>
    </w:rPr>
  </w:style>
  <w:style w:type="character" w:customStyle="1" w:styleId="106">
    <w:name w:val="TH Char"/>
    <w:link w:val="74"/>
    <w:qFormat/>
    <w:uiPriority w:val="0"/>
    <w:rPr>
      <w:rFonts w:ascii="Arial" w:hAnsi="Arial"/>
      <w:b/>
      <w:lang w:val="en-GB" w:eastAsia="en-US"/>
    </w:rPr>
  </w:style>
  <w:style w:type="character" w:customStyle="1" w:styleId="107">
    <w:name w:val="TF Char"/>
    <w:link w:val="75"/>
    <w:qFormat/>
    <w:uiPriority w:val="0"/>
    <w:rPr>
      <w:rFonts w:ascii="Arial" w:hAnsi="Arial"/>
      <w:b/>
      <w:lang w:val="en-GB" w:eastAsia="en-US"/>
    </w:rPr>
  </w:style>
  <w:style w:type="paragraph" w:customStyle="1" w:styleId="108">
    <w:name w:val="proposal"/>
    <w:basedOn w:val="64"/>
    <w:link w:val="110"/>
    <w:qFormat/>
    <w:uiPriority w:val="0"/>
    <w:pPr>
      <w:overflowPunct/>
      <w:autoSpaceDE/>
      <w:autoSpaceDN/>
      <w:adjustRightInd/>
      <w:spacing w:line="259" w:lineRule="auto"/>
      <w:textAlignment w:val="auto"/>
    </w:pPr>
  </w:style>
  <w:style w:type="character" w:customStyle="1" w:styleId="109">
    <w:name w:val="Proposal Char"/>
    <w:link w:val="64"/>
    <w:qFormat/>
    <w:uiPriority w:val="0"/>
    <w:rPr>
      <w:rFonts w:ascii="Arial" w:hAnsi="Arial"/>
      <w:b/>
      <w:bCs/>
      <w:lang w:val="en-GB"/>
    </w:rPr>
  </w:style>
  <w:style w:type="character" w:customStyle="1" w:styleId="110">
    <w:name w:val="proposal Char"/>
    <w:link w:val="108"/>
    <w:qFormat/>
    <w:uiPriority w:val="0"/>
    <w:rPr>
      <w:rFonts w:ascii="Arial" w:hAnsi="Arial"/>
      <w:b/>
      <w:bCs/>
      <w:lang w:val="en-GB"/>
    </w:rPr>
  </w:style>
  <w:style w:type="character" w:customStyle="1" w:styleId="111">
    <w:name w:val="书籍标题1"/>
    <w:qFormat/>
    <w:uiPriority w:val="33"/>
    <w:rPr>
      <w:b/>
      <w:bCs/>
      <w:i/>
      <w:iCs/>
      <w:spacing w:val="5"/>
    </w:rPr>
  </w:style>
  <w:style w:type="paragraph" w:customStyle="1" w:styleId="112">
    <w:name w:val="修订1"/>
    <w:hidden/>
    <w:semiHidden/>
    <w:qFormat/>
    <w:uiPriority w:val="99"/>
    <w:rPr>
      <w:rFonts w:ascii="Arial" w:hAnsi="Arial" w:eastAsia="宋体" w:cs="Times New Roman"/>
      <w:lang w:val="en-GB" w:eastAsia="zh-CN" w:bidi="ar-SA"/>
    </w:rPr>
  </w:style>
  <w:style w:type="character" w:customStyle="1" w:styleId="113">
    <w:name w:val="Observation Char"/>
    <w:link w:val="88"/>
    <w:qFormat/>
    <w:uiPriority w:val="0"/>
    <w:rPr>
      <w:rFonts w:ascii="Arial" w:hAnsi="Arial"/>
      <w:b/>
      <w:bCs/>
      <w:lang w:val="en-GB"/>
    </w:rPr>
  </w:style>
  <w:style w:type="paragraph" w:customStyle="1" w:styleId="114">
    <w:name w:val="CR Cover Page"/>
    <w:link w:val="115"/>
    <w:qFormat/>
    <w:uiPriority w:val="0"/>
    <w:pPr>
      <w:spacing w:after="120"/>
    </w:pPr>
    <w:rPr>
      <w:rFonts w:ascii="Arial" w:hAnsi="Arial" w:eastAsia="宋体" w:cs="Times New Roman"/>
      <w:lang w:val="en-GB" w:eastAsia="en-US" w:bidi="ar-SA"/>
    </w:rPr>
  </w:style>
  <w:style w:type="character" w:customStyle="1" w:styleId="115">
    <w:name w:val="CR Cover Page Zchn"/>
    <w:link w:val="114"/>
    <w:qFormat/>
    <w:uiPriority w:val="0"/>
    <w:rPr>
      <w:rFonts w:ascii="Arial" w:hAnsi="Arial"/>
      <w:lang w:val="en-GB" w:eastAsia="en-US"/>
    </w:rPr>
  </w:style>
  <w:style w:type="paragraph" w:customStyle="1" w:styleId="116">
    <w:name w:val="Style Heading 1NMP Heading 1H1h11h12h13h14h15h16app headin..."/>
    <w:basedOn w:val="2"/>
    <w:qFormat/>
    <w:uiPriority w:val="0"/>
    <w:pPr>
      <w:keepLines w:val="0"/>
      <w:numPr>
        <w:ilvl w:val="0"/>
        <w:numId w:val="6"/>
      </w:numPr>
      <w:pBdr>
        <w:top w:val="none" w:color="auto" w:sz="0" w:space="0"/>
      </w:pBdr>
      <w:overflowPunct/>
      <w:autoSpaceDE/>
      <w:autoSpaceDN/>
      <w:adjustRightInd/>
      <w:spacing w:after="60"/>
      <w:textAlignment w:val="auto"/>
    </w:pPr>
    <w:rPr>
      <w:rFonts w:eastAsia="Batang"/>
      <w:b/>
      <w:bCs/>
      <w:kern w:val="32"/>
      <w:sz w:val="28"/>
      <w:szCs w:val="32"/>
      <w:lang w:eastAsia="en-US"/>
    </w:rPr>
  </w:style>
  <w:style w:type="character" w:customStyle="1" w:styleId="117">
    <w:name w:val="List Paragraph Char"/>
    <w:link w:val="91"/>
    <w:qFormat/>
    <w:uiPriority w:val="34"/>
    <w:rPr>
      <w:rFonts w:ascii="Arial" w:hAnsi="Arial"/>
      <w:lang w:val="en-GB"/>
    </w:rPr>
  </w:style>
  <w:style w:type="paragraph" w:customStyle="1" w:styleId="118">
    <w:name w:val="Comments"/>
    <w:basedOn w:val="1"/>
    <w:link w:val="119"/>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119">
    <w:name w:val="Comments Char"/>
    <w:link w:val="118"/>
    <w:qFormat/>
    <w:uiPriority w:val="0"/>
    <w:rPr>
      <w:rFonts w:ascii="Arial" w:hAnsi="Arial" w:eastAsia="MS Mincho"/>
      <w:i/>
      <w:sz w:val="18"/>
      <w:szCs w:val="24"/>
      <w:lang w:val="en-GB" w:eastAsia="en-GB"/>
    </w:rPr>
  </w:style>
  <w:style w:type="character" w:customStyle="1" w:styleId="120">
    <w:name w:val="B3 Char"/>
    <w:link w:val="62"/>
    <w:qFormat/>
    <w:uiPriority w:val="0"/>
    <w:rPr>
      <w:rFonts w:ascii="Arial" w:hAnsi="Arial"/>
      <w:lang w:val="en-GB" w:eastAsia="en-US"/>
    </w:rPr>
  </w:style>
  <w:style w:type="character" w:customStyle="1" w:styleId="121">
    <w:name w:val="B5 Char"/>
    <w:link w:val="66"/>
    <w:qFormat/>
    <w:uiPriority w:val="0"/>
    <w:rPr>
      <w:rFonts w:ascii="Arial" w:hAnsi="Arial"/>
      <w:lang w:val="en-GB" w:eastAsia="en-US"/>
    </w:rPr>
  </w:style>
  <w:style w:type="character" w:customStyle="1" w:styleId="122">
    <w:name w:val="B4 Char"/>
    <w:link w:val="63"/>
    <w:qFormat/>
    <w:uiPriority w:val="0"/>
    <w:rPr>
      <w:rFonts w:ascii="Arial" w:hAnsi="Arial"/>
      <w:lang w:val="en-GB" w:eastAsia="en-US"/>
    </w:rPr>
  </w:style>
  <w:style w:type="character" w:customStyle="1" w:styleId="123">
    <w:name w:val="B3 Char2"/>
    <w:qFormat/>
    <w:uiPriority w:val="0"/>
    <w:rPr>
      <w:rFonts w:ascii="Times New Roman" w:hAnsi="Times New Roman" w:eastAsia="Times New Roman"/>
    </w:rPr>
  </w:style>
  <w:style w:type="character" w:customStyle="1" w:styleId="124">
    <w:name w:val="列表段落 字符"/>
    <w:qFormat/>
    <w:locked/>
    <w:uiPriority w:val="34"/>
    <w:rPr>
      <w:rFonts w:ascii="Times New Roman" w:hAnsi="Times New Roman" w:eastAsia="宋体" w:cs="Times New Roman"/>
    </w:rPr>
  </w:style>
  <w:style w:type="character" w:customStyle="1" w:styleId="125">
    <w:name w:val="Comment Text Char"/>
    <w:link w:val="30"/>
    <w:semiHidden/>
    <w:qFormat/>
    <w:uiPriority w:val="0"/>
    <w:rPr>
      <w:rFonts w:ascii="Arial" w:hAnsi="Arial"/>
      <w:lang w:val="en-GB"/>
    </w:rPr>
  </w:style>
  <w:style w:type="paragraph" w:customStyle="1" w:styleId="126">
    <w:name w:val="Doc-comment"/>
    <w:basedOn w:val="1"/>
    <w:next w:val="89"/>
    <w:qFormat/>
    <w:uiPriority w:val="0"/>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7">
    <w:name w:val="正文文本 字符1"/>
    <w:qFormat/>
    <w:uiPriority w:val="0"/>
    <w:rPr>
      <w:rFonts w:ascii="Arial" w:hAnsi="Arial"/>
      <w:lang w:val="en-GB"/>
    </w:rPr>
  </w:style>
  <w:style w:type="paragraph" w:customStyle="1" w:styleId="128">
    <w:name w:val="Agreement"/>
    <w:basedOn w:val="1"/>
    <w:next w:val="89"/>
    <w:qFormat/>
    <w:uiPriority w:val="99"/>
    <w:pPr>
      <w:numPr>
        <w:ilvl w:val="0"/>
        <w:numId w:val="7"/>
      </w:numPr>
      <w:overflowPunct/>
      <w:autoSpaceDE/>
      <w:autoSpaceDN/>
      <w:adjustRightInd/>
      <w:spacing w:before="60" w:after="0"/>
      <w:jc w:val="left"/>
      <w:textAlignment w:val="auto"/>
    </w:pPr>
    <w:rPr>
      <w:rFonts w:eastAsia="MS Mincho"/>
      <w:b/>
      <w:szCs w:val="24"/>
      <w:lang w:eastAsia="en-GB"/>
    </w:rPr>
  </w:style>
  <w:style w:type="character" w:customStyle="1" w:styleId="129">
    <w:name w:val="TAC Char"/>
    <w:link w:val="70"/>
    <w:qFormat/>
    <w:uiPriority w:val="0"/>
    <w:rPr>
      <w:rFonts w:ascii="Arial" w:hAnsi="Arial"/>
      <w:sz w:val="18"/>
      <w:lang w:val="en-GB" w:eastAsia="en-US"/>
    </w:rPr>
  </w:style>
  <w:style w:type="character" w:customStyle="1" w:styleId="130">
    <w:name w:val="TAH Car"/>
    <w:link w:val="71"/>
    <w:qFormat/>
    <w:uiPriority w:val="0"/>
    <w:rPr>
      <w:rFonts w:ascii="Arial" w:hAnsi="Arial"/>
      <w:b/>
      <w:sz w:val="18"/>
      <w:lang w:val="en-GB" w:eastAsia="en-US"/>
    </w:rPr>
  </w:style>
  <w:style w:type="paragraph" w:customStyle="1" w:styleId="131">
    <w:name w:val="Doc-title"/>
    <w:basedOn w:val="1"/>
    <w:next w:val="89"/>
    <w:link w:val="132"/>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132">
    <w:name w:val="Doc-title Char"/>
    <w:link w:val="131"/>
    <w:qFormat/>
    <w:uiPriority w:val="0"/>
    <w:rPr>
      <w:rFonts w:ascii="Arial" w:hAnsi="Arial" w:eastAsia="MS Mincho"/>
      <w:szCs w:val="24"/>
      <w:lang w:val="en-GB" w:eastAsia="en-GB"/>
    </w:rPr>
  </w:style>
  <w:style w:type="character" w:customStyle="1" w:styleId="133">
    <w:name w:val="列出段落 字符"/>
    <w:qFormat/>
    <w:locked/>
    <w:uiPriority w:val="34"/>
  </w:style>
  <w:style w:type="character" w:customStyle="1" w:styleId="134">
    <w:name w:val="批注文字 字符"/>
    <w:semiHidden/>
    <w:qFormat/>
    <w:uiPriority w:val="0"/>
  </w:style>
  <w:style w:type="character" w:customStyle="1" w:styleId="135">
    <w:name w:val="正文文本 字符"/>
    <w:qFormat/>
    <w:uiPriority w:val="0"/>
    <w:rPr>
      <w:rFonts w:ascii="Arial" w:hAnsi="Arial"/>
      <w:lang w:val="en-GB"/>
    </w:rPr>
  </w:style>
  <w:style w:type="paragraph" w:customStyle="1" w:styleId="136">
    <w:name w:val="EmailDiscussion"/>
    <w:basedOn w:val="1"/>
    <w:next w:val="137"/>
    <w:link w:val="138"/>
    <w:qFormat/>
    <w:uiPriority w:val="0"/>
    <w:pPr>
      <w:numPr>
        <w:ilvl w:val="0"/>
        <w:numId w:val="8"/>
      </w:numPr>
      <w:overflowPunct/>
      <w:autoSpaceDE/>
      <w:autoSpaceDN/>
      <w:adjustRightInd/>
      <w:spacing w:before="40" w:after="0"/>
      <w:jc w:val="left"/>
      <w:textAlignment w:val="auto"/>
    </w:pPr>
    <w:rPr>
      <w:rFonts w:eastAsia="MS Mincho"/>
      <w:b/>
      <w:szCs w:val="24"/>
      <w:lang w:eastAsia="en-GB"/>
    </w:rPr>
  </w:style>
  <w:style w:type="paragraph" w:customStyle="1" w:styleId="137">
    <w:name w:val="EmailDiscussion2"/>
    <w:basedOn w:val="89"/>
    <w:qFormat/>
    <w:uiPriority w:val="99"/>
  </w:style>
  <w:style w:type="character" w:customStyle="1" w:styleId="138">
    <w:name w:val="EmailDiscussion Char"/>
    <w:link w:val="136"/>
    <w:qFormat/>
    <w:uiPriority w:val="0"/>
    <w:rPr>
      <w:rFonts w:ascii="Arial" w:hAnsi="Arial" w:eastAsia="MS Mincho"/>
      <w:b/>
      <w:szCs w:val="24"/>
      <w:lang w:val="en-GB" w:eastAsia="en-GB"/>
    </w:rPr>
  </w:style>
  <w:style w:type="character" w:customStyle="1" w:styleId="139">
    <w:name w:val="apple-converted-space"/>
    <w:qFormat/>
    <w:uiPriority w:val="0"/>
  </w:style>
  <w:style w:type="character" w:customStyle="1" w:styleId="140">
    <w:name w:val="NO Char1"/>
    <w:qFormat/>
    <w:uiPriority w:val="0"/>
    <w:rPr>
      <w:lang w:val="en-GB" w:eastAsia="en-US"/>
    </w:rPr>
  </w:style>
  <w:style w:type="paragraph" w:customStyle="1" w:styleId="141">
    <w:name w:val="normal puce"/>
    <w:basedOn w:val="1"/>
    <w:qFormat/>
    <w:uiPriority w:val="0"/>
    <w:pPr>
      <w:widowControl w:val="0"/>
      <w:numPr>
        <w:ilvl w:val="0"/>
        <w:numId w:val="9"/>
      </w:numPr>
      <w:tabs>
        <w:tab w:val="clear" w:pos="360"/>
      </w:tabs>
      <w:overflowPunct/>
      <w:autoSpaceDE/>
      <w:autoSpaceDN/>
      <w:adjustRightInd/>
      <w:spacing w:before="60" w:after="60"/>
      <w:ind w:left="720"/>
      <w:textAlignment w:val="auto"/>
    </w:pPr>
    <w:rPr>
      <w:rFonts w:ascii="Calibri" w:hAnsi="Calibri" w:eastAsia="MS Mincho"/>
      <w:szCs w:val="22"/>
      <w:lang w:eastAsia="en-US"/>
    </w:rPr>
  </w:style>
  <w:style w:type="character" w:customStyle="1" w:styleId="142">
    <w:name w:val="标题 1 字符"/>
    <w:qFormat/>
    <w:uiPriority w:val="0"/>
    <w:rPr>
      <w:rFonts w:ascii="Arial" w:hAnsi="Arial" w:cs="Arial"/>
      <w:sz w:val="36"/>
      <w:szCs w:val="36"/>
      <w:lang w:val="en-GB"/>
    </w:rPr>
  </w:style>
  <w:style w:type="character" w:customStyle="1" w:styleId="143">
    <w:name w:val="skip"/>
    <w:qFormat/>
    <w:uiPriority w:val="0"/>
  </w:style>
  <w:style w:type="character" w:customStyle="1" w:styleId="144">
    <w:name w:val="Unresolved Mention1"/>
    <w:basedOn w:val="47"/>
    <w:semiHidden/>
    <w:unhideWhenUsed/>
    <w:qFormat/>
    <w:uiPriority w:val="99"/>
    <w:rPr>
      <w:color w:val="605E5C"/>
      <w:shd w:val="clear" w:color="auto" w:fill="E1DFDD"/>
    </w:rPr>
  </w:style>
  <w:style w:type="character" w:customStyle="1" w:styleId="145">
    <w:name w:val="Caption Char"/>
    <w:link w:val="28"/>
    <w:qFormat/>
    <w:uiPriority w:val="0"/>
    <w:rPr>
      <w:rFonts w:ascii="Arial" w:hAnsi="Arial"/>
      <w:b/>
      <w:bCs/>
      <w:lang w:val="en-GB"/>
    </w:rPr>
  </w:style>
  <w:style w:type="character" w:customStyle="1" w:styleId="146">
    <w:name w:val="未处理的提及1"/>
    <w:basedOn w:val="47"/>
    <w:semiHidden/>
    <w:unhideWhenUsed/>
    <w:qFormat/>
    <w:uiPriority w:val="99"/>
    <w:rPr>
      <w:color w:val="605E5C"/>
      <w:shd w:val="clear" w:color="auto" w:fill="E1DFDD"/>
    </w:rPr>
  </w:style>
  <w:style w:type="paragraph" w:customStyle="1" w:styleId="147">
    <w:name w:val="ReviewText"/>
    <w:basedOn w:val="1"/>
    <w:link w:val="148"/>
    <w:qFormat/>
    <w:uiPriority w:val="0"/>
    <w:pPr>
      <w:spacing w:after="80"/>
      <w:ind w:left="567"/>
      <w:jc w:val="left"/>
    </w:pPr>
    <w:rPr>
      <w:rFonts w:eastAsia="Times New Roman"/>
    </w:rPr>
  </w:style>
  <w:style w:type="character" w:customStyle="1" w:styleId="148">
    <w:name w:val="ReviewText Char"/>
    <w:basedOn w:val="47"/>
    <w:link w:val="147"/>
    <w:qFormat/>
    <w:uiPriority w:val="0"/>
    <w:rPr>
      <w:rFonts w:ascii="Arial" w:hAnsi="Arial" w:eastAsia="Times New Roman"/>
      <w:lang w:val="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C0446-2397-46A5-8801-53B50C55A384}">
  <ds:schemaRefs/>
</ds:datastoreItem>
</file>

<file path=docProps/app.xml><?xml version="1.0" encoding="utf-8"?>
<Properties xmlns="http://schemas.openxmlformats.org/officeDocument/2006/extended-properties" xmlns:vt="http://schemas.openxmlformats.org/officeDocument/2006/docPropsVTypes">
  <Template>OPPO1.dotx</Template>
  <Company>Microsoft</Company>
  <Pages>24</Pages>
  <Words>7883</Words>
  <Characters>44939</Characters>
  <Lines>374</Lines>
  <Paragraphs>105</Paragraphs>
  <TotalTime>0</TotalTime>
  <ScaleCrop>false</ScaleCrop>
  <LinksUpToDate>false</LinksUpToDate>
  <CharactersWithSpaces>52717</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2023-04-19T09:34:00Z</dcterms:created>
  <dc:creator>OPPO-Haitao</dc:creator>
  <cp:keywords>3GPP; OPPO; TDoc</cp:keywords>
  <cp:lastModifiedBy>CMCC</cp:lastModifiedBy>
  <cp:lastPrinted>2008-01-31T00:09:00Z</cp:lastPrinted>
  <dcterms:modified xsi:type="dcterms:W3CDTF">2023-04-19T10:38:08Z</dcterms:modified>
  <dc:title>OPPO</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2052-11.8.2.11716</vt:lpwstr>
  </property>
  <property fmtid="{D5CDD505-2E9C-101B-9397-08002B2CF9AE}" pid="9" name="ICV">
    <vt:lpwstr>FB1A54C7CA114EEA95D3D4CE5CCC34B1</vt:lpwstr>
  </property>
  <property fmtid="{D5CDD505-2E9C-101B-9397-08002B2CF9AE}" pid="10" name="MSIP_Label_83bcef13-7cac-433f-ba1d-47a323951816_Enabled">
    <vt:lpwstr>true</vt:lpwstr>
  </property>
  <property fmtid="{D5CDD505-2E9C-101B-9397-08002B2CF9AE}" pid="11" name="MSIP_Label_83bcef13-7cac-433f-ba1d-47a323951816_SetDate">
    <vt:lpwstr>2023-04-18T12:55:59Z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ba7b0f93-c978-41be-9aa6-5e01ec320d1e</vt:lpwstr>
  </property>
  <property fmtid="{D5CDD505-2E9C-101B-9397-08002B2CF9AE}" pid="16" name="MSIP_Label_83bcef13-7cac-433f-ba1d-47a323951816_ContentBits">
    <vt:lpwstr>0</vt:lpwstr>
  </property>
</Properties>
</file>