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000000">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000000"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hint="eastAsia"/>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hint="eastAsia"/>
              </w:rPr>
            </w:pPr>
            <w:r>
              <w:rPr>
                <w:rFonts w:eastAsia="Yu Mincho"/>
              </w:rPr>
              <w:t>seau.s.lim@intel.com</w:t>
            </w:r>
          </w:p>
        </w:tc>
      </w:tr>
    </w:tbl>
    <w:p w14:paraId="568F9911" w14:textId="77777777" w:rsidR="006D3274" w:rsidRDefault="004B34C8">
      <w:pPr>
        <w:pStyle w:val="Heading1"/>
        <w:numPr>
          <w:ilvl w:val="0"/>
          <w:numId w:val="14"/>
        </w:numPr>
      </w:pPr>
      <w:r>
        <w:lastRenderedPageBreak/>
        <w:t>Discussion</w:t>
      </w:r>
    </w:p>
    <w:p w14:paraId="5DF014CA" w14:textId="77777777" w:rsidR="006D3274" w:rsidRDefault="004B34C8">
      <w:pPr>
        <w:pStyle w:val="Heading2"/>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000000">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t>NR_newRAT-Core</w:t>
      </w:r>
      <w:r w:rsidR="004B34C8">
        <w:tab/>
        <w:t>To:RAN1</w:t>
      </w:r>
      <w:r w:rsidR="004B34C8">
        <w:tab/>
        <w:t>Cc:RAN2</w:t>
      </w:r>
    </w:p>
    <w:p w14:paraId="09E03FE7" w14:textId="77777777" w:rsidR="006D3274" w:rsidRDefault="004B34C8">
      <w:pPr>
        <w:pStyle w:val="Doc-comment"/>
      </w:pPr>
      <w:r>
        <w:t>RAN2 is CCed.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an proposed to be noted immediately for that RAN2 is CCed.</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840C45">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840C45">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840C45">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840C45">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000000">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w:t>
              </w:r>
              <w:r w:rsidR="004B34C8">
                <w:rPr>
                  <w:rStyle w:val="Hyperlink"/>
                  <w:b w:val="0"/>
                  <w:sz w:val="18"/>
                  <w:szCs w:val="18"/>
                </w:rPr>
                <w:lastRenderedPageBreak/>
                <w:t xml:space="preserve">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000000">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47515035" w14:textId="77777777" w:rsidR="00B11C70" w:rsidRPr="00C40E31"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txSwitchImpactToRx, we would like to further confirm the understanding is the impact to DL band is brought by the srs tx switching behavior of the UL band with srs-TxSwitch capability, because the </w:t>
            </w:r>
            <w:r w:rsidRPr="00C40E31">
              <w:rPr>
                <w:rFonts w:ascii="Arial" w:eastAsiaTheme="minorEastAsia" w:hAnsi="Arial" w:cs="Arial"/>
                <w:color w:val="000000" w:themeColor="text1"/>
                <w:lang w:val="en-US" w:eastAsia="zh-CN" w:bidi="ar"/>
              </w:rPr>
              <w:t>txSwitchImpactToRx</w:t>
            </w:r>
            <w:r>
              <w:rPr>
                <w:rFonts w:ascii="Arial" w:eastAsiaTheme="minorEastAsia" w:hAnsi="Arial" w:cs="Arial"/>
                <w:color w:val="000000" w:themeColor="text1"/>
                <w:lang w:val="en-US" w:eastAsia="zh-CN" w:bidi="ar"/>
              </w:rPr>
              <w:t xml:space="preserve"> may point to a first-listed UL band without srs tx switching capability.  </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r w:rsidRPr="0026592B">
              <w:rPr>
                <w:rFonts w:ascii="Arial" w:eastAsiaTheme="minorEastAsia" w:hAnsi="Arial" w:cs="Arial"/>
                <w:color w:val="000000" w:themeColor="text1"/>
                <w:lang w:val="en-US" w:eastAsia="zh-CN" w:bidi="ar"/>
              </w:rPr>
              <w:t>txSwitchImpactToRx</w:t>
            </w:r>
            <w:r>
              <w:rPr>
                <w:rFonts w:ascii="Arial" w:eastAsiaTheme="minorEastAsia" w:hAnsi="Arial" w:cs="Arial"/>
                <w:color w:val="000000" w:themeColor="text1"/>
                <w:lang w:val="en-US" w:eastAsia="zh-CN" w:bidi="ar"/>
              </w:rPr>
              <w:t xml:space="preserve"> is set as “-” under band B is because band A doesn’t support SRS switch, then why should </w:t>
            </w:r>
            <w:r w:rsidRPr="0026592B">
              <w:rPr>
                <w:rFonts w:ascii="Arial" w:eastAsiaTheme="minorEastAsia" w:hAnsi="Arial" w:cs="Arial"/>
                <w:color w:val="000000" w:themeColor="text1"/>
                <w:lang w:val="en-US" w:eastAsia="zh-CN" w:bidi="ar"/>
              </w:rPr>
              <w:t>txSwitchWithAnotherBand</w:t>
            </w:r>
            <w:r>
              <w:rPr>
                <w:rFonts w:ascii="Arial" w:eastAsiaTheme="minorEastAsia" w:hAnsi="Arial" w:cs="Arial"/>
                <w:color w:val="000000" w:themeColor="text1"/>
                <w:lang w:val="en-US" w:eastAsia="zh-CN" w:bidi="ar"/>
              </w:rPr>
              <w:t xml:space="preserve"> of band B is “1” ? for #5 there is similar issue.</w:t>
            </w:r>
          </w:p>
          <w:p w14:paraId="30DD0FB7" w14:textId="5B87DAEA"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07120F02" w14:textId="5B34E82D"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2B2496BC" w14:textId="787067F5" w:rsidR="00ED1D60" w:rsidRP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hint="eastAsia"/>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hint="eastAsia"/>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hint="eastAsia"/>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BodyText"/>
              <w:jc w:val="center"/>
              <w:rPr>
                <w:b/>
                <w:bCs/>
                <w:sz w:val="20"/>
                <w:szCs w:val="20"/>
              </w:rPr>
            </w:pPr>
            <w:r>
              <w:rPr>
                <w:b/>
                <w:bCs/>
                <w:sz w:val="20"/>
                <w:szCs w:val="20"/>
              </w:rPr>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HiSlicon</w:t>
            </w:r>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430E93">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430E93">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430E93">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430E93">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430E93">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t>Miscellaneous Correction on UE capability</w:t>
      </w:r>
    </w:p>
    <w:p w14:paraId="5194C33A" w14:textId="77777777" w:rsidR="006D3274" w:rsidRDefault="00000000">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ZTE Corporation, Sanechips</w:t>
      </w:r>
      <w:r w:rsidR="004B34C8">
        <w:tab/>
        <w:t>CR</w:t>
      </w:r>
      <w:r w:rsidR="004B34C8">
        <w:tab/>
        <w:t>Rel-15</w:t>
      </w:r>
      <w:r w:rsidR="004B34C8">
        <w:tab/>
        <w:t>38.306</w:t>
      </w:r>
      <w:r w:rsidR="004B34C8">
        <w:tab/>
        <w:t>15.20.0</w:t>
      </w:r>
      <w:r w:rsidR="004B34C8">
        <w:tab/>
        <w:t>0895</w:t>
      </w:r>
      <w:r w:rsidR="004B34C8">
        <w:tab/>
        <w:t>-</w:t>
      </w:r>
      <w:r w:rsidR="004B34C8">
        <w:tab/>
        <w:t>F</w:t>
      </w:r>
      <w:r w:rsidR="004B34C8">
        <w:tab/>
        <w:t>NR_newRAT-Core</w:t>
      </w:r>
    </w:p>
    <w:p w14:paraId="53127B02" w14:textId="77777777" w:rsidR="006D3274" w:rsidRDefault="00000000">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ZTE Corporation, Sanechips</w:t>
      </w:r>
      <w:r w:rsidR="004B34C8">
        <w:tab/>
        <w:t>CR</w:t>
      </w:r>
      <w:r w:rsidR="004B34C8">
        <w:tab/>
        <w:t>Rel-16</w:t>
      </w:r>
      <w:r w:rsidR="004B34C8">
        <w:tab/>
        <w:t>38.306</w:t>
      </w:r>
      <w:r w:rsidR="004B34C8">
        <w:tab/>
        <w:t>16.12.0</w:t>
      </w:r>
      <w:r w:rsidR="004B34C8">
        <w:tab/>
        <w:t>0896</w:t>
      </w:r>
      <w:r w:rsidR="004B34C8">
        <w:tab/>
        <w:t>-</w:t>
      </w:r>
      <w:r w:rsidR="004B34C8">
        <w:tab/>
        <w:t>A</w:t>
      </w:r>
      <w:r w:rsidR="004B34C8">
        <w:tab/>
        <w:t>NR_newRAT-Core</w:t>
      </w:r>
    </w:p>
    <w:p w14:paraId="0705EDFF" w14:textId="77777777" w:rsidR="006D3274" w:rsidRDefault="00000000">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ZTE Corporation, Sanechips</w:t>
      </w:r>
      <w:r w:rsidR="004B34C8">
        <w:tab/>
        <w:t>CR</w:t>
      </w:r>
      <w:r w:rsidR="004B34C8">
        <w:tab/>
        <w:t>Rel-17</w:t>
      </w:r>
      <w:r w:rsidR="004B34C8">
        <w:tab/>
        <w:t>38.306</w:t>
      </w:r>
      <w:r w:rsidR="004B34C8">
        <w:tab/>
        <w:t>17.4.0</w:t>
      </w:r>
      <w:r w:rsidR="004B34C8">
        <w:tab/>
        <w:t>0897</w:t>
      </w:r>
      <w:r w:rsidR="004B34C8">
        <w:tab/>
        <w:t>-</w:t>
      </w:r>
      <w:r w:rsidR="004B34C8">
        <w:tab/>
        <w:t>A</w:t>
      </w:r>
      <w:r w:rsidR="004B34C8">
        <w:tab/>
        <w:t>NR_newRAT-Core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pusch-TransCoherence</w:t>
            </w:r>
            <w:r>
              <w:rPr>
                <w:rFonts w:hint="eastAsia"/>
                <w:i/>
                <w:sz w:val="20"/>
                <w:lang w:val="en-US"/>
              </w:rPr>
              <w:t xml:space="preserve">) </w:t>
            </w:r>
            <w:r>
              <w:rPr>
                <w:rFonts w:cs="Arial" w:hint="eastAsia"/>
                <w:sz w:val="22"/>
                <w:lang w:val="en-US"/>
              </w:rPr>
              <w:t>only for the first sub-element (</w:t>
            </w:r>
            <w:r w:rsidRPr="00454FF7">
              <w:rPr>
                <w:color w:val="000000"/>
                <w:sz w:val="16"/>
                <w:szCs w:val="16"/>
                <w:lang w:val="en-US"/>
              </w:rPr>
              <w:t>maxNumberMIMO-LayersCB-PUSCH MIMO-LayersUL</w:t>
            </w:r>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lastRenderedPageBreak/>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r w:rsidRPr="00610E97">
              <w:rPr>
                <w:i/>
                <w:lang w:val="en-US"/>
              </w:rPr>
              <w:t>mimo-NonCB-PUSCH</w:t>
            </w:r>
            <w:r>
              <w:rPr>
                <w:i/>
                <w:lang w:val="en-US"/>
              </w:rPr>
              <w:t xml:space="preserve"> </w:t>
            </w:r>
            <w:r>
              <w:rPr>
                <w:lang w:val="en-US"/>
              </w:rPr>
              <w:t xml:space="preserve">covering </w:t>
            </w:r>
            <w:r w:rsidRPr="00610E97">
              <w:rPr>
                <w:i/>
                <w:lang w:val="en-US"/>
              </w:rPr>
              <w:t>maxNumberSRS-ResourcePerSet</w:t>
            </w:r>
            <w:r>
              <w:rPr>
                <w:i/>
                <w:lang w:val="en-US"/>
              </w:rPr>
              <w:t xml:space="preserve"> and </w:t>
            </w:r>
            <w:r w:rsidRPr="00610E97">
              <w:rPr>
                <w:i/>
                <w:lang w:val="en-US"/>
              </w:rPr>
              <w:t>maxNumberSimultaneousSRS-ResourceTx</w:t>
            </w:r>
            <w:r>
              <w:rPr>
                <w:lang w:val="en-US"/>
              </w:rPr>
              <w:t xml:space="preserve"> are referred in other two places. So I wondering whether we should put these two under </w:t>
            </w:r>
            <w:r w:rsidRPr="00610E97">
              <w:rPr>
                <w:i/>
                <w:lang w:val="en-US"/>
              </w:rPr>
              <w:t>mimo-NonCB-PUSCH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Otherwise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"mimo-NonCB-PUSCH"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"mimo-CB-PUSCH"?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hint="eastAsia"/>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hint="eastAsia"/>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Pr>
                <w:rStyle w:val="normaltextrun"/>
                <w:rFonts w:cs="Arial"/>
                <w:color w:val="000000"/>
                <w:sz w:val="20"/>
                <w:szCs w:val="20"/>
                <w:shd w:val="clear" w:color="auto" w:fill="FFFFFF"/>
              </w:rPr>
              <w:t>1</w:t>
            </w:r>
            <w:r>
              <w:rPr>
                <w:rStyle w:val="normaltextrun"/>
                <w:rFonts w:cs="Arial"/>
                <w:color w:val="000000"/>
                <w:sz w:val="16"/>
                <w:szCs w:val="16"/>
                <w:shd w:val="clear" w:color="auto" w:fill="FFFFFF"/>
                <w:vertAlign w:val="superscript"/>
              </w:rPr>
              <w:t>st</w:t>
            </w:r>
            <w:r>
              <w:rPr>
                <w:rStyle w:val="normaltextrun"/>
                <w:rFonts w:cs="Arial"/>
                <w:color w:val="000000"/>
                <w:sz w:val="20"/>
                <w:szCs w:val="20"/>
                <w:shd w:val="clear" w:color="auto" w:fill="FFFFFF"/>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bl>
    <w:p w14:paraId="6EC459D9" w14:textId="77777777" w:rsidR="006D3274" w:rsidRDefault="006D3274">
      <w:pPr>
        <w:rPr>
          <w:lang w:val="sv-SE"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r>
              <w:rPr>
                <w:rFonts w:ascii="Arial" w:hAnsi="Arial" w:cs="Arial"/>
                <w:i/>
                <w:lang w:val="en-US" w:eastAsia="zh-CN"/>
              </w:rPr>
              <w:t>rateMatchingResrcSetSemi-Static</w:t>
            </w:r>
            <w:r>
              <w:rPr>
                <w:rFonts w:ascii="Arial" w:hAnsi="Arial" w:cs="Arial"/>
                <w:lang w:val="en-US" w:eastAsia="zh-CN"/>
              </w:rPr>
              <w:t xml:space="preserve">  and the </w:t>
            </w:r>
            <w:r>
              <w:rPr>
                <w:rFonts w:ascii="Arial" w:hAnsi="Arial" w:cs="Arial"/>
                <w:i/>
                <w:lang w:val="en-US" w:eastAsia="zh-CN"/>
              </w:rPr>
              <w:t xml:space="preserve">rateMatchingResrcSetDynamic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r>
              <w:rPr>
                <w:rFonts w:ascii="Arial" w:hAnsi="Arial" w:cs="Arial"/>
                <w:i/>
                <w:lang w:val="en-US" w:eastAsia="zh-CN"/>
              </w:rPr>
              <w:t xml:space="preserve">rateMatchingResrcSetSemi-Static, rateMatchingResrcSetDynamic </w:t>
            </w:r>
            <w:r>
              <w:rPr>
                <w:rFonts w:ascii="Arial" w:hAnsi="Arial" w:cs="Arial"/>
                <w:lang w:val="en-US" w:eastAsia="zh-CN"/>
              </w:rPr>
              <w:t xml:space="preserve">and </w:t>
            </w:r>
            <w:r>
              <w:rPr>
                <w:rFonts w:ascii="Arial" w:hAnsi="Arial" w:cs="Arial"/>
                <w:color w:val="FF0000"/>
                <w:lang w:val="en-US" w:eastAsia="zh-CN"/>
              </w:rPr>
              <w:t xml:space="preserve">the </w:t>
            </w:r>
            <w:r>
              <w:rPr>
                <w:rFonts w:ascii="Arial" w:hAnsi="Arial" w:cs="Arial"/>
                <w:i/>
                <w:color w:val="FF0000"/>
                <w:lang w:val="en-US" w:eastAsia="zh-CN"/>
              </w:rPr>
              <w:t>rateMatchingCtrlResrcSetDynamic</w:t>
            </w:r>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w:t>
            </w:r>
            <w:r>
              <w:rPr>
                <w:rFonts w:ascii="Arial" w:hAnsi="Arial" w:cs="Arial" w:hint="eastAsia"/>
                <w:lang w:val="en-US" w:eastAsia="zh-CN"/>
              </w:rPr>
              <w:lastRenderedPageBreak/>
              <w:t xml:space="preserve">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hint="eastAsia"/>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hint="eastAsia"/>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000000">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ZTE Corporation, Sanechips</w:t>
      </w:r>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000000">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ZTE Corporation, Sanechips</w:t>
      </w:r>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r>
              <w:rPr>
                <w:rFonts w:hint="eastAsia"/>
                <w:lang w:val="en-US"/>
              </w:rPr>
              <w:t>Further more,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hint="eastAsia"/>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hint="eastAsia"/>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r>
        <w:t>Pusch Repetition TypeB</w:t>
      </w:r>
    </w:p>
    <w:p w14:paraId="41805CD4" w14:textId="77777777" w:rsidR="006D3274" w:rsidRDefault="006D3274">
      <w:pPr>
        <w:pStyle w:val="Doc-text2"/>
        <w:rPr>
          <w:lang w:val="en-GB" w:eastAsia="en-GB"/>
        </w:rPr>
      </w:pPr>
    </w:p>
    <w:p w14:paraId="74760156" w14:textId="77777777" w:rsidR="006D3274" w:rsidRDefault="00000000">
      <w:pPr>
        <w:pStyle w:val="Doc-title"/>
        <w:ind w:left="0" w:firstLine="0"/>
      </w:pPr>
      <w:hyperlink r:id="rId25" w:tooltip="C:Usersmtk65284Documents3GPPtsg_ranWG2_RL2TSGR2_121bis-eDocsR2-2304163.zip" w:history="1">
        <w:r w:rsidR="004B34C8">
          <w:rPr>
            <w:rStyle w:val="16"/>
          </w:rPr>
          <w:t>R2-2304163</w:t>
        </w:r>
      </w:hyperlink>
      <w:r w:rsidR="004B34C8">
        <w:tab/>
        <w:t>Correction on pusch-RepetitionTypeB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000000">
      <w:pPr>
        <w:pStyle w:val="Doc-title"/>
        <w:ind w:left="0" w:firstLine="0"/>
      </w:pPr>
      <w:hyperlink r:id="rId26" w:tooltip="C:Usersmtk65284Documents3GPPtsg_ranWG2_RL2TSGR2_121bis-eDocsR2-2304164.zip" w:history="1">
        <w:r w:rsidR="004B34C8">
          <w:rPr>
            <w:rStyle w:val="16"/>
          </w:rPr>
          <w:t>R2-2304164</w:t>
        </w:r>
      </w:hyperlink>
      <w:r w:rsidR="004B34C8">
        <w:tab/>
        <w:t>Correction on pusch-RepetitionTypeB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The processing capability 1 is mandatory supported without signalling,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lastRenderedPageBreak/>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77777777" w:rsidR="006D3274" w:rsidRDefault="006D3274">
            <w:pPr>
              <w:rPr>
                <w:rFonts w:ascii="Arial" w:hAnsi="Arial" w:cs="Arial"/>
              </w:rPr>
            </w:pP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pusch-repetitionTypeB is a different capability with pusch processing capability. Pusch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Pusch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pusch-repetitionTypeB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w:t>
            </w:r>
            <w:r w:rsidR="00802D48" w:rsidRPr="00500164">
              <w:rPr>
                <w:rFonts w:ascii="Arial" w:eastAsia="Yu Mincho" w:hAnsi="Arial" w:cs="Arial"/>
                <w:sz w:val="20"/>
                <w:szCs w:val="20"/>
                <w:lang w:val="en-US" w:eastAsia="ja-JP"/>
              </w:rPr>
              <w:lastRenderedPageBreak/>
              <w:t xml:space="preserve">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hint="eastAsia"/>
              </w:rPr>
            </w:pPr>
            <w:r>
              <w:rPr>
                <w:rFonts w:ascii="Arial" w:eastAsia="Yu Mincho" w:hAnsi="Arial" w:cs="Arial"/>
              </w:rPr>
              <w:lastRenderedPageBreak/>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hint="eastAsia"/>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bl>
    <w:p w14:paraId="117B1CF4" w14:textId="77777777" w:rsidR="006D3274" w:rsidRDefault="006D3274">
      <w:pPr>
        <w:rPr>
          <w:lang w:val="sv-SE" w:eastAsia="zh-CN"/>
        </w:rPr>
      </w:pPr>
    </w:p>
    <w:p w14:paraId="3B126B19" w14:textId="77777777" w:rsidR="006D3274" w:rsidRDefault="00000000">
      <w:pPr>
        <w:pStyle w:val="Doc-title"/>
        <w:ind w:left="0" w:firstLine="0"/>
      </w:pPr>
      <w:hyperlink r:id="rId27" w:tooltip="C:Usersmtk65284Documents3GPPtsg_ranWG2_RL2TSGR2_121bis-eDocsR2-2304161.zip" w:history="1">
        <w:r w:rsidR="004B34C8">
          <w:rPr>
            <w:rStyle w:val="16"/>
          </w:rPr>
          <w:t>R2-2304161</w:t>
        </w:r>
      </w:hyperlink>
      <w:r w:rsidR="004B34C8">
        <w:tab/>
        <w:t>Correction on pusch-RepetitionTypeB capability</w:t>
      </w:r>
      <w:r w:rsidR="004B34C8">
        <w:tab/>
        <w:t>Huawei, HiSilicon</w:t>
      </w:r>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000000">
      <w:pPr>
        <w:pStyle w:val="Doc-title"/>
        <w:ind w:left="0" w:firstLine="0"/>
      </w:pPr>
      <w:hyperlink r:id="rId28" w:tooltip="C:Usersmtk65284Documents3GPPtsg_ranWG2_RL2TSGR2_121bis-eDocsR2-2304162.zip" w:history="1">
        <w:r w:rsidR="004B34C8">
          <w:rPr>
            <w:rStyle w:val="16"/>
          </w:rPr>
          <w:t>R2-2304162</w:t>
        </w:r>
      </w:hyperlink>
      <w:r w:rsidR="004B34C8">
        <w:tab/>
        <w:t>Correction on pusch-RepetitionTypeB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hint="eastAsia"/>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hint="eastAsia"/>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000000">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t>LTE_NR_DC_CA_enh-Core</w:t>
      </w:r>
    </w:p>
    <w:p w14:paraId="39C7F700" w14:textId="77777777" w:rsidR="006D3274" w:rsidRDefault="00000000">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t>LTE_NR_DC_CA_enh-Core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ca-parametersNRDC</w:t>
      </w:r>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291C86C6"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ca-ParametersNRDC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lastRenderedPageBreak/>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552B10C3" w14:textId="3FAC77C9" w:rsidR="00C47A8A" w:rsidRPr="00142D8E" w:rsidRDefault="00C47A8A" w:rsidP="00C47A8A">
            <w:pPr>
              <w:jc w:val="both"/>
              <w:rPr>
                <w:rFonts w:ascii="Arial" w:hAnsi="Arial" w:cs="Arial"/>
                <w:lang w:val="en-US" w:eastAsia="zh-CN"/>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hint="eastAsia"/>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hint="eastAsia"/>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hint="eastAsia"/>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hint="eastAsia"/>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hint="eastAsia"/>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hint="eastAsia"/>
                <w:lang w:val="en-US"/>
              </w:rPr>
            </w:pPr>
            <w:r>
              <w:rPr>
                <w:rFonts w:ascii="Arial" w:eastAsia="Yu Mincho" w:hAnsi="Arial" w:cs="Arial"/>
                <w:lang w:val="en-US"/>
              </w:rPr>
              <w:t>Same comment as Q8</w:t>
            </w: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lastRenderedPageBreak/>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000000">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t>NR_newRAT-Core</w:t>
      </w:r>
      <w:r w:rsidR="004B34C8">
        <w:tab/>
        <w:t>To:RAN1</w:t>
      </w:r>
      <w:r w:rsidR="004B34C8">
        <w:tab/>
        <w:t>Cc:RAN2</w:t>
      </w:r>
    </w:p>
    <w:p w14:paraId="4F9AE0F6" w14:textId="77777777" w:rsidR="006D3274" w:rsidRDefault="00000000">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000000">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ZTE Corporation, Sanechips</w:t>
      </w:r>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t>NR_newRAT-Core</w:t>
      </w:r>
    </w:p>
    <w:p w14:paraId="58F9D360" w14:textId="77777777" w:rsidR="006D3274" w:rsidRDefault="00000000">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ZTE Corporation, Sanechips</w:t>
      </w:r>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t>NR_newRAT-Core</w:t>
      </w:r>
    </w:p>
    <w:p w14:paraId="032EFC85" w14:textId="77777777" w:rsidR="006D3274" w:rsidRDefault="00000000">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ZTE Corporation, Sanechips</w:t>
      </w:r>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t>NR_newRAT-Core</w:t>
      </w:r>
    </w:p>
    <w:p w14:paraId="3C9A2A59" w14:textId="77777777" w:rsidR="006D3274" w:rsidRDefault="00000000">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ZTE Corporation, Sanechips</w:t>
      </w:r>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000000">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ZTE Corporation, Sanechips</w:t>
      </w:r>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Correction on pusch-RepetitionTypeB capability</w:t>
      </w:r>
      <w:r>
        <w:tab/>
        <w:t>Huawei, HiSilicon</w:t>
      </w:r>
      <w:r>
        <w:tab/>
        <w:t>CR</w:t>
      </w:r>
      <w:bookmarkEnd w:id="1"/>
      <w:r>
        <w:tab/>
        <w:t>Rel-16</w:t>
      </w:r>
      <w:r>
        <w:tab/>
        <w:t>38.306</w:t>
      </w:r>
      <w:r>
        <w:tab/>
        <w:t>16.12.0</w:t>
      </w:r>
      <w:r>
        <w:tab/>
        <w:t>0901</w:t>
      </w:r>
      <w:r>
        <w:tab/>
        <w:t>-</w:t>
      </w:r>
      <w:r>
        <w:tab/>
        <w:t>F</w:t>
      </w:r>
      <w:r>
        <w:tab/>
        <w:t>NR_L1enh_URLLC-Core</w:t>
      </w:r>
    </w:p>
    <w:p w14:paraId="2703C78A" w14:textId="77777777" w:rsidR="006D3274" w:rsidRDefault="00000000">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Correction on pusch-RepetitionTypeB capability</w:t>
      </w:r>
      <w:r w:rsidR="004B34C8">
        <w:tab/>
        <w:t>Huawei, HiSilicon</w:t>
      </w:r>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000000">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Correction on pusch-RepetitionTypeB capability</w:t>
      </w:r>
      <w:r w:rsidR="004B34C8">
        <w:tab/>
        <w:t>Huawei, HiSilicon</w:t>
      </w:r>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000000">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Correction on pusch-RepetitionTypeB capability</w:t>
      </w:r>
      <w:r w:rsidR="004B34C8">
        <w:tab/>
        <w:t>Huawei, HiSilicon</w:t>
      </w:r>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000000">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Huawei, HiSilicon</w:t>
      </w:r>
      <w:r w:rsidR="004B34C8">
        <w:tab/>
        <w:t>CR</w:t>
      </w:r>
      <w:r w:rsidR="004B34C8">
        <w:tab/>
        <w:t>Rel-16</w:t>
      </w:r>
      <w:r w:rsidR="004B34C8">
        <w:tab/>
        <w:t>38.306</w:t>
      </w:r>
      <w:r w:rsidR="004B34C8">
        <w:tab/>
        <w:t>16.12.0</w:t>
      </w:r>
      <w:r w:rsidR="004B34C8">
        <w:tab/>
        <w:t>0903</w:t>
      </w:r>
      <w:r w:rsidR="004B34C8">
        <w:tab/>
        <w:t>-</w:t>
      </w:r>
      <w:r w:rsidR="004B34C8">
        <w:tab/>
        <w:t>F</w:t>
      </w:r>
      <w:r w:rsidR="004B34C8">
        <w:tab/>
        <w:t>LTE_NR_DC_CA_enh-Core</w:t>
      </w:r>
    </w:p>
    <w:p w14:paraId="5F4C44EE" w14:textId="77777777" w:rsidR="006D3274" w:rsidRDefault="00000000">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Huawei, HiSilicon</w:t>
      </w:r>
      <w:r w:rsidR="004B34C8">
        <w:tab/>
        <w:t>CR</w:t>
      </w:r>
      <w:r w:rsidR="004B34C8">
        <w:tab/>
        <w:t>Rel-17</w:t>
      </w:r>
      <w:r w:rsidR="004B34C8">
        <w:tab/>
        <w:t>38.306</w:t>
      </w:r>
      <w:r w:rsidR="004B34C8">
        <w:tab/>
        <w:t>17.4.0</w:t>
      </w:r>
      <w:r w:rsidR="004B34C8">
        <w:tab/>
        <w:t>0904</w:t>
      </w:r>
      <w:r w:rsidR="004B34C8">
        <w:tab/>
        <w:t>-</w:t>
      </w:r>
      <w:r w:rsidR="004B34C8">
        <w:tab/>
        <w:t>A</w:t>
      </w:r>
      <w:r w:rsidR="004B34C8">
        <w:tab/>
        <w:t>LTE_NR_DC_CA_enh-Core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7947" w14:textId="77777777" w:rsidR="003247C7" w:rsidRDefault="003247C7">
      <w:pPr>
        <w:spacing w:line="240" w:lineRule="auto"/>
      </w:pPr>
      <w:r>
        <w:separator/>
      </w:r>
    </w:p>
  </w:endnote>
  <w:endnote w:type="continuationSeparator" w:id="0">
    <w:p w14:paraId="59C630AD" w14:textId="77777777" w:rsidR="003247C7" w:rsidRDefault="00324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22B7" w14:textId="77777777" w:rsidR="003247C7" w:rsidRDefault="003247C7">
      <w:pPr>
        <w:spacing w:after="0"/>
      </w:pPr>
      <w:r>
        <w:separator/>
      </w:r>
    </w:p>
  </w:footnote>
  <w:footnote w:type="continuationSeparator" w:id="0">
    <w:p w14:paraId="2A429902" w14:textId="77777777" w:rsidR="003247C7" w:rsidRDefault="003247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918246606">
    <w:abstractNumId w:val="15"/>
  </w:num>
  <w:num w:numId="2" w16cid:durableId="646323214">
    <w:abstractNumId w:val="6"/>
  </w:num>
  <w:num w:numId="3" w16cid:durableId="911811275">
    <w:abstractNumId w:val="2"/>
  </w:num>
  <w:num w:numId="4" w16cid:durableId="1973364079">
    <w:abstractNumId w:val="4"/>
  </w:num>
  <w:num w:numId="5" w16cid:durableId="1110320983">
    <w:abstractNumId w:val="3"/>
  </w:num>
  <w:num w:numId="6" w16cid:durableId="1128552634">
    <w:abstractNumId w:val="14"/>
  </w:num>
  <w:num w:numId="7" w16cid:durableId="1968316732">
    <w:abstractNumId w:val="1"/>
  </w:num>
  <w:num w:numId="8" w16cid:durableId="2048793087">
    <w:abstractNumId w:val="17"/>
  </w:num>
  <w:num w:numId="9" w16cid:durableId="1942951992">
    <w:abstractNumId w:val="10"/>
  </w:num>
  <w:num w:numId="10" w16cid:durableId="1108621378">
    <w:abstractNumId w:val="7"/>
  </w:num>
  <w:num w:numId="11" w16cid:durableId="1046295195">
    <w:abstractNumId w:val="12"/>
  </w:num>
  <w:num w:numId="12" w16cid:durableId="191770730">
    <w:abstractNumId w:val="13"/>
  </w:num>
  <w:num w:numId="13" w16cid:durableId="1056198801">
    <w:abstractNumId w:val="16"/>
  </w:num>
  <w:num w:numId="14" w16cid:durableId="2034111479">
    <w:abstractNumId w:val="9"/>
  </w:num>
  <w:num w:numId="15" w16cid:durableId="1378969944">
    <w:abstractNumId w:val="11"/>
  </w:num>
  <w:num w:numId="16" w16cid:durableId="990599186">
    <w:abstractNumId w:val="0"/>
  </w:num>
  <w:num w:numId="17" w16cid:durableId="2025589935">
    <w:abstractNumId w:val="5"/>
  </w:num>
  <w:num w:numId="18" w16cid:durableId="1835804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1D75"/>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05"/>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76E"/>
    <w:rsid w:val="002F1DCD"/>
    <w:rsid w:val="002F2771"/>
    <w:rsid w:val="002F30C9"/>
    <w:rsid w:val="002F3669"/>
    <w:rsid w:val="002F36B5"/>
    <w:rsid w:val="002F37A9"/>
    <w:rsid w:val="002F4555"/>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5170A"/>
    <w:rsid w:val="0035245C"/>
    <w:rsid w:val="00352DE0"/>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4F85"/>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24A1"/>
    <w:rsid w:val="007F3216"/>
    <w:rsid w:val="007F3D5B"/>
    <w:rsid w:val="007F408F"/>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295"/>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27E0C"/>
    <w:rsid w:val="00B30929"/>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D0AC4"/>
    <w:rsid w:val="00BD2CCC"/>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0DA1"/>
    <w:rsid w:val="00C21519"/>
    <w:rsid w:val="00C217D6"/>
    <w:rsid w:val="00C21A6F"/>
    <w:rsid w:val="00C22072"/>
    <w:rsid w:val="00C2238C"/>
    <w:rsid w:val="00C23840"/>
    <w:rsid w:val="00C279B5"/>
    <w:rsid w:val="00C27C45"/>
    <w:rsid w:val="00C318C0"/>
    <w:rsid w:val="00C3246F"/>
    <w:rsid w:val="00C327E1"/>
    <w:rsid w:val="00C329F3"/>
    <w:rsid w:val="00C345C8"/>
    <w:rsid w:val="00C34E21"/>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262A"/>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styleId="UnresolvedMention">
    <w:name w:val="Unresolved Mention"/>
    <w:basedOn w:val="DefaultParagraphFont"/>
    <w:uiPriority w:val="99"/>
    <w:semiHidden/>
    <w:unhideWhenUsed/>
    <w:rsid w:val="00B35022"/>
    <w:rPr>
      <w:color w:val="605E5C"/>
      <w:shd w:val="clear" w:color="auto" w:fill="E1DFDD"/>
    </w:rPr>
  </w:style>
  <w:style w:type="paragraph" w:customStyle="1" w:styleId="paragraph">
    <w:name w:val="paragraph"/>
    <w:basedOn w:val="Normal"/>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74D10"/>
  </w:style>
  <w:style w:type="character" w:customStyle="1" w:styleId="eop">
    <w:name w:val="eop"/>
    <w:basedOn w:val="DefaultParagraphFont"/>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C02665F-ED66-4C2F-8B03-B777A1667E9A}">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12</Pages>
  <Words>4138</Words>
  <Characters>23591</Characters>
  <Application>Microsoft Office Word</Application>
  <DocSecurity>0</DocSecurity>
  <Lines>196</Lines>
  <Paragraphs>55</Paragraphs>
  <ScaleCrop>false</ScaleCrop>
  <Company>Ericsson</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Intel - Seau Sian2</cp:lastModifiedBy>
  <cp:revision>28</cp:revision>
  <cp:lastPrinted>2008-02-01T05:09:00Z</cp:lastPrinted>
  <dcterms:created xsi:type="dcterms:W3CDTF">2023-04-18T21:11:00Z</dcterms:created>
  <dcterms:modified xsi:type="dcterms:W3CDTF">2023-04-18T21:35:00Z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