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77777777" w:rsidR="00B646FD" w:rsidRPr="00D41F8C" w:rsidRDefault="00B646FD" w:rsidP="00B646FD">
            <w:pPr>
              <w:spacing w:after="0"/>
              <w:jc w:val="center"/>
              <w:rPr>
                <w:bCs/>
              </w:rPr>
            </w:pPr>
          </w:p>
        </w:tc>
        <w:tc>
          <w:tcPr>
            <w:tcW w:w="2694" w:type="dxa"/>
          </w:tcPr>
          <w:p w14:paraId="69FE0072" w14:textId="77777777" w:rsidR="00B646FD" w:rsidRPr="00D41F8C" w:rsidRDefault="00B646FD" w:rsidP="00B646FD">
            <w:pPr>
              <w:spacing w:after="0"/>
              <w:jc w:val="center"/>
              <w:rPr>
                <w:bCs/>
              </w:rPr>
            </w:pPr>
          </w:p>
        </w:tc>
        <w:tc>
          <w:tcPr>
            <w:tcW w:w="4526" w:type="dxa"/>
            <w:shd w:val="clear" w:color="auto" w:fill="auto"/>
          </w:tcPr>
          <w:p w14:paraId="5064158A" w14:textId="77777777" w:rsidR="00B646FD" w:rsidRPr="00D41F8C" w:rsidRDefault="00B646FD" w:rsidP="00B646FD">
            <w:pPr>
              <w:spacing w:after="0"/>
              <w:jc w:val="center"/>
              <w:rPr>
                <w:bCs/>
              </w:rPr>
            </w:pP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gnss-fixDuration for reporting “GNSS position fix time duration for measurement”. This report is </w:t>
            </w:r>
            <w:r w:rsidRPr="00B6418B">
              <w:rPr>
                <w:rFonts w:eastAsiaTheme="minorEastAsia" w:cs="Arial"/>
                <w:b/>
                <w:bCs/>
                <w:color w:val="000000" w:themeColor="text1"/>
                <w:lang w:eastAsia="zh-CN"/>
              </w:rPr>
              <w:lastRenderedPageBreak/>
              <w:t>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lastRenderedPageBreak/>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lastRenderedPageBreak/>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lastRenderedPageBreak/>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 xml:space="preserve">We only agree the first-half part of Proposal 5, and think the network is expected to provide the UE with the gap before the GNSS validity duration expires. In case the GNSS validity duration expires before the arrival of a </w:t>
            </w:r>
            <w:r>
              <w:rPr>
                <w:rFonts w:eastAsiaTheme="minorEastAsia"/>
                <w:bCs/>
              </w:rPr>
              <w:lastRenderedPageBreak/>
              <w:t>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lastRenderedPageBreak/>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 xml:space="preserve">Proposal 2: RAN2 to discuss how to deliver the indication of whether the UE/network </w:t>
            </w:r>
            <w:r w:rsidRPr="00FA1692">
              <w:rPr>
                <w:rFonts w:eastAsiaTheme="minorEastAsia" w:cs="Arial"/>
                <w:b/>
                <w:bCs/>
                <w:color w:val="000000" w:themeColor="text1"/>
                <w:lang w:eastAsia="zh-CN"/>
              </w:rPr>
              <w:lastRenderedPageBreak/>
              <w:t>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w:t>
            </w:r>
            <w:r>
              <w:rPr>
                <w:rFonts w:eastAsiaTheme="minorEastAsia"/>
                <w:bCs/>
              </w:rPr>
              <w:lastRenderedPageBreak/>
              <w:t xml:space="preserve">support GNSS operation enhancement by default and that a capability is not needed. </w:t>
            </w:r>
          </w:p>
        </w:tc>
      </w:tr>
    </w:tbl>
    <w:p w14:paraId="7AFDD743" w14:textId="77777777" w:rsidR="00576F05" w:rsidRDefault="00576F05" w:rsidP="00576F05">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lastRenderedPageBreak/>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lastRenderedPageBreak/>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lastRenderedPageBreak/>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lastRenderedPageBreak/>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lastRenderedPageBreak/>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lastRenderedPageBreak/>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FE3AE4"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lastRenderedPageBreak/>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FE3AE4"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 xml:space="preserve">Introduce a new IE gnss-fixDuration for reporting “GNSS position fix time duration for measurement”. This report is </w:t>
                </w:r>
                <w:r w:rsidR="0058787F" w:rsidRPr="009D65EC">
                  <w:rPr>
                    <w:rFonts w:eastAsia="Malgun Gothic" w:cs="Arial"/>
                    <w:b/>
                    <w:bCs/>
                    <w:color w:val="000000" w:themeColor="text1"/>
                  </w:rPr>
                  <w:lastRenderedPageBreak/>
                  <w:t>triggered to be reported in the same places where gnss-validityDuration is triggered today.</w:t>
                </w:r>
              </w:hyperlink>
            </w:hyperlink>
          </w:p>
        </w:tc>
        <w:tc>
          <w:tcPr>
            <w:tcW w:w="1609" w:type="dxa"/>
          </w:tcPr>
          <w:p w14:paraId="24546002" w14:textId="77777777" w:rsidR="0058787F" w:rsidRDefault="0058787F" w:rsidP="00CB3A7E">
            <w:r>
              <w:lastRenderedPageBreak/>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lastRenderedPageBreak/>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lastRenderedPageBreak/>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 xml:space="preserve">period is longer than the GNSS </w:t>
            </w:r>
            <w:r w:rsidRPr="001C39A2">
              <w:rPr>
                <w:rFonts w:eastAsiaTheme="minorEastAsia" w:cs="Arial" w:hint="eastAsia"/>
                <w:b/>
                <w:color w:val="000000" w:themeColor="text1"/>
              </w:rPr>
              <w:lastRenderedPageBreak/>
              <w:t>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w:t>
            </w:r>
            <w:r w:rsidRPr="001C39A2">
              <w:rPr>
                <w:rFonts w:eastAsia="Malgun Gothic" w:cs="Arial"/>
                <w:b/>
                <w:bCs/>
                <w:color w:val="000000" w:themeColor="text1"/>
              </w:rPr>
              <w:lastRenderedPageBreak/>
              <w:t>position fix time duration for measurement” in gnss-fixDuration.</w:t>
            </w:r>
          </w:p>
        </w:tc>
        <w:tc>
          <w:tcPr>
            <w:tcW w:w="1609" w:type="dxa"/>
          </w:tcPr>
          <w:p w14:paraId="205D454C" w14:textId="77777777" w:rsidR="000F08C8" w:rsidRDefault="000F08C8" w:rsidP="00CB3A7E">
            <w:r>
              <w:lastRenderedPageBreak/>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lastRenderedPageBreak/>
        <w:t>4. References</w:t>
      </w:r>
    </w:p>
    <w:p w14:paraId="6638D6EB" w14:textId="77777777" w:rsidR="00987D0B" w:rsidRDefault="00987D0B" w:rsidP="00987D0B">
      <w:pPr>
        <w:pStyle w:val="Reference"/>
      </w:pPr>
      <w:bookmarkStart w:id="2" w:name="_Ref128233090"/>
      <w:r>
        <w:t>R2-2300175</w:t>
      </w:r>
      <w:r>
        <w:tab/>
        <w:t>Discussion on GNSS operation in connected mode</w:t>
      </w:r>
      <w:r>
        <w:tab/>
        <w:t>OPPO</w:t>
      </w:r>
      <w:r>
        <w:tab/>
        <w:t>discussion</w:t>
      </w:r>
      <w:r>
        <w:tab/>
        <w:t>Rel-18</w:t>
      </w:r>
      <w:r>
        <w:tab/>
        <w:t>IoT_NTN_enh-Core</w:t>
      </w:r>
      <w:bookmarkEnd w:id="2"/>
    </w:p>
    <w:p w14:paraId="2D99D13C" w14:textId="77777777" w:rsidR="00987D0B" w:rsidRDefault="00987D0B" w:rsidP="00987D0B">
      <w:pPr>
        <w:pStyle w:val="Reference"/>
      </w:pPr>
      <w:bookmarkStart w:id="3" w:name="_Ref128233312"/>
      <w:r>
        <w:t>R2-2300204</w:t>
      </w:r>
      <w:r>
        <w:tab/>
        <w:t>Discussion on GNSS operation in connected mode</w:t>
      </w:r>
      <w:r>
        <w:tab/>
        <w:t>CATT</w:t>
      </w:r>
      <w:r>
        <w:tab/>
        <w:t>discussion</w:t>
      </w:r>
      <w:r>
        <w:tab/>
        <w:t>Rel-18</w:t>
      </w:r>
      <w:r>
        <w:tab/>
        <w:t>IoT_NTN_enh-Core</w:t>
      </w:r>
      <w:bookmarkEnd w:id="3"/>
    </w:p>
    <w:p w14:paraId="00FCB8CD" w14:textId="77777777" w:rsidR="00987D0B" w:rsidRDefault="00987D0B" w:rsidP="00987D0B">
      <w:pPr>
        <w:pStyle w:val="Reference"/>
      </w:pPr>
      <w:bookmarkStart w:id="4" w:name="_Ref128233723"/>
      <w:r>
        <w:t>R2-2300263</w:t>
      </w:r>
      <w:r>
        <w:tab/>
        <w:t>Enhancements on GNSS operation</w:t>
      </w:r>
      <w:r>
        <w:tab/>
        <w:t>MediaTek Inc.</w:t>
      </w:r>
      <w:r>
        <w:tab/>
        <w:t>discussion</w:t>
      </w:r>
      <w:bookmarkEnd w:id="4"/>
    </w:p>
    <w:p w14:paraId="7A4A4751" w14:textId="77777777" w:rsidR="00987D0B" w:rsidRDefault="00987D0B" w:rsidP="00987D0B">
      <w:pPr>
        <w:pStyle w:val="Reference"/>
      </w:pPr>
      <w:bookmarkStart w:id="5" w:name="_Ref128234515"/>
      <w:r>
        <w:t>R2-2300580</w:t>
      </w:r>
      <w:r>
        <w:tab/>
        <w:t>GNSS acquisition and reporting for IoT NTN</w:t>
      </w:r>
      <w:r>
        <w:tab/>
        <w:t>Interdigital, Inc.</w:t>
      </w:r>
      <w:r>
        <w:tab/>
        <w:t>discussion</w:t>
      </w:r>
      <w:r>
        <w:tab/>
        <w:t>Rel-18</w:t>
      </w:r>
      <w:r>
        <w:tab/>
        <w:t>IoT_NTN_enh-Core</w:t>
      </w:r>
      <w:bookmarkEnd w:id="5"/>
    </w:p>
    <w:p w14:paraId="0E9EED22" w14:textId="77777777" w:rsidR="00987D0B" w:rsidRDefault="00987D0B" w:rsidP="00987D0B">
      <w:pPr>
        <w:pStyle w:val="Reference"/>
      </w:pPr>
      <w:bookmarkStart w:id="6" w:name="_Ref128235795"/>
      <w:r>
        <w:t>R2-2300739</w:t>
      </w:r>
      <w:r>
        <w:tab/>
        <w:t>Improved GNSS Operation</w:t>
      </w:r>
      <w:r>
        <w:tab/>
        <w:t>Apple</w:t>
      </w:r>
      <w:r>
        <w:tab/>
        <w:t>discussion</w:t>
      </w:r>
      <w:r>
        <w:tab/>
        <w:t>Rel-18</w:t>
      </w:r>
      <w:r>
        <w:tab/>
        <w:t>IoT_NTN_enh-Core</w:t>
      </w:r>
      <w:bookmarkEnd w:id="6"/>
    </w:p>
    <w:p w14:paraId="01FBF65D" w14:textId="77777777" w:rsidR="00987D0B" w:rsidRDefault="00987D0B" w:rsidP="00987D0B">
      <w:pPr>
        <w:pStyle w:val="Reference"/>
      </w:pPr>
      <w:bookmarkStart w:id="7" w:name="_Ref128236543"/>
      <w:r>
        <w:t>R2-2300892</w:t>
      </w:r>
      <w:r>
        <w:tab/>
        <w:t>GNSS fix in RRC_CONNECTED</w:t>
      </w:r>
      <w:r>
        <w:tab/>
        <w:t>Qualcomm Incorporated</w:t>
      </w:r>
      <w:r>
        <w:tab/>
        <w:t>discussion</w:t>
      </w:r>
      <w:r>
        <w:tab/>
        <w:t>Rel-18</w:t>
      </w:r>
      <w:r>
        <w:tab/>
        <w:t>IoT_NTN_enh-Core</w:t>
      </w:r>
      <w:bookmarkEnd w:id="7"/>
    </w:p>
    <w:p w14:paraId="3A270C6D" w14:textId="77777777" w:rsidR="00987D0B" w:rsidRDefault="00987D0B" w:rsidP="00987D0B">
      <w:pPr>
        <w:pStyle w:val="Reference"/>
      </w:pPr>
      <w:bookmarkStart w:id="8" w:name="_Ref128238179"/>
      <w:r>
        <w:t>R2-2300979</w:t>
      </w:r>
      <w:r>
        <w:tab/>
        <w:t>Considerations on long GNSS operation in CONNECTED state</w:t>
      </w:r>
      <w:r>
        <w:tab/>
        <w:t>Lenovo</w:t>
      </w:r>
      <w:r>
        <w:tab/>
        <w:t>discussion</w:t>
      </w:r>
      <w:r>
        <w:tab/>
        <w:t>Rel-18</w:t>
      </w:r>
      <w:bookmarkEnd w:id="8"/>
    </w:p>
    <w:p w14:paraId="071485C0" w14:textId="77777777" w:rsidR="00987D0B" w:rsidRDefault="00987D0B" w:rsidP="00987D0B">
      <w:pPr>
        <w:pStyle w:val="Reference"/>
      </w:pPr>
      <w:bookmarkStart w:id="9" w:name="_Ref128239000"/>
      <w:r>
        <w:t>R2-2301895</w:t>
      </w:r>
      <w:r>
        <w:tab/>
        <w:t>Discussion on GNSS operation enhancement</w:t>
      </w:r>
      <w:r>
        <w:tab/>
        <w:t>Xiaomi</w:t>
      </w:r>
      <w:r>
        <w:tab/>
        <w:t>discussion</w:t>
      </w:r>
      <w:r>
        <w:tab/>
        <w:t>Rel-18</w:t>
      </w:r>
      <w:bookmarkEnd w:id="9"/>
    </w:p>
    <w:p w14:paraId="395BBA31" w14:textId="77777777" w:rsidR="00987D0B" w:rsidRDefault="00987D0B" w:rsidP="00987D0B">
      <w:pPr>
        <w:pStyle w:val="Reference"/>
      </w:pPr>
      <w:bookmarkStart w:id="10" w:name="_Ref128239694"/>
      <w:r>
        <w:t>R2-2301053</w:t>
      </w:r>
      <w:r>
        <w:tab/>
        <w:t>Further discussion on GNSS enhancements</w:t>
      </w:r>
      <w:r>
        <w:tab/>
        <w:t>ZTE Corporation, Sanechips</w:t>
      </w:r>
      <w:r>
        <w:tab/>
        <w:t>discussion</w:t>
      </w:r>
      <w:r>
        <w:tab/>
        <w:t>IoT_NTN_enh-Core</w:t>
      </w:r>
      <w:bookmarkEnd w:id="10"/>
    </w:p>
    <w:p w14:paraId="0F02C06C" w14:textId="77777777" w:rsidR="00987D0B" w:rsidRDefault="00987D0B" w:rsidP="00987D0B">
      <w:pPr>
        <w:pStyle w:val="Reference"/>
      </w:pPr>
      <w:bookmarkStart w:id="11" w:name="_Ref128301602"/>
      <w:r>
        <w:t>R2-2301209</w:t>
      </w:r>
      <w:r>
        <w:tab/>
        <w:t>Discussion on the enhancement of GNSS operation</w:t>
      </w:r>
      <w:r>
        <w:tab/>
        <w:t>Huawei, Turkcell, HiSilicon</w:t>
      </w:r>
      <w:r>
        <w:tab/>
        <w:t>discussion</w:t>
      </w:r>
      <w:r>
        <w:tab/>
        <w:t>Rel-18</w:t>
      </w:r>
      <w:r>
        <w:tab/>
        <w:t>IoT_NTN_enh-Core</w:t>
      </w:r>
      <w:bookmarkEnd w:id="11"/>
    </w:p>
    <w:p w14:paraId="779CA1CF" w14:textId="77777777" w:rsidR="00987D0B" w:rsidRDefault="00987D0B" w:rsidP="00987D0B">
      <w:pPr>
        <w:pStyle w:val="Reference"/>
      </w:pPr>
      <w:bookmarkStart w:id="12" w:name="_Ref128302201"/>
      <w:r>
        <w:t>R2-2301252</w:t>
      </w:r>
      <w:r>
        <w:tab/>
        <w:t>Discussion on the GNSS enhancement for IoT-NTN</w:t>
      </w:r>
      <w:r>
        <w:tab/>
        <w:t>CMCC</w:t>
      </w:r>
      <w:r>
        <w:tab/>
        <w:t>discussion</w:t>
      </w:r>
      <w:r>
        <w:tab/>
        <w:t>Rel-18</w:t>
      </w:r>
      <w:r>
        <w:tab/>
        <w:t>IoT_NTN_enh</w:t>
      </w:r>
      <w:bookmarkEnd w:id="12"/>
    </w:p>
    <w:p w14:paraId="4EF87357" w14:textId="77777777" w:rsidR="00987D0B" w:rsidRDefault="00987D0B" w:rsidP="00987D0B">
      <w:pPr>
        <w:pStyle w:val="Reference"/>
      </w:pPr>
      <w:bookmarkStart w:id="13" w:name="_Ref128304623"/>
      <w:r>
        <w:t>R2-2301493</w:t>
      </w:r>
      <w:r>
        <w:tab/>
        <w:t>On improved GNSS operation for IoT NTN</w:t>
      </w:r>
      <w:r>
        <w:tab/>
        <w:t>Samsung Electronics Benelux BV</w:t>
      </w:r>
      <w:r>
        <w:tab/>
        <w:t>discussion</w:t>
      </w:r>
      <w:r>
        <w:tab/>
        <w:t>Rel-18</w:t>
      </w:r>
      <w:r>
        <w:tab/>
        <w:t>IoT_NTN_enh</w:t>
      </w:r>
      <w:bookmarkEnd w:id="13"/>
    </w:p>
    <w:p w14:paraId="2C6DB53C" w14:textId="77777777" w:rsidR="00827710" w:rsidRDefault="00987D0B" w:rsidP="00987D0B">
      <w:pPr>
        <w:pStyle w:val="Reference"/>
      </w:pPr>
      <w:bookmarkStart w:id="14" w:name="_Ref128304982"/>
      <w:r>
        <w:t>R2-2301660</w:t>
      </w:r>
      <w:r>
        <w:tab/>
        <w:t>On GNSS operation enhancements for IoT NTN</w:t>
      </w:r>
      <w:r>
        <w:tab/>
        <w:t>Nokia, Nokia Shanghai Bell</w:t>
      </w:r>
      <w:r>
        <w:tab/>
        <w:t>discussion</w:t>
      </w:r>
      <w:r>
        <w:tab/>
        <w:t>Rel-18</w:t>
      </w:r>
      <w:r>
        <w:tab/>
        <w:t>IoT_NTN_enh-Core</w:t>
      </w:r>
      <w:bookmarkEnd w:id="14"/>
    </w:p>
    <w:p w14:paraId="07CE9677" w14:textId="77777777" w:rsidR="009410F0" w:rsidRDefault="009410F0" w:rsidP="00987D0B">
      <w:pPr>
        <w:pStyle w:val="Reference"/>
      </w:pPr>
      <w:bookmarkStart w:id="15" w:name="_Ref128305591"/>
      <w:r>
        <w:t>R2-2301880</w:t>
      </w:r>
      <w:r>
        <w:tab/>
        <w:t>R18 IoT NTN performance enhancement</w:t>
      </w:r>
      <w:r>
        <w:tab/>
        <w:t>Ericsson</w:t>
      </w:r>
      <w:r>
        <w:tab/>
        <w:t>discussion</w:t>
      </w:r>
      <w:r>
        <w:tab/>
        <w:t>Rel-18</w:t>
      </w:r>
      <w:r>
        <w:tab/>
        <w:t>IoT_NTN_enh</w:t>
      </w:r>
      <w:bookmarkEnd w:id="15"/>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C6A6" w14:textId="77777777" w:rsidR="00FE3AE4" w:rsidRDefault="00FE3AE4">
      <w:pPr>
        <w:spacing w:after="0" w:line="240" w:lineRule="auto"/>
      </w:pPr>
      <w:r>
        <w:separator/>
      </w:r>
    </w:p>
  </w:endnote>
  <w:endnote w:type="continuationSeparator" w:id="0">
    <w:p w14:paraId="16ABF332" w14:textId="77777777" w:rsidR="00FE3AE4" w:rsidRDefault="00F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7E18" w14:textId="77777777" w:rsidR="00FE3AE4" w:rsidRDefault="00FE3AE4">
      <w:pPr>
        <w:spacing w:after="0" w:line="240" w:lineRule="auto"/>
      </w:pPr>
      <w:r>
        <w:separator/>
      </w:r>
    </w:p>
  </w:footnote>
  <w:footnote w:type="continuationSeparator" w:id="0">
    <w:p w14:paraId="4CB1C974" w14:textId="77777777" w:rsidR="00FE3AE4" w:rsidRDefault="00FE3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3300"/>
    <w:rsid w:val="0015301F"/>
    <w:rsid w:val="001557EA"/>
    <w:rsid w:val="00166862"/>
    <w:rsid w:val="001A095D"/>
    <w:rsid w:val="001C18F1"/>
    <w:rsid w:val="001C248A"/>
    <w:rsid w:val="001C39A2"/>
    <w:rsid w:val="001D413F"/>
    <w:rsid w:val="001D5AD7"/>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8F6E89"/>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A390C"/>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77844"/>
    <w:rsid w:val="00C9073A"/>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39F5"/>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宋体" w:hAnsi="Arial" w:cs="Times New Roman"/>
      <w:b/>
      <w:bCs/>
      <w:kern w:val="44"/>
      <w:sz w:val="44"/>
      <w:szCs w:val="44"/>
      <w:lang w:val="en-GB"/>
    </w:rPr>
  </w:style>
  <w:style w:type="character" w:customStyle="1" w:styleId="Heading2Char">
    <w:name w:val="Heading 2 Char"/>
    <w:basedOn w:val="DefaultParagraphFont"/>
    <w:link w:val="Heading2"/>
    <w:rPr>
      <w:rFonts w:ascii="Arial" w:eastAsia="宋体" w:hAnsi="Arial" w:cs="Arial"/>
      <w:kern w:val="0"/>
      <w:sz w:val="32"/>
      <w:szCs w:val="32"/>
      <w:lang w:val="en-GB"/>
    </w:rPr>
  </w:style>
  <w:style w:type="character" w:customStyle="1" w:styleId="Heading3Char">
    <w:name w:val="Heading 3 Char"/>
    <w:basedOn w:val="DefaultParagraphFont"/>
    <w:link w:val="Heading3"/>
    <w:rPr>
      <w:rFonts w:ascii="Arial" w:eastAsia="宋体"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宋体" w:hAnsi="Arial" w:cs="Times New Roman"/>
      <w:kern w:val="0"/>
      <w:sz w:val="20"/>
      <w:szCs w:val="20"/>
      <w:lang w:val="en-GB"/>
    </w:rPr>
  </w:style>
  <w:style w:type="character" w:customStyle="1" w:styleId="Heading1Char">
    <w:name w:val="Heading 1 Char"/>
    <w:link w:val="Heading1"/>
    <w:qFormat/>
    <w:rPr>
      <w:rFonts w:ascii="Arial" w:eastAsia="宋体" w:hAnsi="Arial" w:cs="Arial"/>
      <w:kern w:val="0"/>
      <w:sz w:val="36"/>
      <w:szCs w:val="36"/>
      <w:lang w:val="en-GB"/>
    </w:rPr>
  </w:style>
  <w:style w:type="character" w:customStyle="1" w:styleId="BodyTextChar">
    <w:name w:val="Body Text Char"/>
    <w:link w:val="BodyText"/>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等线 Light" w:eastAsia="黑体" w:hAnsi="等线 Light"/>
    </w:rPr>
  </w:style>
  <w:style w:type="character" w:customStyle="1" w:styleId="CaptionChar">
    <w:name w:val="Caption Char"/>
    <w:link w:val="Caption"/>
    <w:qFormat/>
    <w:rPr>
      <w:rFonts w:ascii="等线 Light" w:eastAsia="黑体" w:hAnsi="等线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宋体"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宋体"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宋体"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F1B-F083-4278-9ED6-E7AFEE3EB6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29</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62</cp:revision>
  <dcterms:created xsi:type="dcterms:W3CDTF">2023-02-28T08:29:00Z</dcterms:created>
  <dcterms:modified xsi:type="dcterms:W3CDTF">2023-02-28T15:01:00Z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