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0F6946"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etc,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ListParagraph"/>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r w:rsidRPr="007C7791">
              <w:rPr>
                <w:rFonts w:eastAsiaTheme="minorEastAsia"/>
                <w:bCs/>
                <w:i/>
                <w:iCs/>
                <w:lang w:eastAsia="zh-CN"/>
              </w:rPr>
              <w:t>UECapabilityInformation</w:t>
            </w:r>
            <w:r>
              <w:rPr>
                <w:rFonts w:eastAsiaTheme="minorEastAsia"/>
                <w:bCs/>
                <w:lang w:eastAsia="zh-CN"/>
              </w:rPr>
              <w:t xml:space="preserve"> and </w:t>
            </w:r>
            <w:r w:rsidRPr="007C7791">
              <w:rPr>
                <w:rFonts w:eastAsiaTheme="minorEastAsia"/>
                <w:bCs/>
                <w:i/>
                <w:iCs/>
                <w:lang w:eastAsia="zh-CN"/>
              </w:rPr>
              <w:t>MeasurementReportAppLayer</w:t>
            </w:r>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ListParagraph"/>
              <w:numPr>
                <w:ilvl w:val="0"/>
                <w:numId w:val="14"/>
              </w:numPr>
              <w:spacing w:before="100" w:beforeAutospacing="1" w:after="0"/>
              <w:ind w:firstLineChars="0"/>
            </w:pPr>
            <w:r>
              <w:t>SON is not included.</w:t>
            </w:r>
          </w:p>
          <w:p w14:paraId="1B94465C" w14:textId="77777777" w:rsidR="006F3A13" w:rsidRDefault="006F3A13" w:rsidP="00D95EBE">
            <w:pPr>
              <w:pStyle w:val="ListParagraph"/>
              <w:numPr>
                <w:ilvl w:val="0"/>
                <w:numId w:val="14"/>
              </w:numPr>
              <w:spacing w:before="100" w:beforeAutospacing="1" w:after="0"/>
              <w:ind w:firstLineChars="0"/>
            </w:pPr>
            <w:r>
              <w:t>As we agreed that model delivery that serves the use cases in the SI is within RAN2 scope, the NRPPa between gNB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ListParagraph"/>
              <w:numPr>
                <w:ilvl w:val="0"/>
                <w:numId w:val="14"/>
              </w:numPr>
              <w:spacing w:before="100" w:beforeAutospacing="1" w:after="0"/>
              <w:ind w:firstLineChars="0"/>
            </w:pPr>
            <w:r>
              <w:rPr>
                <w:rFonts w:eastAsia="DengXian"/>
              </w:rPr>
              <w:t>For the terminated entity, the current content is misleading that gNB/LMF can provide data to gNB. We supporse it shall be ‘TCE, LMF or gNB’, rather than ‘between UE and xxx’</w:t>
            </w:r>
          </w:p>
          <w:p w14:paraId="778E3EF2"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between the UE has collected data and collected data is reported successfully. So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4394" w:type="dxa"/>
          </w:tcPr>
          <w:p w14:paraId="2B24EDFB" w14:textId="77777777" w:rsidR="0007751C" w:rsidRDefault="0007751C" w:rsidP="0007751C">
            <w:pPr>
              <w:spacing w:after="0"/>
              <w:rPr>
                <w:rFonts w:eastAsia="Yu Mincho"/>
                <w:bCs/>
              </w:rPr>
            </w:pPr>
            <w:r>
              <w:rPr>
                <w:rFonts w:eastAsia="Yu Mincho"/>
                <w:bCs/>
              </w:rPr>
              <w:t>[</w:t>
            </w:r>
            <w:r>
              <w:rPr>
                <w:rFonts w:eastAsia="Yu Mincho" w:hint="eastAsia"/>
                <w:bCs/>
              </w:rPr>
              <w:t>G</w:t>
            </w:r>
            <w:r>
              <w:rPr>
                <w:rFonts w:eastAsia="Yu Mincho"/>
                <w:bCs/>
              </w:rPr>
              <w:t>eneral View]</w:t>
            </w:r>
          </w:p>
          <w:p w14:paraId="42CA6F0E" w14:textId="3A8CADD7" w:rsidR="0007751C" w:rsidRDefault="0007751C" w:rsidP="0007751C">
            <w:pPr>
              <w:spacing w:after="0"/>
              <w:rPr>
                <w:rFonts w:eastAsia="Yu Mincho"/>
                <w:bCs/>
              </w:rPr>
            </w:pPr>
            <w:r>
              <w:rPr>
                <w:rFonts w:eastAsia="Yu Mincho" w:hint="eastAsia"/>
                <w:bCs/>
              </w:rPr>
              <w:t>This</w:t>
            </w:r>
            <w:r>
              <w:rPr>
                <w:rFonts w:eastAsia="Yu Mincho"/>
                <w:bCs/>
              </w:rPr>
              <w:t xml:space="preserve"> table should be </w:t>
            </w:r>
            <w:r>
              <w:rPr>
                <w:rFonts w:eastAsia="Yu Mincho" w:hint="eastAsia"/>
                <w:bCs/>
              </w:rPr>
              <w:t>e</w:t>
            </w:r>
            <w:r>
              <w:rPr>
                <w:rFonts w:eastAsia="Yu Mincho"/>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Yu Mincho"/>
                <w:bCs/>
              </w:rPr>
            </w:pPr>
            <w:r>
              <w:rPr>
                <w:rFonts w:eastAsia="Yu Mincho"/>
                <w:bCs/>
              </w:rPr>
              <w:t xml:space="preserve">[L1 measurement] </w:t>
            </w:r>
          </w:p>
          <w:p w14:paraId="5CA80FB1" w14:textId="77777777" w:rsidR="0007751C" w:rsidRDefault="0007751C" w:rsidP="0007751C">
            <w:pPr>
              <w:spacing w:after="0"/>
              <w:rPr>
                <w:rFonts w:eastAsia="Yu Mincho"/>
                <w:bCs/>
              </w:rPr>
            </w:pPr>
            <w:r>
              <w:rPr>
                <w:rFonts w:eastAsia="Yu Mincho"/>
                <w:bCs/>
              </w:rPr>
              <w:t>Event triggered report is under discussion in other WI.</w:t>
            </w:r>
          </w:p>
          <w:p w14:paraId="366EE293" w14:textId="2D69D982" w:rsidR="0007751C" w:rsidRDefault="0007751C" w:rsidP="0007751C">
            <w:pPr>
              <w:spacing w:after="0"/>
              <w:rPr>
                <w:rFonts w:eastAsia="Yu Mincho"/>
                <w:bCs/>
              </w:rPr>
            </w:pPr>
            <w:r>
              <w:rPr>
                <w:rFonts w:eastAsia="Yu Mincho" w:hint="eastAsia"/>
                <w:bCs/>
              </w:rPr>
              <w:t>I</w:t>
            </w:r>
            <w:r>
              <w:rPr>
                <w:rFonts w:eastAsia="Yu Mincho"/>
                <w:bCs/>
              </w:rPr>
              <w:t>t would be good to add like “event triggered report is under discussion”.</w:t>
            </w:r>
            <w:r>
              <w:rPr>
                <w:rFonts w:eastAsia="Yu Mincho"/>
                <w:bCs/>
              </w:rPr>
              <w:br/>
              <w:t>But i</w:t>
            </w:r>
            <w:r w:rsidRPr="0007751C">
              <w:rPr>
                <w:rFonts w:eastAsia="Yu Mincho"/>
                <w:bCs/>
              </w:rPr>
              <w:t>f it's confusing, it doesn't have to be.</w:t>
            </w:r>
          </w:p>
          <w:p w14:paraId="56F7031C" w14:textId="77777777" w:rsidR="0007751C" w:rsidRDefault="0007751C" w:rsidP="0007751C">
            <w:pPr>
              <w:spacing w:after="0"/>
              <w:rPr>
                <w:rFonts w:eastAsia="Yu Mincho"/>
                <w:bCs/>
              </w:rPr>
            </w:pPr>
            <w:r>
              <w:rPr>
                <w:rFonts w:eastAsia="Yu Mincho" w:hint="eastAsia"/>
                <w:bCs/>
              </w:rPr>
              <w:t>[</w:t>
            </w:r>
            <w:r>
              <w:rPr>
                <w:rFonts w:eastAsia="Yu Mincho"/>
                <w:bCs/>
              </w:rPr>
              <w:t>Entity]</w:t>
            </w:r>
          </w:p>
          <w:p w14:paraId="5D3F1D9D" w14:textId="1965E588" w:rsidR="0007751C" w:rsidRDefault="0007751C" w:rsidP="0007751C">
            <w:pPr>
              <w:spacing w:after="0"/>
              <w:rPr>
                <w:rFonts w:eastAsia="Yu Mincho"/>
                <w:bCs/>
              </w:rPr>
            </w:pPr>
            <w:r>
              <w:rPr>
                <w:rFonts w:eastAsia="Yu Mincho"/>
                <w:bCs/>
              </w:rPr>
              <w:t xml:space="preserve">“Terminated </w:t>
            </w:r>
            <w:r w:rsidRPr="00507623">
              <w:rPr>
                <w:rFonts w:eastAsia="Yu Mincho"/>
                <w:bCs/>
              </w:rPr>
              <w:t>entity</w:t>
            </w:r>
            <w:r>
              <w:rPr>
                <w:rFonts w:eastAsia="Yu Mincho"/>
                <w:bCs/>
              </w:rPr>
              <w:t>”</w:t>
            </w:r>
            <w:r w:rsidRPr="00507623">
              <w:rPr>
                <w:rFonts w:eastAsia="Yu Mincho"/>
                <w:bCs/>
              </w:rPr>
              <w:t xml:space="preserve"> may be divided into </w:t>
            </w:r>
            <w:r>
              <w:rPr>
                <w:rFonts w:eastAsia="Yu Mincho"/>
                <w:bCs/>
              </w:rPr>
              <w:t>“</w:t>
            </w:r>
            <w:r w:rsidRPr="00507623">
              <w:rPr>
                <w:rFonts w:eastAsia="Yu Mincho"/>
                <w:bCs/>
              </w:rPr>
              <w:t>send</w:t>
            </w:r>
            <w:r>
              <w:rPr>
                <w:rFonts w:eastAsia="Yu Mincho"/>
                <w:bCs/>
              </w:rPr>
              <w:t>ing</w:t>
            </w:r>
            <w:r w:rsidRPr="00507623">
              <w:rPr>
                <w:rFonts w:eastAsia="Yu Mincho"/>
                <w:bCs/>
              </w:rPr>
              <w:t xml:space="preserve"> entity</w:t>
            </w:r>
            <w:r>
              <w:rPr>
                <w:rFonts w:eastAsia="Yu Mincho"/>
                <w:bCs/>
              </w:rPr>
              <w:t>/receiving</w:t>
            </w:r>
            <w:r w:rsidRPr="00507623">
              <w:rPr>
                <w:rFonts w:eastAsia="Yu Mincho"/>
                <w:bCs/>
              </w:rPr>
              <w:t xml:space="preserve"> entity</w:t>
            </w:r>
            <w:r>
              <w:rPr>
                <w:rFonts w:eastAsia="Yu Mincho"/>
                <w:bCs/>
              </w:rPr>
              <w:t>/</w:t>
            </w:r>
            <w:r w:rsidRPr="00507623">
              <w:rPr>
                <w:rFonts w:eastAsia="Yu Mincho"/>
                <w:bCs/>
              </w:rPr>
              <w:t>other entity which can decoding</w:t>
            </w:r>
            <w:r>
              <w:rPr>
                <w:rFonts w:eastAsia="Yu Mincho"/>
                <w:bCs/>
              </w:rPr>
              <w:t xml:space="preserve"> or storing”</w:t>
            </w:r>
            <w:r w:rsidRPr="00507623">
              <w:rPr>
                <w:rFonts w:eastAsia="Yu Mincho"/>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Yu Mincho"/>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w:t>
            </w:r>
            <w:r>
              <w:rPr>
                <w:rFonts w:hint="eastAsia"/>
                <w:lang w:eastAsia="zh-CN"/>
              </w:rPr>
              <w:lastRenderedPageBreak/>
              <w:t xml:space="preserve">can be </w:t>
            </w:r>
            <w:r>
              <w:rPr>
                <w:lang w:eastAsia="zh-CN"/>
              </w:rPr>
              <w:t>utilized</w:t>
            </w:r>
            <w:r>
              <w:rPr>
                <w:rFonts w:hint="eastAsia"/>
                <w:lang w:eastAsia="zh-CN"/>
              </w:rPr>
              <w:t xml:space="preserve"> by eNB/gNB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 xml:space="preserve">egrading payload size of the ‘EVEX’, it is hard to understand about the ‘support all file sizes’ ,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r w:rsidR="00BE1834" w:rsidRPr="00CE0FE0" w14:paraId="7187BEC1" w14:textId="77777777" w:rsidTr="00534C4F">
        <w:trPr>
          <w:trHeight w:val="127"/>
        </w:trPr>
        <w:tc>
          <w:tcPr>
            <w:tcW w:w="1271" w:type="dxa"/>
            <w:shd w:val="clear" w:color="auto" w:fill="auto"/>
          </w:tcPr>
          <w:p w14:paraId="342C8CD3" w14:textId="53D47AE9"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4394" w:type="dxa"/>
          </w:tcPr>
          <w:p w14:paraId="2C235278" w14:textId="197C22C6" w:rsidR="00BE1834" w:rsidRDefault="00BE1834" w:rsidP="00BE1834">
            <w:pPr>
              <w:spacing w:after="0"/>
              <w:rPr>
                <w:lang w:eastAsia="zh-CN"/>
              </w:rPr>
            </w:pPr>
            <w:r>
              <w:rPr>
                <w:rFonts w:eastAsia="Malgun Gothic" w:hint="eastAsia"/>
                <w:lang w:eastAsia="ko-KR"/>
              </w:rPr>
              <w:t>A</w:t>
            </w:r>
            <w:r>
              <w:rPr>
                <w:rFonts w:eastAsia="Malgun Gothic"/>
                <w:lang w:eastAsia="ko-KR"/>
              </w:rPr>
              <w:t>gree with Intel</w:t>
            </w:r>
          </w:p>
        </w:tc>
        <w:tc>
          <w:tcPr>
            <w:tcW w:w="4191" w:type="dxa"/>
          </w:tcPr>
          <w:p w14:paraId="621F9AEF" w14:textId="77777777" w:rsidR="00BE1834" w:rsidRPr="00CE0FE0" w:rsidRDefault="00BE1834" w:rsidP="00BE1834">
            <w:pPr>
              <w:spacing w:after="0"/>
              <w:rPr>
                <w:rFonts w:eastAsiaTheme="minorEastAsia"/>
                <w:bCs/>
                <w:lang w:eastAsia="zh-CN"/>
              </w:rPr>
            </w:pPr>
          </w:p>
        </w:tc>
      </w:tr>
      <w:tr w:rsidR="009E63E1" w:rsidRPr="00CE0FE0" w14:paraId="785A9D3E" w14:textId="77777777" w:rsidTr="00534C4F">
        <w:trPr>
          <w:trHeight w:val="127"/>
        </w:trPr>
        <w:tc>
          <w:tcPr>
            <w:tcW w:w="1271" w:type="dxa"/>
            <w:shd w:val="clear" w:color="auto" w:fill="auto"/>
          </w:tcPr>
          <w:p w14:paraId="711FC5BE" w14:textId="50023BE9" w:rsidR="009E63E1" w:rsidRDefault="009E63E1" w:rsidP="009E63E1">
            <w:pPr>
              <w:spacing w:after="0"/>
              <w:rPr>
                <w:rFonts w:eastAsia="Malgun Gothic"/>
                <w:bCs/>
                <w:lang w:eastAsia="ko-KR"/>
              </w:rPr>
            </w:pPr>
            <w:r>
              <w:rPr>
                <w:rFonts w:eastAsia="Yu Mincho"/>
                <w:bCs/>
              </w:rPr>
              <w:t>Lenovo</w:t>
            </w:r>
          </w:p>
        </w:tc>
        <w:tc>
          <w:tcPr>
            <w:tcW w:w="4394" w:type="dxa"/>
          </w:tcPr>
          <w:p w14:paraId="00C13D27" w14:textId="77777777" w:rsidR="009E63E1" w:rsidRDefault="009E63E1" w:rsidP="009E63E1">
            <w:pPr>
              <w:spacing w:after="0"/>
              <w:rPr>
                <w:rFonts w:eastAsia="Yu Mincho"/>
                <w:bCs/>
              </w:rPr>
            </w:pPr>
            <w:r>
              <w:rPr>
                <w:rFonts w:eastAsia="Yu Mincho"/>
                <w:bCs/>
              </w:rPr>
              <w:t>Agree that some clarification is needed for the “payload size” and “report latency” column:</w:t>
            </w:r>
          </w:p>
          <w:p w14:paraId="1053BD0A" w14:textId="77777777" w:rsidR="009E63E1" w:rsidRDefault="009E63E1" w:rsidP="009E63E1">
            <w:pPr>
              <w:pStyle w:val="ListParagraph"/>
              <w:numPr>
                <w:ilvl w:val="0"/>
                <w:numId w:val="14"/>
              </w:numPr>
              <w:spacing w:after="0"/>
              <w:ind w:firstLineChars="0"/>
              <w:rPr>
                <w:rFonts w:eastAsia="Yu Mincho"/>
                <w:bCs/>
              </w:rPr>
            </w:pPr>
            <w:r>
              <w:rPr>
                <w:rFonts w:eastAsia="Yu Mincho"/>
                <w:bCs/>
              </w:rPr>
              <w:t xml:space="preserve">If payload size is per message or per signaling transmission </w:t>
            </w:r>
          </w:p>
          <w:p w14:paraId="7787E120" w14:textId="77777777" w:rsidR="009E63E1" w:rsidRDefault="009E63E1" w:rsidP="009E63E1">
            <w:pPr>
              <w:pStyle w:val="ListParagraph"/>
              <w:numPr>
                <w:ilvl w:val="0"/>
                <w:numId w:val="14"/>
              </w:numPr>
              <w:spacing w:after="0"/>
              <w:ind w:firstLineChars="0"/>
              <w:rPr>
                <w:rFonts w:eastAsia="Yu Mincho"/>
                <w:bCs/>
              </w:rPr>
            </w:pPr>
            <w:r>
              <w:rPr>
                <w:rFonts w:eastAsia="Yu Mincho"/>
                <w:bCs/>
              </w:rPr>
              <w:t>If the latency is the delay counted from when data log starts until the data is transferred, or the delay only means the transfer delay over air interface.</w:t>
            </w:r>
          </w:p>
          <w:p w14:paraId="6AF1F684" w14:textId="32D492AE" w:rsidR="009E63E1" w:rsidRDefault="009E63E1" w:rsidP="009E63E1">
            <w:pPr>
              <w:spacing w:after="0"/>
              <w:rPr>
                <w:rFonts w:eastAsia="Malgun Gothic"/>
                <w:lang w:eastAsia="ko-KR"/>
              </w:rPr>
            </w:pPr>
            <w:r>
              <w:rPr>
                <w:rFonts w:eastAsia="Yu Mincho"/>
                <w:bCs/>
              </w:rPr>
              <w:t>If we want to use “Long” ”Medium” ”Short” to qualitatively describe the delay, better to avoid using “longer than L3 measurements”</w:t>
            </w:r>
          </w:p>
        </w:tc>
        <w:tc>
          <w:tcPr>
            <w:tcW w:w="4191" w:type="dxa"/>
          </w:tcPr>
          <w:p w14:paraId="5F8B26C1" w14:textId="77777777" w:rsidR="009E63E1" w:rsidRPr="00CE0FE0" w:rsidRDefault="009E63E1" w:rsidP="009E63E1">
            <w:pPr>
              <w:spacing w:after="0"/>
              <w:rPr>
                <w:rFonts w:eastAsiaTheme="minorEastAsia"/>
                <w:bCs/>
                <w:lang w:eastAsia="zh-CN"/>
              </w:rPr>
            </w:pPr>
          </w:p>
        </w:tc>
      </w:tr>
      <w:tr w:rsidR="007849E9" w:rsidRPr="00CE0FE0" w14:paraId="3E95ECD9" w14:textId="77777777" w:rsidTr="00534C4F">
        <w:trPr>
          <w:trHeight w:val="127"/>
        </w:trPr>
        <w:tc>
          <w:tcPr>
            <w:tcW w:w="1271" w:type="dxa"/>
            <w:shd w:val="clear" w:color="auto" w:fill="auto"/>
          </w:tcPr>
          <w:p w14:paraId="16D41270" w14:textId="66C81F10" w:rsidR="007849E9" w:rsidRDefault="007849E9" w:rsidP="009E63E1">
            <w:pPr>
              <w:spacing w:after="0"/>
              <w:rPr>
                <w:rFonts w:eastAsia="Yu Mincho"/>
                <w:bCs/>
              </w:rPr>
            </w:pPr>
            <w:r>
              <w:rPr>
                <w:rFonts w:eastAsia="Yu Mincho"/>
                <w:bCs/>
              </w:rPr>
              <w:t>Nokia, Nokia Shanghai Bell</w:t>
            </w:r>
          </w:p>
        </w:tc>
        <w:tc>
          <w:tcPr>
            <w:tcW w:w="4394" w:type="dxa"/>
          </w:tcPr>
          <w:p w14:paraId="1BBFF8B4" w14:textId="77777777" w:rsidR="005145D7" w:rsidRDefault="005145D7" w:rsidP="005145D7">
            <w:pPr>
              <w:pStyle w:val="ListParagraph"/>
              <w:numPr>
                <w:ilvl w:val="0"/>
                <w:numId w:val="15"/>
              </w:numPr>
              <w:spacing w:after="0"/>
              <w:ind w:firstLineChars="0"/>
              <w:rPr>
                <w:rFonts w:eastAsiaTheme="minorEastAsia"/>
                <w:bCs/>
                <w:lang w:eastAsia="zh-CN"/>
              </w:rPr>
            </w:pPr>
            <w:r>
              <w:rPr>
                <w:rFonts w:eastAsiaTheme="minorEastAsia"/>
                <w:bCs/>
                <w:lang w:eastAsia="zh-CN"/>
              </w:rPr>
              <w:t>The raw data capacity of the underlying channel is considered in this table, but all of these frameworks transmit structured datatypes and have associated overhead, for example, from the ASN.1 structure.</w:t>
            </w:r>
          </w:p>
          <w:p w14:paraId="2EB4CBFC" w14:textId="77777777" w:rsidR="005145D7" w:rsidRPr="00B65682" w:rsidRDefault="005145D7" w:rsidP="005145D7">
            <w:pPr>
              <w:pStyle w:val="ListParagraph"/>
              <w:numPr>
                <w:ilvl w:val="0"/>
                <w:numId w:val="15"/>
              </w:numPr>
              <w:spacing w:after="0"/>
              <w:ind w:firstLineChars="0"/>
              <w:rPr>
                <w:rFonts w:eastAsiaTheme="minorEastAsia"/>
                <w:bCs/>
                <w:lang w:eastAsia="zh-CN"/>
              </w:rPr>
            </w:pPr>
            <w:r w:rsidRPr="00B65682">
              <w:rPr>
                <w:rFonts w:eastAsiaTheme="minorEastAsia"/>
                <w:bCs/>
                <w:lang w:eastAsia="zh-CN"/>
              </w:rPr>
              <w:t>We may want to consider the direction (DL and UL) of the frameworks</w:t>
            </w:r>
            <w:r>
              <w:rPr>
                <w:rFonts w:eastAsiaTheme="minorEastAsia"/>
                <w:bCs/>
                <w:lang w:eastAsia="zh-CN"/>
              </w:rPr>
              <w:t xml:space="preserve"> </w:t>
            </w:r>
            <w:r w:rsidRPr="00B65682">
              <w:rPr>
                <w:rFonts w:eastAsiaTheme="minorEastAsia"/>
                <w:bCs/>
                <w:lang w:eastAsia="zh-CN"/>
              </w:rPr>
              <w:t>(All of the frameworks except for LPP transmit data that is unidirectional, originating from the UE) and how that applies to inference, monitoring, and training.</w:t>
            </w:r>
          </w:p>
          <w:p w14:paraId="69025E08" w14:textId="77777777" w:rsidR="005145D7" w:rsidRDefault="005145D7" w:rsidP="005145D7">
            <w:pPr>
              <w:pStyle w:val="ListParagraph"/>
              <w:numPr>
                <w:ilvl w:val="0"/>
                <w:numId w:val="15"/>
              </w:numPr>
              <w:ind w:firstLineChars="0"/>
              <w:rPr>
                <w:rFonts w:eastAsiaTheme="minorEastAsia"/>
                <w:bCs/>
                <w:lang w:eastAsia="zh-CN"/>
              </w:rPr>
            </w:pPr>
            <w:r w:rsidRPr="00A63BEC">
              <w:rPr>
                <w:rFonts w:eastAsiaTheme="minorEastAsia"/>
                <w:bCs/>
                <w:lang w:eastAsia="zh-CN"/>
              </w:rPr>
              <w:t>We should follow the agreement: “R2 may consider including the existing framework for this SI, FFS exactly what this means, can discuss next meeting.</w:t>
            </w:r>
            <w:r>
              <w:rPr>
                <w:rFonts w:eastAsiaTheme="minorEastAsia"/>
                <w:bCs/>
                <w:lang w:eastAsia="zh-CN"/>
              </w:rPr>
              <w:t>”</w:t>
            </w:r>
          </w:p>
          <w:p w14:paraId="1ADE50CB" w14:textId="77777777" w:rsidR="005145D7" w:rsidRDefault="005145D7" w:rsidP="005145D7">
            <w:pPr>
              <w:pStyle w:val="ListParagraph"/>
              <w:numPr>
                <w:ilvl w:val="0"/>
                <w:numId w:val="15"/>
              </w:numPr>
              <w:ind w:firstLineChars="0"/>
              <w:rPr>
                <w:rFonts w:eastAsiaTheme="minorEastAsia"/>
                <w:bCs/>
                <w:lang w:eastAsia="zh-CN"/>
              </w:rPr>
            </w:pPr>
            <w:r>
              <w:rPr>
                <w:rFonts w:eastAsiaTheme="minorEastAsia"/>
                <w:bCs/>
                <w:lang w:eastAsia="zh-CN"/>
              </w:rPr>
              <w:t>We agree with Mediatek and Intel regarding RRC segmentation.</w:t>
            </w:r>
          </w:p>
          <w:p w14:paraId="60D4015E" w14:textId="5DCE4733" w:rsidR="007849E9" w:rsidRDefault="005145D7" w:rsidP="005145D7">
            <w:pPr>
              <w:spacing w:after="0"/>
              <w:rPr>
                <w:rFonts w:eastAsia="Yu Mincho"/>
                <w:bCs/>
              </w:rPr>
            </w:pPr>
            <w:r>
              <w:rPr>
                <w:rFonts w:eastAsiaTheme="minorEastAsia"/>
                <w:bCs/>
                <w:lang w:eastAsia="zh-CN"/>
              </w:rPr>
              <w:t>We agree with Intel about the clarification of the delay column to mean signaling delay.</w:t>
            </w:r>
          </w:p>
        </w:tc>
        <w:tc>
          <w:tcPr>
            <w:tcW w:w="4191" w:type="dxa"/>
          </w:tcPr>
          <w:p w14:paraId="40455335" w14:textId="77777777" w:rsidR="007849E9" w:rsidRPr="00CE0FE0" w:rsidRDefault="007849E9" w:rsidP="009E63E1">
            <w:pPr>
              <w:spacing w:after="0"/>
              <w:rPr>
                <w:rFonts w:eastAsiaTheme="minorEastAsia"/>
                <w:bCs/>
                <w:lang w:eastAsia="zh-CN"/>
              </w:rPr>
            </w:pPr>
          </w:p>
        </w:tc>
      </w:tr>
      <w:tr w:rsidR="006467C5" w:rsidRPr="00CE0FE0" w14:paraId="3B09D391" w14:textId="77777777" w:rsidTr="00534C4F">
        <w:trPr>
          <w:trHeight w:val="127"/>
        </w:trPr>
        <w:tc>
          <w:tcPr>
            <w:tcW w:w="1271" w:type="dxa"/>
            <w:shd w:val="clear" w:color="auto" w:fill="auto"/>
          </w:tcPr>
          <w:p w14:paraId="0DB73AB6" w14:textId="511BB78D" w:rsidR="006467C5" w:rsidRDefault="006467C5" w:rsidP="006467C5">
            <w:pPr>
              <w:spacing w:after="0"/>
              <w:rPr>
                <w:rFonts w:eastAsia="Yu Mincho"/>
                <w:bCs/>
              </w:rPr>
            </w:pPr>
            <w:r>
              <w:rPr>
                <w:rFonts w:eastAsiaTheme="minorEastAsia"/>
                <w:bCs/>
                <w:lang w:eastAsia="zh-CN"/>
              </w:rPr>
              <w:t xml:space="preserve">Samsung </w:t>
            </w:r>
          </w:p>
        </w:tc>
        <w:tc>
          <w:tcPr>
            <w:tcW w:w="4394" w:type="dxa"/>
          </w:tcPr>
          <w:p w14:paraId="2F5D86C6" w14:textId="77777777" w:rsidR="006467C5" w:rsidRDefault="006467C5" w:rsidP="006467C5">
            <w:pPr>
              <w:spacing w:after="0"/>
              <w:rPr>
                <w:lang w:eastAsia="zh-CN"/>
              </w:rPr>
            </w:pPr>
            <w:r>
              <w:rPr>
                <w:lang w:eastAsia="zh-CN"/>
              </w:rPr>
              <w:t>We are supportive of considering the aspects in the above table, as a starting point for the discussion on data collection for LCM purposes.</w:t>
            </w:r>
            <w:r w:rsidRPr="00922D06">
              <w:rPr>
                <w:lang w:eastAsia="zh-CN"/>
              </w:rPr>
              <w:tab/>
            </w:r>
          </w:p>
          <w:p w14:paraId="320818A5" w14:textId="77777777" w:rsidR="006467C5" w:rsidRDefault="006467C5" w:rsidP="006467C5">
            <w:pPr>
              <w:spacing w:after="0"/>
              <w:rPr>
                <w:lang w:eastAsia="zh-CN"/>
              </w:rPr>
            </w:pPr>
          </w:p>
          <w:p w14:paraId="7BA64D0D" w14:textId="632EE002" w:rsidR="006467C5" w:rsidRPr="00CD4B42" w:rsidRDefault="006467C5" w:rsidP="006467C5">
            <w:pPr>
              <w:spacing w:after="0"/>
              <w:rPr>
                <w:rFonts w:eastAsiaTheme="minorEastAsia"/>
                <w:bCs/>
                <w:lang w:eastAsia="zh-CN"/>
              </w:rPr>
            </w:pPr>
            <w:r>
              <w:rPr>
                <w:lang w:eastAsia="zh-CN"/>
              </w:rPr>
              <w:t xml:space="preserve">Moreover, we think that the proposal by Xiaomi and CMCC, to clarify the “report latency” as the time for data collection and successful reporting of the collected data, is useful. </w:t>
            </w:r>
          </w:p>
          <w:p w14:paraId="495410D6" w14:textId="77777777" w:rsidR="006467C5" w:rsidRPr="006467C5" w:rsidRDefault="006467C5" w:rsidP="006467C5">
            <w:pPr>
              <w:spacing w:after="0"/>
              <w:rPr>
                <w:rFonts w:eastAsiaTheme="minorEastAsia"/>
                <w:bCs/>
                <w:lang w:eastAsia="zh-CN"/>
              </w:rPr>
            </w:pPr>
          </w:p>
        </w:tc>
        <w:tc>
          <w:tcPr>
            <w:tcW w:w="4191" w:type="dxa"/>
          </w:tcPr>
          <w:p w14:paraId="3916CED7" w14:textId="77777777" w:rsidR="006467C5" w:rsidRPr="00CE0FE0" w:rsidRDefault="006467C5" w:rsidP="006467C5">
            <w:pPr>
              <w:spacing w:after="0"/>
              <w:rPr>
                <w:rFonts w:eastAsiaTheme="minorEastAsia"/>
                <w:bCs/>
                <w:lang w:eastAsia="zh-CN"/>
              </w:rPr>
            </w:pPr>
          </w:p>
        </w:tc>
      </w:tr>
      <w:tr w:rsidR="006942DE" w:rsidRPr="00CE0FE0" w14:paraId="743776FC" w14:textId="77777777" w:rsidTr="00534C4F">
        <w:trPr>
          <w:trHeight w:val="127"/>
        </w:trPr>
        <w:tc>
          <w:tcPr>
            <w:tcW w:w="1271" w:type="dxa"/>
            <w:shd w:val="clear" w:color="auto" w:fill="auto"/>
          </w:tcPr>
          <w:p w14:paraId="68488024" w14:textId="53A589A2" w:rsidR="006942DE" w:rsidRPr="006942DE" w:rsidRDefault="006942DE" w:rsidP="006942DE">
            <w:pPr>
              <w:spacing w:after="0"/>
              <w:rPr>
                <w:rFonts w:eastAsiaTheme="minorEastAsia"/>
                <w:bCs/>
                <w:lang w:eastAsia="zh-CN"/>
              </w:rPr>
            </w:pPr>
            <w:r>
              <w:rPr>
                <w:rFonts w:eastAsia="Yu Mincho" w:hint="eastAsia"/>
                <w:bCs/>
              </w:rPr>
              <w:t>N</w:t>
            </w:r>
            <w:r>
              <w:rPr>
                <w:rFonts w:eastAsia="Yu Mincho"/>
                <w:bCs/>
              </w:rPr>
              <w:t>EC</w:t>
            </w:r>
          </w:p>
        </w:tc>
        <w:tc>
          <w:tcPr>
            <w:tcW w:w="4394" w:type="dxa"/>
          </w:tcPr>
          <w:p w14:paraId="109DE5B2" w14:textId="77777777" w:rsidR="006942DE" w:rsidRDefault="006942DE" w:rsidP="006942DE">
            <w:pPr>
              <w:spacing w:after="0"/>
              <w:rPr>
                <w:rFonts w:eastAsia="Yu Mincho"/>
              </w:rPr>
            </w:pPr>
            <w:r>
              <w:rPr>
                <w:rFonts w:eastAsia="Yu Mincho" w:hint="eastAsia"/>
              </w:rPr>
              <w:t>W</w:t>
            </w:r>
            <w:r>
              <w:rPr>
                <w:rFonts w:eastAsia="Yu Mincho"/>
              </w:rPr>
              <w:t>e are fine with the table in general.</w:t>
            </w:r>
          </w:p>
          <w:p w14:paraId="4068CEF4" w14:textId="148188FA" w:rsidR="006942DE" w:rsidRDefault="006942DE" w:rsidP="006942DE">
            <w:pPr>
              <w:spacing w:after="0"/>
              <w:rPr>
                <w:lang w:eastAsia="zh-CN"/>
              </w:rPr>
            </w:pPr>
            <w:r>
              <w:rPr>
                <w:rFonts w:eastAsia="Yu Mincho" w:hint="eastAsia"/>
              </w:rPr>
              <w:t>F</w:t>
            </w:r>
            <w:r>
              <w:rPr>
                <w:rFonts w:eastAsia="Yu Mincho"/>
              </w:rPr>
              <w:t>or “Report latency”, it looks mostly the signaling latency, while some are not. We are fine to base on the suggestion from Intel below.</w:t>
            </w:r>
          </w:p>
        </w:tc>
        <w:tc>
          <w:tcPr>
            <w:tcW w:w="4191" w:type="dxa"/>
          </w:tcPr>
          <w:p w14:paraId="0FD8335F" w14:textId="77777777" w:rsidR="006942DE" w:rsidRPr="00CE0FE0" w:rsidRDefault="006942DE" w:rsidP="006942DE">
            <w:pPr>
              <w:spacing w:after="0"/>
              <w:rPr>
                <w:rFonts w:eastAsiaTheme="minorEastAsia"/>
                <w:bCs/>
                <w:lang w:eastAsia="zh-CN"/>
              </w:rPr>
            </w:pPr>
          </w:p>
        </w:tc>
      </w:tr>
      <w:tr w:rsidR="009F1F8E" w:rsidRPr="00CE0FE0" w14:paraId="1047D5A7" w14:textId="77777777" w:rsidTr="00534C4F">
        <w:trPr>
          <w:trHeight w:val="127"/>
        </w:trPr>
        <w:tc>
          <w:tcPr>
            <w:tcW w:w="1271" w:type="dxa"/>
            <w:shd w:val="clear" w:color="auto" w:fill="auto"/>
          </w:tcPr>
          <w:p w14:paraId="001AB0EA" w14:textId="16BA6C1A" w:rsidR="009F1F8E" w:rsidRDefault="009F1F8E" w:rsidP="006942DE">
            <w:pPr>
              <w:spacing w:after="0"/>
              <w:rPr>
                <w:rFonts w:eastAsia="Yu Mincho" w:hint="eastAsia"/>
                <w:bCs/>
              </w:rPr>
            </w:pPr>
            <w:r>
              <w:rPr>
                <w:rFonts w:eastAsia="Yu Mincho"/>
                <w:bCs/>
              </w:rPr>
              <w:t>Ericsson</w:t>
            </w:r>
          </w:p>
        </w:tc>
        <w:tc>
          <w:tcPr>
            <w:tcW w:w="4394" w:type="dxa"/>
          </w:tcPr>
          <w:p w14:paraId="1B01B10A" w14:textId="1CC88EF6" w:rsidR="009F1F8E" w:rsidRDefault="009F1F8E" w:rsidP="006942DE">
            <w:pPr>
              <w:spacing w:after="0"/>
              <w:rPr>
                <w:rFonts w:eastAsia="Yu Mincho" w:hint="eastAsia"/>
              </w:rPr>
            </w:pPr>
            <w:r>
              <w:rPr>
                <w:rFonts w:eastAsia="Yu Mincho"/>
              </w:rPr>
              <w:t xml:space="preserve">Agree with QCs views on latency, i.e., this would/could change from one LCM procedure to another. So if the “category/label/KPI title” is kept, then better to avoid using terms as “long, medium, etc..” and stick to numbers. </w:t>
            </w:r>
            <w:r>
              <w:rPr>
                <w:rFonts w:eastAsia="Yu Mincho"/>
              </w:rPr>
              <w:br/>
            </w:r>
            <w:r>
              <w:rPr>
                <w:rFonts w:eastAsia="Yu Mincho"/>
              </w:rPr>
              <w:br/>
            </w:r>
            <w:r>
              <w:rPr>
                <w:rFonts w:eastAsia="Yu Mincho"/>
              </w:rPr>
              <w:lastRenderedPageBreak/>
              <w:t xml:space="preserve">As for the terminated entity, one could simply rename it to “involved entities”. Note that this doesn’t clarify the direction of the data collection. So perhaps the box for each method could further describe the process, e.g. “configured by gNB, data collected (temporary) by UE, reported to OAM”.   </w:t>
            </w:r>
          </w:p>
        </w:tc>
        <w:tc>
          <w:tcPr>
            <w:tcW w:w="4191" w:type="dxa"/>
          </w:tcPr>
          <w:p w14:paraId="2AF190AC" w14:textId="77777777" w:rsidR="009F1F8E" w:rsidRPr="00CE0FE0" w:rsidRDefault="009F1F8E" w:rsidP="006942DE">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lastRenderedPageBreak/>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ListParagraph"/>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 xml:space="preserve">For the data collection </w:t>
            </w:r>
            <w:r w:rsidRPr="00BD72D6">
              <w:rPr>
                <w:rFonts w:ascii="Arial" w:hAnsi="Arial" w:cs="Arial"/>
                <w:b/>
                <w:bCs/>
              </w:rPr>
              <w:lastRenderedPageBreak/>
              <w:t>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ListParagraph"/>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BodyText"/>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BodyText"/>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Yu Mincho"/>
                <w:bCs/>
              </w:rPr>
            </w:pPr>
            <w:r>
              <w:rPr>
                <w:rFonts w:eastAsia="Yu Mincho" w:hint="eastAsia"/>
                <w:bCs/>
              </w:rPr>
              <w:lastRenderedPageBreak/>
              <w:t>N</w:t>
            </w:r>
            <w:r>
              <w:rPr>
                <w:rFonts w:eastAsia="Yu Mincho"/>
                <w:bCs/>
              </w:rPr>
              <w:t>TT DOCOMO</w:t>
            </w:r>
          </w:p>
        </w:tc>
        <w:tc>
          <w:tcPr>
            <w:tcW w:w="5644" w:type="dxa"/>
          </w:tcPr>
          <w:p w14:paraId="6EF8CE61" w14:textId="77777777" w:rsidR="0007751C" w:rsidRDefault="0007751C" w:rsidP="0007751C">
            <w:pPr>
              <w:spacing w:after="0"/>
              <w:rPr>
                <w:rFonts w:eastAsia="Yu Mincho"/>
                <w:bCs/>
              </w:rPr>
            </w:pPr>
            <w:r>
              <w:rPr>
                <w:rFonts w:eastAsia="Yu Mincho"/>
                <w:bCs/>
              </w:rPr>
              <w:t>[new column]</w:t>
            </w:r>
          </w:p>
          <w:p w14:paraId="5A1255C6" w14:textId="77777777" w:rsidR="0007751C" w:rsidRDefault="0007751C" w:rsidP="0007751C">
            <w:pPr>
              <w:spacing w:after="0"/>
              <w:rPr>
                <w:rFonts w:eastAsia="Yu Mincho"/>
                <w:bCs/>
              </w:rPr>
            </w:pPr>
            <w:r>
              <w:rPr>
                <w:rFonts w:eastAsia="Yu Mincho"/>
                <w:bCs/>
              </w:rPr>
              <w:t>Column like “contents</w:t>
            </w:r>
            <w:r>
              <w:rPr>
                <w:rFonts w:eastAsia="Yu Mincho" w:hint="eastAsia"/>
                <w:bCs/>
              </w:rPr>
              <w:t xml:space="preserve"> </w:t>
            </w:r>
            <w:r>
              <w:rPr>
                <w:rFonts w:eastAsia="Yu Mincho"/>
                <w:bCs/>
              </w:rPr>
              <w:t xml:space="preserve">to be collected” should be added. </w:t>
            </w:r>
            <w:r w:rsidRPr="00507623">
              <w:rPr>
                <w:rFonts w:eastAsia="Yu Mincho"/>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Yu Mincho"/>
                <w:bCs/>
              </w:rPr>
            </w:pPr>
            <w:r>
              <w:rPr>
                <w:rFonts w:eastAsiaTheme="minorEastAsia" w:hint="eastAsia"/>
                <w:bCs/>
                <w:lang w:eastAsia="zh-CN"/>
              </w:rPr>
              <w:t>Z</w:t>
            </w:r>
            <w:r>
              <w:rPr>
                <w:rFonts w:eastAsiaTheme="minorEastAsia"/>
                <w:bCs/>
                <w:lang w:eastAsia="zh-CN"/>
              </w:rPr>
              <w:t>TE</w:t>
            </w:r>
          </w:p>
        </w:tc>
        <w:tc>
          <w:tcPr>
            <w:tcW w:w="5644" w:type="dxa"/>
          </w:tcPr>
          <w:p w14:paraId="5AB4FE41" w14:textId="45DF3BE7" w:rsidR="00755FF3" w:rsidRDefault="00755FF3" w:rsidP="00755FF3">
            <w:pPr>
              <w:spacing w:after="0"/>
              <w:rPr>
                <w:rFonts w:eastAsia="Yu Mincho"/>
                <w:bCs/>
              </w:rPr>
            </w:pPr>
            <w:r>
              <w:rPr>
                <w:rFonts w:hint="eastAsia"/>
                <w:lang w:eastAsia="zh-CN"/>
              </w:rPr>
              <w:t>R</w:t>
            </w:r>
            <w:r>
              <w:rPr>
                <w:lang w:eastAsia="zh-CN"/>
              </w:rPr>
              <w:t>egarding the table provided by intel, the suitable data type can be FFS whether to be added, the measurement duration and report interval can be taken into account to merge into the table of the Q1.</w:t>
            </w:r>
          </w:p>
        </w:tc>
        <w:tc>
          <w:tcPr>
            <w:tcW w:w="3007" w:type="dxa"/>
          </w:tcPr>
          <w:p w14:paraId="6C8AF9EC" w14:textId="77777777" w:rsidR="00755FF3" w:rsidRPr="00CE0FE0" w:rsidRDefault="00755FF3" w:rsidP="00755FF3">
            <w:pPr>
              <w:spacing w:after="0"/>
              <w:rPr>
                <w:rFonts w:eastAsiaTheme="minorEastAsia"/>
                <w:bCs/>
                <w:lang w:eastAsia="zh-CN"/>
              </w:rPr>
            </w:pPr>
          </w:p>
        </w:tc>
      </w:tr>
      <w:tr w:rsidR="00BE1834" w:rsidRPr="00CE0FE0" w14:paraId="09F69C2F" w14:textId="77777777" w:rsidTr="006A3F5B">
        <w:trPr>
          <w:trHeight w:val="127"/>
        </w:trPr>
        <w:tc>
          <w:tcPr>
            <w:tcW w:w="1205" w:type="dxa"/>
            <w:shd w:val="clear" w:color="auto" w:fill="auto"/>
          </w:tcPr>
          <w:p w14:paraId="3631ED44" w14:textId="0D412AF7"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5644" w:type="dxa"/>
          </w:tcPr>
          <w:p w14:paraId="181A02A6" w14:textId="77777777" w:rsidR="00BE1834" w:rsidRDefault="00BE1834" w:rsidP="00BE1834">
            <w:pPr>
              <w:spacing w:after="0"/>
              <w:rPr>
                <w:szCs w:val="22"/>
              </w:rPr>
            </w:pPr>
            <w:r w:rsidRPr="00FC57D7">
              <w:rPr>
                <w:szCs w:val="22"/>
              </w:rPr>
              <w:t xml:space="preserve">Since there are several existing procedures depending on the RRC </w:t>
            </w:r>
            <w:r>
              <w:rPr>
                <w:szCs w:val="22"/>
              </w:rPr>
              <w:t>s</w:t>
            </w:r>
            <w:r w:rsidRPr="00FC57D7">
              <w:rPr>
                <w:szCs w:val="22"/>
              </w:rPr>
              <w:t xml:space="preserve">tate that performs measurement and </w:t>
            </w:r>
            <w:r>
              <w:rPr>
                <w:szCs w:val="22"/>
              </w:rPr>
              <w:t xml:space="preserve">measurement </w:t>
            </w:r>
            <w:r w:rsidRPr="00FC57D7">
              <w:rPr>
                <w:szCs w:val="22"/>
              </w:rPr>
              <w:t>repo</w:t>
            </w:r>
            <w:r>
              <w:rPr>
                <w:szCs w:val="22"/>
              </w:rPr>
              <w:t>r</w:t>
            </w:r>
            <w:r w:rsidRPr="00FC57D7">
              <w:rPr>
                <w:szCs w:val="22"/>
              </w:rPr>
              <w:t xml:space="preserve">t, </w:t>
            </w:r>
            <w:r>
              <w:rPr>
                <w:szCs w:val="22"/>
              </w:rPr>
              <w:t>RRC state should be</w:t>
            </w:r>
            <w:r w:rsidRPr="00FC57D7">
              <w:rPr>
                <w:szCs w:val="22"/>
              </w:rPr>
              <w:t xml:space="preserve"> considered together to know the impact of the existing procedures in RAN2.</w:t>
            </w:r>
          </w:p>
          <w:p w14:paraId="34681C93" w14:textId="38E467A2" w:rsidR="00BE1834" w:rsidRDefault="00BE1834" w:rsidP="00BE1834">
            <w:pPr>
              <w:spacing w:after="0"/>
              <w:rPr>
                <w:lang w:eastAsia="zh-CN"/>
              </w:rPr>
            </w:pPr>
            <w:r w:rsidRPr="00E92A2D">
              <w:rPr>
                <w:rFonts w:eastAsia="Malgun Gothic"/>
                <w:lang w:eastAsia="ko-KR"/>
              </w:rPr>
              <w:t xml:space="preserve">We also agree with IDC to include currently collected/reported content in these frameworks (e.g. cell quality/beam quality, etc.). </w:t>
            </w:r>
            <w:r>
              <w:rPr>
                <w:rFonts w:eastAsia="Malgun Gothic"/>
                <w:lang w:eastAsia="ko-KR"/>
              </w:rPr>
              <w:t>Through this, we can</w:t>
            </w:r>
            <w:r w:rsidRPr="00E92A2D">
              <w:rPr>
                <w:rFonts w:eastAsia="Malgun Gothic"/>
                <w:lang w:eastAsia="ko-KR"/>
              </w:rPr>
              <w:t xml:space="preserve"> determine how much </w:t>
            </w:r>
            <w:r>
              <w:rPr>
                <w:rFonts w:eastAsia="Malgun Gothic"/>
                <w:lang w:eastAsia="ko-KR"/>
              </w:rPr>
              <w:t>extension</w:t>
            </w:r>
            <w:r w:rsidRPr="00E92A2D">
              <w:rPr>
                <w:rFonts w:eastAsia="Malgun Gothic"/>
                <w:lang w:eastAsia="ko-KR"/>
              </w:rPr>
              <w:t xml:space="preserve"> is needed.</w:t>
            </w:r>
          </w:p>
        </w:tc>
        <w:tc>
          <w:tcPr>
            <w:tcW w:w="3007" w:type="dxa"/>
          </w:tcPr>
          <w:p w14:paraId="191D0933" w14:textId="77777777" w:rsidR="00BE1834" w:rsidRPr="00CE0FE0" w:rsidRDefault="00BE1834" w:rsidP="00BE1834">
            <w:pPr>
              <w:spacing w:after="0"/>
              <w:rPr>
                <w:rFonts w:eastAsiaTheme="minorEastAsia"/>
                <w:bCs/>
                <w:lang w:eastAsia="zh-CN"/>
              </w:rPr>
            </w:pPr>
          </w:p>
        </w:tc>
      </w:tr>
      <w:tr w:rsidR="006D3B9A" w:rsidRPr="00CE0FE0" w14:paraId="49BA4220" w14:textId="77777777" w:rsidTr="006A3F5B">
        <w:trPr>
          <w:trHeight w:val="127"/>
        </w:trPr>
        <w:tc>
          <w:tcPr>
            <w:tcW w:w="1205" w:type="dxa"/>
            <w:shd w:val="clear" w:color="auto" w:fill="auto"/>
          </w:tcPr>
          <w:p w14:paraId="21C576EB" w14:textId="6F43969B" w:rsidR="006D3B9A" w:rsidRDefault="006D3B9A" w:rsidP="006D3B9A">
            <w:pPr>
              <w:spacing w:after="0"/>
              <w:rPr>
                <w:rFonts w:eastAsia="Malgun Gothic"/>
                <w:bCs/>
                <w:lang w:eastAsia="ko-KR"/>
              </w:rPr>
            </w:pPr>
            <w:r>
              <w:rPr>
                <w:rFonts w:eastAsia="Yu Mincho"/>
                <w:bCs/>
              </w:rPr>
              <w:t>Lenovo</w:t>
            </w:r>
          </w:p>
        </w:tc>
        <w:tc>
          <w:tcPr>
            <w:tcW w:w="5644" w:type="dxa"/>
          </w:tcPr>
          <w:p w14:paraId="2F6FE459" w14:textId="0EF5A422" w:rsidR="006D3B9A" w:rsidRPr="00FC57D7" w:rsidRDefault="006D3B9A" w:rsidP="006D3B9A">
            <w:pPr>
              <w:spacing w:after="0"/>
              <w:rPr>
                <w:szCs w:val="22"/>
              </w:rPr>
            </w:pPr>
            <w:r>
              <w:rPr>
                <w:rFonts w:eastAsia="Yu Mincho"/>
                <w:bCs/>
              </w:rPr>
              <w:t>Suggestion from Intel looks good, and RRC state could useful as well. Not sure about listing the contents, which could be huge…</w:t>
            </w:r>
          </w:p>
        </w:tc>
        <w:tc>
          <w:tcPr>
            <w:tcW w:w="3007" w:type="dxa"/>
          </w:tcPr>
          <w:p w14:paraId="7297EF0A" w14:textId="77777777" w:rsidR="006D3B9A" w:rsidRPr="00CE0FE0" w:rsidRDefault="006D3B9A" w:rsidP="006D3B9A">
            <w:pPr>
              <w:spacing w:after="0"/>
              <w:rPr>
                <w:rFonts w:eastAsiaTheme="minorEastAsia"/>
                <w:bCs/>
                <w:lang w:eastAsia="zh-CN"/>
              </w:rPr>
            </w:pPr>
          </w:p>
        </w:tc>
      </w:tr>
      <w:tr w:rsidR="007849E9" w:rsidRPr="00CE0FE0" w14:paraId="1502AE74" w14:textId="77777777" w:rsidTr="006A3F5B">
        <w:trPr>
          <w:trHeight w:val="127"/>
        </w:trPr>
        <w:tc>
          <w:tcPr>
            <w:tcW w:w="1205" w:type="dxa"/>
            <w:shd w:val="clear" w:color="auto" w:fill="auto"/>
          </w:tcPr>
          <w:p w14:paraId="33DC84FE" w14:textId="521ACA4D" w:rsidR="007849E9" w:rsidRDefault="007849E9" w:rsidP="006D3B9A">
            <w:pPr>
              <w:spacing w:after="0"/>
              <w:rPr>
                <w:rFonts w:eastAsia="Yu Mincho"/>
                <w:bCs/>
              </w:rPr>
            </w:pPr>
            <w:r>
              <w:rPr>
                <w:rFonts w:eastAsia="Yu Mincho"/>
                <w:bCs/>
              </w:rPr>
              <w:t>Nokia, Nokia Shanghai Bell</w:t>
            </w:r>
          </w:p>
        </w:tc>
        <w:tc>
          <w:tcPr>
            <w:tcW w:w="5644" w:type="dxa"/>
          </w:tcPr>
          <w:p w14:paraId="4FB7A179"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should consider the purpose of the allowed payload size column. All of the frameworks use RRC as the transport, so it might be more useful to add a note of RRC’s capacity on the UL and DL unless we start adding non-RRC transported frameworks.</w:t>
            </w:r>
          </w:p>
          <w:p w14:paraId="52BA72F3"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Report datatypes should be summarized in the table. For example, immediate MDT and L3 measurement reporting support transmission of RSRP/RSRQ, UE position, etc.</w:t>
            </w:r>
          </w:p>
          <w:p w14:paraId="55D8C5DE"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should consider whether RAN is able to control each of these mechanisms.</w:t>
            </w:r>
          </w:p>
          <w:p w14:paraId="782BBD92"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support Intel’s expansion of the table, but the contents of the new cells require discussion. For example, we think that immediate MDT has the same datatype as RRM measurement reports.</w:t>
            </w:r>
          </w:p>
          <w:p w14:paraId="2DE6D606" w14:textId="411487C5" w:rsidR="007849E9" w:rsidRDefault="00D04B60" w:rsidP="00D04B60">
            <w:pPr>
              <w:spacing w:after="0"/>
              <w:rPr>
                <w:rFonts w:eastAsia="Yu Mincho"/>
                <w:bCs/>
              </w:rPr>
            </w:pPr>
            <w:r>
              <w:rPr>
                <w:rFonts w:eastAsiaTheme="minorEastAsia"/>
                <w:bCs/>
                <w:lang w:eastAsia="zh-CN"/>
              </w:rPr>
              <w:t>We agree with QC that the LCM purpose should be considered, but we worry that the table will become too large if we nest these. An additional table that handles this mapping would be appropriate.</w:t>
            </w:r>
          </w:p>
        </w:tc>
        <w:tc>
          <w:tcPr>
            <w:tcW w:w="3007" w:type="dxa"/>
          </w:tcPr>
          <w:p w14:paraId="0BAD5E2D" w14:textId="77777777" w:rsidR="007849E9" w:rsidRPr="00CE0FE0" w:rsidRDefault="007849E9" w:rsidP="006D3B9A">
            <w:pPr>
              <w:spacing w:after="0"/>
              <w:rPr>
                <w:rFonts w:eastAsiaTheme="minorEastAsia"/>
                <w:bCs/>
                <w:lang w:eastAsia="zh-CN"/>
              </w:rPr>
            </w:pPr>
          </w:p>
        </w:tc>
      </w:tr>
      <w:tr w:rsidR="00D34B86" w:rsidRPr="00CE0FE0" w14:paraId="1A313C58" w14:textId="77777777" w:rsidTr="006A3F5B">
        <w:trPr>
          <w:trHeight w:val="127"/>
        </w:trPr>
        <w:tc>
          <w:tcPr>
            <w:tcW w:w="1205" w:type="dxa"/>
            <w:shd w:val="clear" w:color="auto" w:fill="auto"/>
          </w:tcPr>
          <w:p w14:paraId="41D24293" w14:textId="5CF38D85" w:rsidR="00D34B86" w:rsidRDefault="00D34B86" w:rsidP="00D34B86">
            <w:pPr>
              <w:spacing w:after="0"/>
              <w:rPr>
                <w:rFonts w:eastAsia="Yu Mincho"/>
                <w:bCs/>
              </w:rPr>
            </w:pPr>
            <w:r>
              <w:rPr>
                <w:rFonts w:eastAsia="Yu Mincho"/>
                <w:bCs/>
              </w:rPr>
              <w:t xml:space="preserve">Samsung </w:t>
            </w:r>
          </w:p>
        </w:tc>
        <w:tc>
          <w:tcPr>
            <w:tcW w:w="5644" w:type="dxa"/>
          </w:tcPr>
          <w:p w14:paraId="0688FF10" w14:textId="1F4A3761" w:rsidR="00D34B86" w:rsidRDefault="00D34B86" w:rsidP="00D34B86">
            <w:pPr>
              <w:spacing w:after="0"/>
              <w:rPr>
                <w:rFonts w:eastAsia="Yu Mincho"/>
                <w:bCs/>
              </w:rPr>
            </w:pPr>
            <w:r>
              <w:rPr>
                <w:rFonts w:eastAsia="Yu Mincho"/>
                <w:bCs/>
              </w:rPr>
              <w:t>We are open to discuss information provided by Intel. However, more metrics will need to be added at a later stage</w:t>
            </w:r>
            <w:r w:rsidR="00153B35">
              <w:rPr>
                <w:rFonts w:eastAsia="Yu Mincho"/>
                <w:bCs/>
              </w:rPr>
              <w:t xml:space="preserve"> of this discussion</w:t>
            </w:r>
            <w:r>
              <w:rPr>
                <w:rFonts w:eastAsia="Yu Mincho"/>
                <w:bCs/>
              </w:rPr>
              <w:t xml:space="preserve">. </w:t>
            </w:r>
          </w:p>
          <w:p w14:paraId="3A50E4FC" w14:textId="77777777" w:rsidR="00D34B86" w:rsidRPr="00556954" w:rsidRDefault="00D34B86" w:rsidP="00D34B86">
            <w:pPr>
              <w:spacing w:after="0"/>
              <w:rPr>
                <w:rFonts w:eastAsiaTheme="minorEastAsia"/>
                <w:bCs/>
                <w:lang w:eastAsia="zh-CN"/>
              </w:rPr>
            </w:pPr>
          </w:p>
        </w:tc>
        <w:tc>
          <w:tcPr>
            <w:tcW w:w="3007" w:type="dxa"/>
          </w:tcPr>
          <w:p w14:paraId="4C6D5A62" w14:textId="77777777" w:rsidR="00D34B86" w:rsidRPr="00CE0FE0" w:rsidRDefault="00D34B86" w:rsidP="00D34B86">
            <w:pPr>
              <w:spacing w:after="0"/>
              <w:rPr>
                <w:rFonts w:eastAsiaTheme="minorEastAsia"/>
                <w:bCs/>
                <w:lang w:eastAsia="zh-CN"/>
              </w:rPr>
            </w:pPr>
          </w:p>
        </w:tc>
      </w:tr>
      <w:tr w:rsidR="006942DE" w:rsidRPr="00CE0FE0" w14:paraId="339959F9" w14:textId="77777777" w:rsidTr="006A3F5B">
        <w:trPr>
          <w:trHeight w:val="127"/>
        </w:trPr>
        <w:tc>
          <w:tcPr>
            <w:tcW w:w="1205" w:type="dxa"/>
            <w:shd w:val="clear" w:color="auto" w:fill="auto"/>
          </w:tcPr>
          <w:p w14:paraId="17F3941B" w14:textId="38A7AA9C" w:rsidR="006942DE" w:rsidRDefault="006942DE" w:rsidP="006942DE">
            <w:pPr>
              <w:spacing w:after="0"/>
              <w:rPr>
                <w:rFonts w:eastAsia="Yu Mincho"/>
                <w:bCs/>
              </w:rPr>
            </w:pPr>
            <w:r>
              <w:rPr>
                <w:rFonts w:eastAsia="Yu Mincho" w:hint="eastAsia"/>
                <w:bCs/>
              </w:rPr>
              <w:t>N</w:t>
            </w:r>
            <w:r>
              <w:rPr>
                <w:rFonts w:eastAsia="Yu Mincho"/>
                <w:bCs/>
              </w:rPr>
              <w:t>EC</w:t>
            </w:r>
          </w:p>
        </w:tc>
        <w:tc>
          <w:tcPr>
            <w:tcW w:w="5644" w:type="dxa"/>
          </w:tcPr>
          <w:p w14:paraId="7685836E" w14:textId="1348FBD7" w:rsidR="006942DE" w:rsidRDefault="006942DE" w:rsidP="006942DE">
            <w:pPr>
              <w:spacing w:after="0"/>
              <w:rPr>
                <w:rFonts w:eastAsia="Yu Mincho"/>
                <w:bCs/>
              </w:rPr>
            </w:pPr>
            <w:r>
              <w:rPr>
                <w:rFonts w:eastAsia="Yu Mincho" w:hint="eastAsia"/>
              </w:rPr>
              <w:t>A</w:t>
            </w:r>
            <w:r>
              <w:rPr>
                <w:rFonts w:eastAsia="Yu Mincho"/>
              </w:rPr>
              <w:t>s in P5 from post120 Email disc, “</w:t>
            </w:r>
            <w:r w:rsidRPr="00C540C1">
              <w:rPr>
                <w:rFonts w:eastAsia="Yu Mincho"/>
              </w:rPr>
              <w:t>a) the content of the data</w:t>
            </w:r>
            <w:r>
              <w:rPr>
                <w:rFonts w:eastAsia="Yu Mincho"/>
              </w:rPr>
              <w:t>” (or type of data) is useful to compare the options. We assume the information provided by Intel looks good.</w:t>
            </w:r>
          </w:p>
        </w:tc>
        <w:tc>
          <w:tcPr>
            <w:tcW w:w="3007" w:type="dxa"/>
          </w:tcPr>
          <w:p w14:paraId="7B1018EE" w14:textId="77777777" w:rsidR="006942DE" w:rsidRPr="00CE0FE0" w:rsidRDefault="006942DE" w:rsidP="006942DE">
            <w:pPr>
              <w:spacing w:after="0"/>
              <w:rPr>
                <w:rFonts w:eastAsiaTheme="minorEastAsia"/>
                <w:bCs/>
                <w:lang w:eastAsia="zh-CN"/>
              </w:rPr>
            </w:pPr>
          </w:p>
        </w:tc>
      </w:tr>
      <w:tr w:rsidR="009F1F8E" w:rsidRPr="00CE0FE0" w14:paraId="2E1C253C" w14:textId="77777777" w:rsidTr="006A3F5B">
        <w:trPr>
          <w:trHeight w:val="127"/>
        </w:trPr>
        <w:tc>
          <w:tcPr>
            <w:tcW w:w="1205" w:type="dxa"/>
            <w:shd w:val="clear" w:color="auto" w:fill="auto"/>
          </w:tcPr>
          <w:p w14:paraId="6068E255" w14:textId="77828002" w:rsidR="009F1F8E" w:rsidRDefault="009F1F8E" w:rsidP="006942DE">
            <w:pPr>
              <w:spacing w:after="0"/>
              <w:rPr>
                <w:rFonts w:eastAsia="Yu Mincho" w:hint="eastAsia"/>
                <w:bCs/>
              </w:rPr>
            </w:pPr>
            <w:r>
              <w:rPr>
                <w:rFonts w:eastAsia="Yu Mincho"/>
                <w:bCs/>
              </w:rPr>
              <w:t>Ericsson</w:t>
            </w:r>
          </w:p>
        </w:tc>
        <w:tc>
          <w:tcPr>
            <w:tcW w:w="5644" w:type="dxa"/>
          </w:tcPr>
          <w:p w14:paraId="32BFD1B0" w14:textId="04608D98" w:rsidR="009F1F8E" w:rsidRPr="000F6946" w:rsidRDefault="009F1F8E" w:rsidP="006942DE">
            <w:pPr>
              <w:spacing w:after="0"/>
              <w:rPr>
                <w:rFonts w:hint="eastAsia"/>
              </w:rPr>
            </w:pPr>
            <w:r>
              <w:rPr>
                <w:rFonts w:eastAsia="Yu Mincho"/>
              </w:rPr>
              <w:t xml:space="preserve">As per what was agreed during the long email disc, we sympathize with Intel’s intention. </w:t>
            </w:r>
            <w:r>
              <w:rPr>
                <w:rFonts w:eastAsia="Yu Mincho"/>
              </w:rPr>
              <w:br/>
            </w:r>
            <w:r>
              <w:rPr>
                <w:rFonts w:eastAsia="Yu Mincho"/>
              </w:rPr>
              <w:br/>
              <w:t xml:space="preserve">Note that the following was captured in </w:t>
            </w:r>
            <w:r w:rsidR="000F6946">
              <w:rPr>
                <w:rFonts w:eastAsia="Yu Mincho"/>
              </w:rPr>
              <w:t>R2-2301440 as the metrics:</w:t>
            </w:r>
            <w:r w:rsidR="000F6946">
              <w:rPr>
                <w:rFonts w:eastAsia="Yu Mincho"/>
              </w:rPr>
              <w:br/>
            </w:r>
            <w:r w:rsidR="000F6946">
              <w:t>“…</w:t>
            </w:r>
            <w:r w:rsidR="000F6946" w:rsidRPr="00F7240B">
              <w:t>a) the content of the data, b) the data size, c) latency and periodicity, d) signalling</w:t>
            </w:r>
            <w:r w:rsidR="000F6946">
              <w:t>, entities involved,</w:t>
            </w:r>
            <w:r w:rsidR="000F6946" w:rsidRPr="00F7240B">
              <w:t xml:space="preserve"> and configuration aspects. FFS on how to handle security/privacy</w:t>
            </w:r>
            <w:r w:rsidR="000F6946">
              <w:t>.</w:t>
            </w:r>
            <w:r w:rsidR="000F6946">
              <w:t>”</w:t>
            </w:r>
            <w:r w:rsidR="000F6946">
              <w:br/>
              <w:t xml:space="preserve">We would then be missing aspects like the signalling and configuration aspects. </w:t>
            </w:r>
          </w:p>
        </w:tc>
        <w:tc>
          <w:tcPr>
            <w:tcW w:w="3007" w:type="dxa"/>
          </w:tcPr>
          <w:p w14:paraId="03DC1B9E" w14:textId="77777777" w:rsidR="009F1F8E" w:rsidRPr="00CE0FE0" w:rsidRDefault="009F1F8E" w:rsidP="006942DE">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lastRenderedPageBreak/>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7D32" w14:textId="77777777" w:rsidR="00D209B8" w:rsidRDefault="00D209B8">
      <w:r>
        <w:separator/>
      </w:r>
    </w:p>
    <w:p w14:paraId="0A48D05E" w14:textId="77777777" w:rsidR="00D209B8" w:rsidRDefault="00D209B8"/>
  </w:endnote>
  <w:endnote w:type="continuationSeparator" w:id="0">
    <w:p w14:paraId="72939F3E" w14:textId="77777777" w:rsidR="00D209B8" w:rsidRDefault="00D209B8">
      <w:r>
        <w:continuationSeparator/>
      </w:r>
    </w:p>
    <w:p w14:paraId="24510230" w14:textId="77777777" w:rsidR="00D209B8" w:rsidRDefault="00D20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Arial Unicode M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8D0D" w14:textId="77777777" w:rsidR="00D209B8" w:rsidRDefault="00D209B8">
      <w:r>
        <w:separator/>
      </w:r>
    </w:p>
    <w:p w14:paraId="75E7DDFF" w14:textId="77777777" w:rsidR="00D209B8" w:rsidRDefault="00D209B8"/>
  </w:footnote>
  <w:footnote w:type="continuationSeparator" w:id="0">
    <w:p w14:paraId="3A51D4D1" w14:textId="77777777" w:rsidR="00D209B8" w:rsidRDefault="00D209B8">
      <w:r>
        <w:continuationSeparator/>
      </w:r>
    </w:p>
    <w:p w14:paraId="705E2C17" w14:textId="77777777" w:rsidR="00D209B8" w:rsidRDefault="00D20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0C08F46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664890">
      <w:rPr>
        <w:rFonts w:ascii="Arial" w:hAnsi="Arial" w:cs="Arial"/>
        <w:b/>
        <w:bCs/>
        <w:noProof/>
        <w:sz w:val="18"/>
      </w:rPr>
      <w:t>9</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F534EE"/>
    <w:multiLevelType w:val="hybridMultilevel"/>
    <w:tmpl w:val="B4860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45E8F"/>
    <w:multiLevelType w:val="hybridMultilevel"/>
    <w:tmpl w:val="1ECE25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4030980">
    <w:abstractNumId w:val="15"/>
  </w:num>
  <w:num w:numId="2" w16cid:durableId="1773547170">
    <w:abstractNumId w:val="10"/>
  </w:num>
  <w:num w:numId="3" w16cid:durableId="1055082205">
    <w:abstractNumId w:val="14"/>
  </w:num>
  <w:num w:numId="4" w16cid:durableId="292172700">
    <w:abstractNumId w:val="0"/>
  </w:num>
  <w:num w:numId="5" w16cid:durableId="161698107">
    <w:abstractNumId w:val="8"/>
  </w:num>
  <w:num w:numId="6" w16cid:durableId="270212010">
    <w:abstractNumId w:val="9"/>
  </w:num>
  <w:num w:numId="7" w16cid:durableId="1683818898">
    <w:abstractNumId w:val="11"/>
  </w:num>
  <w:num w:numId="8" w16cid:durableId="475103106">
    <w:abstractNumId w:val="5"/>
  </w:num>
  <w:num w:numId="9" w16cid:durableId="1645308084">
    <w:abstractNumId w:val="12"/>
  </w:num>
  <w:num w:numId="10" w16cid:durableId="71978088">
    <w:abstractNumId w:val="6"/>
  </w:num>
  <w:num w:numId="11" w16cid:durableId="1043333451">
    <w:abstractNumId w:val="7"/>
  </w:num>
  <w:num w:numId="12" w16cid:durableId="1676416246">
    <w:abstractNumId w:val="3"/>
  </w:num>
  <w:num w:numId="13" w16cid:durableId="1002968339">
    <w:abstractNumId w:val="13"/>
  </w:num>
  <w:num w:numId="14" w16cid:durableId="1090739702">
    <w:abstractNumId w:val="1"/>
  </w:num>
  <w:num w:numId="15" w16cid:durableId="1921016132">
    <w:abstractNumId w:val="4"/>
  </w:num>
  <w:num w:numId="16" w16cid:durableId="64844107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6946"/>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3B35"/>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BCD"/>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5D7"/>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4"/>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67C5"/>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890"/>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2DE"/>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9A"/>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9E9"/>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1C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8BF"/>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3E1"/>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1F8E"/>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B60"/>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9B8"/>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B86"/>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4DB"/>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83D"/>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8CD"/>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表段落,列出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
    <w:name w:val="未处理的提及1"/>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6642-39BA-40D7-8566-4A6F1BCE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3446</Words>
  <Characters>18351</Characters>
  <Application>Microsoft Office Word</Application>
  <DocSecurity>0</DocSecurity>
  <Lines>152</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21754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Ericsson (Felipe)</cp:lastModifiedBy>
  <cp:revision>4</cp:revision>
  <cp:lastPrinted>2017-03-22T08:13:00Z</cp:lastPrinted>
  <dcterms:created xsi:type="dcterms:W3CDTF">2023-03-02T17:13:00Z</dcterms:created>
  <dcterms:modified xsi:type="dcterms:W3CDTF">2023-03-02T20:21:00Z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