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F3F" w:rsidRDefault="00762BF6">
      <w:pPr>
        <w:pStyle w:val="af3"/>
        <w:tabs>
          <w:tab w:val="right" w:pos="9645"/>
        </w:tabs>
        <w:spacing w:before="0" w:beforeAutospacing="0" w:after="0" w:afterAutospacing="0" w:line="240" w:lineRule="auto"/>
        <w:jc w:val="both"/>
        <w:rPr>
          <w:b/>
          <w:szCs w:val="22"/>
          <w:lang w:val="en-US" w:eastAsia="zh-CN"/>
        </w:rPr>
      </w:pPr>
      <w:r>
        <w:rPr>
          <w:rFonts w:eastAsia="宋体"/>
          <w:b/>
          <w:szCs w:val="22"/>
          <w:lang w:val="en-US" w:eastAsia="zh-CN" w:bidi="ar"/>
        </w:rPr>
        <w:t>3GPP TSG-RAN2 Meeting #1</w:t>
      </w:r>
      <w:r>
        <w:rPr>
          <w:rFonts w:eastAsia="宋体" w:hint="eastAsia"/>
          <w:b/>
          <w:szCs w:val="22"/>
          <w:lang w:val="en-US" w:eastAsia="zh-CN" w:bidi="ar"/>
        </w:rPr>
        <w:t>20</w:t>
      </w:r>
      <w:r>
        <w:rPr>
          <w:rFonts w:eastAsia="宋体"/>
          <w:b/>
          <w:szCs w:val="22"/>
          <w:lang w:val="en-US" w:eastAsia="zh-CN" w:bidi="ar"/>
        </w:rPr>
        <w:tab/>
        <w:t>R2-22</w:t>
      </w:r>
      <w:r>
        <w:rPr>
          <w:rFonts w:eastAsia="宋体" w:hint="eastAsia"/>
          <w:b/>
          <w:szCs w:val="22"/>
          <w:lang w:val="en-US" w:eastAsia="zh-CN" w:bidi="ar"/>
        </w:rPr>
        <w:t>12747</w:t>
      </w:r>
    </w:p>
    <w:p w:rsidR="00BD4F3F" w:rsidRDefault="00762BF6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b/>
          <w:szCs w:val="22"/>
          <w:lang w:val="en-US" w:eastAsia="zh-CN"/>
        </w:rPr>
      </w:pPr>
      <w:r>
        <w:rPr>
          <w:rFonts w:eastAsia="宋体" w:hint="eastAsia"/>
          <w:b/>
          <w:szCs w:val="22"/>
          <w:lang w:val="en-US" w:eastAsia="zh-CN" w:bidi="ar"/>
        </w:rPr>
        <w:t>Nov</w:t>
      </w:r>
      <w:r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 w:hint="eastAsia"/>
          <w:b/>
          <w:szCs w:val="22"/>
          <w:lang w:val="en-US" w:eastAsia="zh-CN" w:bidi="ar"/>
        </w:rPr>
        <w:t>14</w:t>
      </w:r>
      <w:r>
        <w:rPr>
          <w:rFonts w:eastAsia="宋体"/>
          <w:b/>
          <w:szCs w:val="22"/>
          <w:lang w:val="de" w:eastAsia="zh-CN" w:bidi="ar"/>
        </w:rPr>
        <w:t xml:space="preserve">th – </w:t>
      </w:r>
      <w:r>
        <w:rPr>
          <w:rFonts w:eastAsia="宋体" w:hint="eastAsia"/>
          <w:b/>
          <w:szCs w:val="22"/>
          <w:lang w:val="en-US" w:eastAsia="zh-CN" w:bidi="ar"/>
        </w:rPr>
        <w:t>18</w:t>
      </w:r>
      <w:r>
        <w:rPr>
          <w:rFonts w:eastAsia="宋体"/>
          <w:b/>
          <w:szCs w:val="22"/>
          <w:lang w:val="en-US" w:eastAsia="zh-CN" w:bidi="ar"/>
        </w:rPr>
        <w:t>th</w:t>
      </w:r>
      <w:r>
        <w:rPr>
          <w:rFonts w:eastAsia="宋体"/>
          <w:b/>
          <w:szCs w:val="22"/>
          <w:lang w:val="de" w:eastAsia="zh-CN" w:bidi="ar"/>
        </w:rPr>
        <w:t>, 202</w:t>
      </w:r>
      <w:r>
        <w:rPr>
          <w:rFonts w:eastAsia="宋体"/>
          <w:b/>
          <w:szCs w:val="22"/>
          <w:lang w:val="en-US" w:eastAsia="zh-CN" w:bidi="ar"/>
        </w:rPr>
        <w:t>2</w:t>
      </w:r>
      <w:r>
        <w:rPr>
          <w:rFonts w:eastAsia="宋体" w:hint="eastAsia"/>
          <w:b/>
          <w:szCs w:val="22"/>
          <w:lang w:val="en-US" w:eastAsia="zh-CN" w:bidi="ar"/>
        </w:rPr>
        <w:t xml:space="preserve"> Toulouse FR</w:t>
      </w:r>
    </w:p>
    <w:p w:rsidR="00BD4F3F" w:rsidRDefault="00BD4F3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BD4F3F" w:rsidRDefault="00762BF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BD4F3F" w:rsidRDefault="00762BF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Further Consideration on the Intra-band ENDC Capability</w:t>
      </w:r>
    </w:p>
    <w:p w:rsidR="00BD4F3F" w:rsidRDefault="00762BF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 w:rsidR="00965963">
        <w:rPr>
          <w:rFonts w:ascii="Arial" w:hAnsi="Arial" w:cs="Arial"/>
          <w:b/>
          <w:bCs/>
          <w:snapToGrid w:val="0"/>
          <w:kern w:val="0"/>
          <w:sz w:val="24"/>
        </w:rPr>
        <w:t>6.0.2.1</w:t>
      </w:r>
    </w:p>
    <w:p w:rsidR="00BD4F3F" w:rsidRDefault="00762BF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BD4F3F" w:rsidRDefault="00762BF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n</w:t>
      </w:r>
    </w:p>
    <w:p w:rsidR="00BD4F3F" w:rsidRDefault="00762BF6">
      <w:r>
        <w:rPr>
          <w:rFonts w:hint="eastAsia"/>
        </w:rPr>
        <w:t>In the current UE capability, the intraBandENDC-Support was introduced with per BC level to indicate whether the UE support contiguous, non-contiguous or both as below.</w:t>
      </w:r>
    </w:p>
    <w:tbl>
      <w:tblPr>
        <w:tblW w:w="10082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016"/>
        <w:gridCol w:w="1066"/>
      </w:tblGrid>
      <w:tr w:rsidR="00BD4F3F">
        <w:trPr>
          <w:cantSplit/>
          <w:tblHeader/>
        </w:trPr>
        <w:tc>
          <w:tcPr>
            <w:tcW w:w="9016" w:type="dxa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b/>
              </w:rPr>
              <w:t>Definitions for parameters</w:t>
            </w:r>
          </w:p>
        </w:tc>
        <w:tc>
          <w:tcPr>
            <w:tcW w:w="1066" w:type="dxa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</w:rPr>
              <w:t>Per</w:t>
            </w:r>
          </w:p>
        </w:tc>
      </w:tr>
      <w:tr w:rsidR="00BD4F3F">
        <w:trPr>
          <w:cantSplit/>
          <w:tblHeader/>
        </w:trPr>
        <w:tc>
          <w:tcPr>
            <w:tcW w:w="9016" w:type="dxa"/>
          </w:tcPr>
          <w:p w:rsidR="00BD4F3F" w:rsidRDefault="00762BF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intraBandENDC-Support</w:t>
            </w:r>
            <w:r>
              <w:rPr>
                <w:rFonts w:ascii="Arial" w:hAnsi="Arial" w:hint="eastAsia"/>
                <w:b/>
                <w:bCs/>
                <w:i/>
                <w:iCs/>
                <w:sz w:val="18"/>
              </w:rPr>
              <w:t xml:space="preserve">   Enum{non-contiguous, both}</w:t>
            </w:r>
          </w:p>
          <w:p w:rsidR="00BD4F3F" w:rsidRDefault="00762BF6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>(NG)</w:t>
            </w:r>
            <w:r>
              <w:rPr>
                <w:rFonts w:ascii="Arial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>(NG)</w:t>
            </w:r>
            <w:r>
              <w:rPr>
                <w:rFonts w:ascii="Arial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:rsidR="00BD4F3F" w:rsidRDefault="00762BF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>(NG)</w:t>
            </w:r>
            <w:r>
              <w:rPr>
                <w:rFonts w:ascii="Arial" w:hAnsi="Arial"/>
                <w:bCs/>
                <w:iCs/>
                <w:sz w:val="18"/>
                <w:lang w:eastAsia="ja-JP"/>
              </w:rPr>
              <w:t xml:space="preserve">EN-DC combination the UE only supports the contiguous spectrum for the intra-band 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>(NG)</w:t>
            </w:r>
            <w:r>
              <w:rPr>
                <w:rFonts w:ascii="Arial" w:hAnsi="Arial"/>
                <w:bCs/>
                <w:iCs/>
                <w:sz w:val="18"/>
                <w:lang w:eastAsia="ja-JP"/>
              </w:rPr>
              <w:t>EN-DC combination.</w:t>
            </w:r>
          </w:p>
        </w:tc>
        <w:tc>
          <w:tcPr>
            <w:tcW w:w="1066" w:type="dxa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BC</w:t>
            </w:r>
          </w:p>
        </w:tc>
      </w:tr>
    </w:tbl>
    <w:p w:rsidR="00BD4F3F" w:rsidRDefault="00762BF6">
      <w:r>
        <w:rPr>
          <w:rFonts w:hint="eastAsia"/>
        </w:rPr>
        <w:t>However, as discussed in [1], there are some cases (e.g. case 3/4) that the UE would support different contiguous capability for the DL and UL.</w:t>
      </w:r>
    </w:p>
    <w:p w:rsidR="00BD4F3F" w:rsidRPr="00965963" w:rsidRDefault="00762BF6">
      <w:pPr>
        <w:numPr>
          <w:ilvl w:val="0"/>
          <w:numId w:val="5"/>
        </w:numPr>
        <w:rPr>
          <w:rFonts w:eastAsia="微软雅黑"/>
          <w:color w:val="000000"/>
          <w:sz w:val="22"/>
          <w:szCs w:val="22"/>
          <w:lang w:eastAsia="ko-KR"/>
        </w:rPr>
      </w:pPr>
      <w:r w:rsidRPr="00965963">
        <w:rPr>
          <w:rFonts w:eastAsia="微软雅黑"/>
          <w:color w:val="000000"/>
          <w:sz w:val="22"/>
          <w:szCs w:val="22"/>
          <w:lang w:eastAsia="ko-KR"/>
        </w:rPr>
        <w:t>Case 3: All CCs are contiguous in DL but neither carrier is contiguous to each other in UL: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2"/>
        <w:gridCol w:w="1884"/>
      </w:tblGrid>
      <w:tr w:rsidR="00BD4F3F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841" w:type="pct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</w:tc>
      </w:tr>
      <w:tr w:rsidR="00BD4F3F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vertAlign w:val="superscript"/>
                <w:lang w:val="de-DE" w:eastAsia="zh-TW"/>
              </w:rPr>
            </w:pPr>
            <w:r>
              <w:rPr>
                <w:rFonts w:ascii="Arial" w:eastAsia="MS Mincho" w:hAnsi="Arial"/>
                <w:sz w:val="18"/>
                <w:lang w:val="de-DE" w:eastAsia="fi-FI"/>
              </w:rPr>
              <w:t>DC_(n)41A</w:t>
            </w:r>
            <w:r>
              <w:rPr>
                <w:rFonts w:ascii="Arial" w:eastAsia="MS Mincho" w:hAnsi="Arial"/>
                <w:sz w:val="18"/>
                <w:lang w:val="de-DE"/>
              </w:rPr>
              <w:t>B</w:t>
            </w:r>
          </w:p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de-DE" w:eastAsia="fi-FI"/>
              </w:rPr>
            </w:pPr>
            <w:r>
              <w:rPr>
                <w:rFonts w:ascii="Arial" w:eastAsia="MS Mincho" w:hAnsi="Arial"/>
                <w:sz w:val="18"/>
                <w:lang w:val="de-DE" w:eastAsia="fi-FI"/>
              </w:rPr>
              <w:t>DC_(n)41CA</w:t>
            </w:r>
          </w:p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fi-FI"/>
              </w:rPr>
            </w:pPr>
            <w:r>
              <w:rPr>
                <w:rFonts w:ascii="Arial" w:eastAsia="MS Mincho" w:hAnsi="Arial"/>
                <w:sz w:val="18"/>
                <w:lang w:eastAsia="fi-FI"/>
              </w:rPr>
              <w:t>DC_(n)41DA</w:t>
            </w:r>
          </w:p>
        </w:tc>
        <w:tc>
          <w:tcPr>
            <w:tcW w:w="2841" w:type="pct"/>
            <w:vAlign w:val="center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fi-FI"/>
              </w:rPr>
            </w:pPr>
            <w:r>
              <w:rPr>
                <w:rFonts w:ascii="Arial" w:eastAsia="MS Mincho" w:hAnsi="Arial"/>
                <w:sz w:val="18"/>
                <w:lang w:eastAsia="fi-FI"/>
              </w:rPr>
              <w:t>DC_41A_n41A</w:t>
            </w:r>
          </w:p>
        </w:tc>
      </w:tr>
      <w:tr w:rsidR="00BD4F3F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TW"/>
              </w:rPr>
            </w:pPr>
            <w:r>
              <w:rPr>
                <w:rFonts w:ascii="Arial" w:eastAsia="MS Mincho" w:hAnsi="Arial" w:cs="Arial"/>
                <w:sz w:val="18"/>
              </w:rPr>
              <w:t>DC_(n)48CA</w:t>
            </w:r>
          </w:p>
        </w:tc>
        <w:tc>
          <w:tcPr>
            <w:tcW w:w="2841" w:type="pct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lang w:eastAsia="zh-TW"/>
              </w:rPr>
              <w:t>DC_</w:t>
            </w:r>
            <w:r>
              <w:rPr>
                <w:rFonts w:ascii="Arial" w:eastAsia="MS Mincho" w:hAnsi="Arial" w:cs="Arial"/>
                <w:sz w:val="18"/>
              </w:rPr>
              <w:t>48A_n48A</w:t>
            </w:r>
          </w:p>
        </w:tc>
      </w:tr>
      <w:tr w:rsidR="00BD4F3F">
        <w:trPr>
          <w:trHeight w:val="145"/>
          <w:jc w:val="center"/>
        </w:trPr>
        <w:tc>
          <w:tcPr>
            <w:tcW w:w="2159" w:type="pct"/>
            <w:shd w:val="clear" w:color="auto" w:fill="auto"/>
            <w:noWrap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TW"/>
              </w:rPr>
            </w:pPr>
            <w:r>
              <w:rPr>
                <w:rFonts w:ascii="Arial" w:eastAsia="MS Mincho" w:hAnsi="Arial" w:cs="Arial"/>
                <w:sz w:val="18"/>
              </w:rPr>
              <w:t>DC_(n)48DA</w:t>
            </w:r>
          </w:p>
        </w:tc>
        <w:tc>
          <w:tcPr>
            <w:tcW w:w="2841" w:type="pct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TW"/>
              </w:rPr>
            </w:pPr>
            <w:r>
              <w:rPr>
                <w:rFonts w:ascii="Arial" w:eastAsia="PMingLiU" w:hAnsi="Arial" w:cs="Arial"/>
                <w:sz w:val="18"/>
                <w:lang w:eastAsia="zh-TW"/>
              </w:rPr>
              <w:t>DC_</w:t>
            </w:r>
            <w:r>
              <w:rPr>
                <w:rFonts w:ascii="Arial" w:eastAsia="MS Mincho" w:hAnsi="Arial" w:cs="Arial"/>
                <w:sz w:val="18"/>
              </w:rPr>
              <w:t>48A_n48A</w:t>
            </w:r>
          </w:p>
        </w:tc>
      </w:tr>
    </w:tbl>
    <w:p w:rsidR="00BD4F3F" w:rsidRPr="00965963" w:rsidRDefault="00762BF6">
      <w:pPr>
        <w:numPr>
          <w:ilvl w:val="0"/>
          <w:numId w:val="5"/>
        </w:numPr>
        <w:spacing w:before="120"/>
        <w:ind w:left="641" w:hanging="357"/>
        <w:rPr>
          <w:rFonts w:eastAsia="Malgun Gothic"/>
          <w:color w:val="000000"/>
          <w:sz w:val="22"/>
          <w:szCs w:val="22"/>
          <w:lang w:eastAsia="ko-KR"/>
        </w:rPr>
      </w:pPr>
      <w:r w:rsidRPr="00965963">
        <w:rPr>
          <w:rFonts w:eastAsia="Malgun Gothic"/>
          <w:color w:val="000000"/>
          <w:sz w:val="22"/>
          <w:szCs w:val="22"/>
          <w:lang w:eastAsia="ko-KR"/>
        </w:rPr>
        <w:t>Case 4: LTE and NR adjacent carriers are contiguous but carriers in LTE or NR are non-contiguous, it will has two kinds of UL ENDC configurations: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1735"/>
      </w:tblGrid>
      <w:tr w:rsidR="00BD4F3F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616" w:type="pct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</w:tc>
      </w:tr>
      <w:tr w:rsidR="00BD4F3F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  <w:vAlign w:val="center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vertAlign w:val="superscript"/>
                <w:lang w:val="de-DE" w:eastAsia="zh-TW"/>
              </w:rPr>
            </w:pPr>
            <w:r>
              <w:rPr>
                <w:rFonts w:ascii="Arial" w:eastAsia="MS Mincho" w:hAnsi="Arial"/>
                <w:sz w:val="18"/>
                <w:lang w:val="de-DE" w:eastAsia="fi-FI"/>
              </w:rPr>
              <w:t>DC_48A_(n)48A</w:t>
            </w:r>
            <w:r>
              <w:rPr>
                <w:rFonts w:ascii="Arial" w:eastAsia="MS Mincho" w:hAnsi="Arial"/>
                <w:sz w:val="18"/>
                <w:lang w:val="de-DE"/>
              </w:rPr>
              <w:t>A</w:t>
            </w:r>
          </w:p>
        </w:tc>
        <w:tc>
          <w:tcPr>
            <w:tcW w:w="2616" w:type="pct"/>
          </w:tcPr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fi-FI"/>
              </w:rPr>
            </w:pPr>
            <w:r>
              <w:rPr>
                <w:rFonts w:ascii="Arial" w:eastAsia="MS Mincho" w:hAnsi="Arial"/>
                <w:sz w:val="18"/>
                <w:lang w:eastAsia="fi-FI"/>
              </w:rPr>
              <w:t>DC_(n)48AA</w:t>
            </w:r>
          </w:p>
          <w:p w:rsidR="00BD4F3F" w:rsidRDefault="00762BF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fi-FI"/>
              </w:rPr>
            </w:pPr>
            <w:r>
              <w:rPr>
                <w:rFonts w:ascii="Arial" w:eastAsia="MS Mincho" w:hAnsi="Arial"/>
                <w:sz w:val="18"/>
                <w:lang w:eastAsia="fi-FI"/>
              </w:rPr>
              <w:t>DC_48A_n48A</w:t>
            </w:r>
          </w:p>
        </w:tc>
      </w:tr>
    </w:tbl>
    <w:p w:rsidR="00BD4F3F" w:rsidRDefault="00762BF6">
      <w:r>
        <w:rPr>
          <w:rFonts w:hint="eastAsia"/>
        </w:rPr>
        <w:t xml:space="preserve">In the plenary meeting, RAN2 and RAN4 were asked to confirm the validity of the case 3 and case 4.In the last RAN2 meeting, it has been agreed that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BD4F3F">
        <w:tc>
          <w:tcPr>
            <w:tcW w:w="9997" w:type="dxa"/>
          </w:tcPr>
          <w:p w:rsidR="00BD4F3F" w:rsidRDefault="00762BF6">
            <w:r>
              <w:rPr>
                <w:rFonts w:hint="eastAsia"/>
              </w:rPr>
              <w:lastRenderedPageBreak/>
              <w:t>Agreements:</w:t>
            </w:r>
          </w:p>
          <w:p w:rsidR="00BD4F3F" w:rsidRDefault="00762BF6">
            <w:r>
              <w:rPr>
                <w:rFonts w:hint="eastAsia"/>
              </w:rPr>
              <w:t xml:space="preserve">RAN2 concludes that the discussed cases are not currently supported by signalling and new signalling is needed. </w:t>
            </w:r>
          </w:p>
          <w:p w:rsidR="00BD4F3F" w:rsidRDefault="00762BF6">
            <w:r>
              <w:rPr>
                <w:rFonts w:hint="eastAsia"/>
              </w:rPr>
              <w:t xml:space="preserve">Case validity is up to RAN4, and if RAN4 concludes they are valid, RAN2 can then attempt to find a signalling solution. RAN4 can also develop a preference as to what release should be applicable. </w:t>
            </w:r>
          </w:p>
        </w:tc>
      </w:tr>
    </w:tbl>
    <w:p w:rsidR="00BD4F3F" w:rsidRDefault="00762BF6">
      <w:r>
        <w:rPr>
          <w:rFonts w:hint="eastAsia"/>
        </w:rPr>
        <w:t xml:space="preserve">Meanwhile, in RAN4, the below agreements were achieved: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BD4F3F">
        <w:tc>
          <w:tcPr>
            <w:tcW w:w="9997" w:type="dxa"/>
          </w:tcPr>
          <w:p w:rsidR="00BD4F3F" w:rsidRDefault="00762BF6">
            <w:pPr>
              <w:pStyle w:val="af3"/>
              <w:shd w:val="clear" w:color="auto" w:fill="FFFFFF"/>
              <w:spacing w:before="0" w:beforeAutospacing="0" w:after="0" w:afterAutospacing="0"/>
              <w:rPr>
                <w:rFonts w:eastAsiaTheme="minorEastAsia"/>
                <w:kern w:val="2"/>
                <w:sz w:val="21"/>
                <w:lang w:val="en-US" w:eastAsia="zh-CN"/>
              </w:rPr>
            </w:pPr>
            <w:r>
              <w:rPr>
                <w:rFonts w:eastAsiaTheme="minorEastAsia"/>
                <w:kern w:val="2"/>
                <w:sz w:val="21"/>
                <w:lang w:val="en-US" w:eastAsia="zh-CN"/>
              </w:rPr>
              <w:t>Agreement:</w:t>
            </w:r>
          </w:p>
          <w:p w:rsidR="00BD4F3F" w:rsidRDefault="00762BF6">
            <w:pPr>
              <w:pStyle w:val="af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rFonts w:eastAsiaTheme="minorEastAsia"/>
                <w:kern w:val="2"/>
                <w:sz w:val="21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lang w:val="en-US" w:eastAsia="zh-CN"/>
              </w:rPr>
              <w:t> </w:t>
            </w:r>
            <w:r>
              <w:rPr>
                <w:rFonts w:eastAsiaTheme="minorEastAsia"/>
                <w:kern w:val="2"/>
                <w:sz w:val="21"/>
                <w:lang w:val="en-US" w:eastAsia="zh-CN"/>
              </w:rPr>
              <w:t> Keep b48+n48 in the RAN4 specification as it is</w:t>
            </w:r>
          </w:p>
          <w:p w:rsidR="00BD4F3F" w:rsidRDefault="00762BF6">
            <w:pPr>
              <w:pStyle w:val="af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rFonts w:eastAsiaTheme="minorEastAsia"/>
                <w:kern w:val="2"/>
                <w:sz w:val="21"/>
                <w:lang w:val="en-US" w:eastAsia="zh-CN"/>
              </w:rPr>
            </w:pPr>
            <w:r>
              <w:rPr>
                <w:rFonts w:eastAsiaTheme="minorEastAsia"/>
                <w:kern w:val="2"/>
                <w:sz w:val="21"/>
                <w:lang w:val="en-US" w:eastAsia="zh-CN"/>
              </w:rPr>
              <w:t>RAN4 seeks the solution to make such band combination workable. Depending on the solution, RAN4 decide how to handle this band combination in the specification.</w:t>
            </w:r>
          </w:p>
          <w:p w:rsidR="00BD4F3F" w:rsidRDefault="00762BF6">
            <w:pPr>
              <w:pStyle w:val="af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>
              <w:rPr>
                <w:rFonts w:eastAsiaTheme="minorEastAsia"/>
                <w:kern w:val="2"/>
                <w:sz w:val="21"/>
                <w:lang w:val="en-US" w:eastAsia="zh-CN"/>
              </w:rPr>
              <w:t>  It is agreed that Case 3 for b41+n41 to be removed</w:t>
            </w:r>
          </w:p>
        </w:tc>
      </w:tr>
    </w:tbl>
    <w:p w:rsidR="00BD4F3F" w:rsidRDefault="00762BF6">
      <w:r>
        <w:rPr>
          <w:rFonts w:hint="eastAsia"/>
        </w:rPr>
        <w:t>In this paper, we share our further consideration on this issue.</w:t>
      </w:r>
    </w:p>
    <w:p w:rsidR="00BD4F3F" w:rsidRDefault="00762BF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BD4F3F" w:rsidRDefault="00762BF6">
      <w:r>
        <w:rPr>
          <w:rFonts w:hint="eastAsia"/>
        </w:rPr>
        <w:t xml:space="preserve">In this chapter, we first clarify the meaning when the UE set the </w:t>
      </w:r>
      <w:r>
        <w:rPr>
          <w:rFonts w:hint="eastAsia"/>
          <w:lang w:eastAsia="ja-JP"/>
        </w:rPr>
        <w:t>intraBandENDC-Support</w:t>
      </w:r>
      <w:r>
        <w:rPr>
          <w:rFonts w:hint="eastAsia"/>
        </w:rPr>
        <w:t xml:space="preserve"> to both, then share our views on DL/UL separation, at last we discuss whether some additional information is needed.</w:t>
      </w:r>
    </w:p>
    <w:p w:rsidR="00BD4F3F" w:rsidRDefault="00762BF6">
      <w:pPr>
        <w:pStyle w:val="2"/>
        <w:ind w:left="576" w:hanging="576"/>
        <w:rPr>
          <w:rFonts w:eastAsia="宋体" w:cs="Arial"/>
          <w:b w:val="0"/>
          <w:bCs w:val="0"/>
          <w:color w:val="000000"/>
          <w:szCs w:val="22"/>
          <w:lang w:val="en-US"/>
        </w:rPr>
      </w:pP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>2.1 Legacy Signaling Clarification</w:t>
      </w:r>
    </w:p>
    <w:p w:rsidR="00965963" w:rsidRDefault="00965963">
      <w:r>
        <w:t>According the discussion in the previous meeting, the key issue is how to indicate “</w:t>
      </w:r>
      <w:r>
        <w:rPr>
          <w:rFonts w:hint="eastAsia"/>
          <w:lang w:eastAsia="ja-JP"/>
        </w:rPr>
        <w:t>intraBandENDC-Support</w:t>
      </w:r>
      <w:r>
        <w:rPr>
          <w:lang w:eastAsia="ja-JP"/>
        </w:rPr>
        <w:t>” for the above Case 3 and 4. However, b</w:t>
      </w:r>
      <w:r w:rsidR="00762BF6">
        <w:rPr>
          <w:rFonts w:hint="eastAsia"/>
          <w:bCs/>
        </w:rPr>
        <w:t>efore any further discussion, we</w:t>
      </w:r>
      <w:r w:rsidR="00762BF6">
        <w:rPr>
          <w:bCs/>
        </w:rPr>
        <w:t>’</w:t>
      </w:r>
      <w:r w:rsidR="00762BF6">
        <w:rPr>
          <w:rFonts w:hint="eastAsia"/>
          <w:bCs/>
        </w:rPr>
        <w:t xml:space="preserve">d like to </w:t>
      </w:r>
      <w:r w:rsidR="00762BF6">
        <w:rPr>
          <w:rFonts w:hint="eastAsia"/>
        </w:rPr>
        <w:t xml:space="preserve">clarify the meaning when the UE set the </w:t>
      </w:r>
      <w:r w:rsidR="00762BF6">
        <w:rPr>
          <w:rFonts w:hint="eastAsia"/>
          <w:lang w:eastAsia="ja-JP"/>
        </w:rPr>
        <w:t>intraBandENDC-Support</w:t>
      </w:r>
      <w:r w:rsidR="00762BF6">
        <w:rPr>
          <w:rFonts w:hint="eastAsia"/>
        </w:rPr>
        <w:t xml:space="preserve"> to both first. </w:t>
      </w:r>
    </w:p>
    <w:p w:rsidR="00BD4F3F" w:rsidRDefault="00762BF6">
      <w:pPr>
        <w:rPr>
          <w:bCs/>
        </w:rPr>
      </w:pPr>
      <w:r>
        <w:rPr>
          <w:rFonts w:hint="eastAsia"/>
        </w:rPr>
        <w:t>F</w:t>
      </w:r>
      <w:r>
        <w:rPr>
          <w:rFonts w:hint="eastAsia"/>
          <w:bCs/>
        </w:rPr>
        <w:t xml:space="preserve">or the case </w:t>
      </w:r>
      <w:r w:rsidR="00965963">
        <w:rPr>
          <w:bCs/>
        </w:rPr>
        <w:t>with both co</w:t>
      </w:r>
      <w:r w:rsidR="005614A0">
        <w:rPr>
          <w:bCs/>
        </w:rPr>
        <w:t>ntiguous and non-contiguous ENDC</w:t>
      </w:r>
      <w:r w:rsidR="00965963">
        <w:rPr>
          <w:bCs/>
        </w:rPr>
        <w:t xml:space="preserve"> (e.g.</w:t>
      </w:r>
      <w:r w:rsidR="00965963" w:rsidRPr="00965963">
        <w:rPr>
          <w:lang w:eastAsia="fi-FI"/>
        </w:rPr>
        <w:t xml:space="preserve"> </w:t>
      </w:r>
      <w:r w:rsidR="00965963">
        <w:rPr>
          <w:lang w:eastAsia="fi-FI"/>
        </w:rPr>
        <w:t>DC_48A-(n)48AA)</w:t>
      </w:r>
      <w:r>
        <w:rPr>
          <w:rFonts w:hint="eastAsia"/>
          <w:bCs/>
        </w:rPr>
        <w:t>, there is a note in RAN4 spec</w:t>
      </w:r>
      <w:r w:rsidR="00965963">
        <w:rPr>
          <w:bCs/>
        </w:rPr>
        <w:t xml:space="preserve"> </w:t>
      </w:r>
      <w:r>
        <w:rPr>
          <w:rFonts w:hint="eastAsia"/>
          <w:bCs/>
        </w:rPr>
        <w:t xml:space="preserve"> as below</w:t>
      </w:r>
      <w:r w:rsidR="00965963">
        <w:rPr>
          <w:bCs/>
        </w:rPr>
        <w:t xml:space="preserve"> </w:t>
      </w:r>
      <w:r>
        <w:rPr>
          <w:rFonts w:hint="eastAsia"/>
          <w:bCs/>
        </w:rPr>
        <w:t>(</w:t>
      </w:r>
      <w:r w:rsidR="00965963">
        <w:rPr>
          <w:rFonts w:eastAsia="宋体" w:hint="eastAsia"/>
        </w:rPr>
        <w:t>Note 5 in Table 5.3B.1.3-2 38101-3</w:t>
      </w:r>
      <w:r w:rsidR="00965963">
        <w:rPr>
          <w:rFonts w:eastAsia="宋体"/>
        </w:rPr>
        <w:t xml:space="preserve"> </w:t>
      </w:r>
      <w:r>
        <w:rPr>
          <w:rFonts w:hint="eastAsia"/>
          <w:bCs/>
        </w:rPr>
        <w:t>see Annex)</w:t>
      </w:r>
    </w:p>
    <w:p w:rsidR="00BD4F3F" w:rsidRPr="00965963" w:rsidRDefault="00762BF6">
      <w:pPr>
        <w:rPr>
          <w:i/>
          <w:iCs/>
          <w:u w:val="single"/>
        </w:rPr>
      </w:pPr>
      <w:r w:rsidRPr="00965963">
        <w:rPr>
          <w:rFonts w:eastAsia="PMingLiU"/>
          <w:i/>
          <w:iCs/>
          <w:u w:val="single"/>
          <w:lang w:eastAsia="zh-TW"/>
        </w:rPr>
        <w:t>NOTE 5: The UE supporting these configurations mixed intra-band continuous and non-continuous ENDC with at most two sub-blocks containing more than two component carriers indicates ‘both’ by IE intraBandENDC-Support.</w:t>
      </w:r>
    </w:p>
    <w:p w:rsidR="005614A0" w:rsidRPr="005614A0" w:rsidRDefault="00762BF6">
      <w:pPr>
        <w:rPr>
          <w:rFonts w:eastAsia="PMingLiU"/>
          <w:vertAlign w:val="superscript"/>
          <w:lang w:eastAsia="zh-TW"/>
        </w:rPr>
      </w:pPr>
      <w:r>
        <w:rPr>
          <w:rFonts w:hint="eastAsia"/>
        </w:rPr>
        <w:t xml:space="preserve">So according to RAN4 spec, the </w:t>
      </w:r>
      <w:r>
        <w:t>“</w:t>
      </w:r>
      <w:r>
        <w:rPr>
          <w:rFonts w:hint="eastAsia"/>
        </w:rPr>
        <w:t>Both</w:t>
      </w:r>
      <w:r>
        <w:t>”</w:t>
      </w:r>
      <w:r>
        <w:rPr>
          <w:rFonts w:hint="eastAsia"/>
        </w:rPr>
        <w:t xml:space="preserve"> means there are both contiguous and non-contiguous part in one BC. </w:t>
      </w:r>
      <w:r w:rsidR="005614A0">
        <w:t>E</w:t>
      </w:r>
      <w:r>
        <w:rPr>
          <w:rFonts w:hint="eastAsia"/>
        </w:rPr>
        <w:t xml:space="preserve">.g.  </w:t>
      </w:r>
      <w:r>
        <w:rPr>
          <w:lang w:eastAsia="fi-FI"/>
        </w:rPr>
        <w:t>DC_48A-(n)48AA</w:t>
      </w:r>
      <w:r>
        <w:rPr>
          <w:vertAlign w:val="superscript"/>
          <w:lang w:eastAsia="zh-TW"/>
        </w:rPr>
        <w:t>3</w:t>
      </w:r>
      <w:r w:rsidR="005614A0">
        <w:rPr>
          <w:rFonts w:hint="eastAsia"/>
          <w:vertAlign w:val="superscript"/>
        </w:rPr>
        <w:t>.</w:t>
      </w:r>
    </w:p>
    <w:p w:rsidR="00BD4F3F" w:rsidRDefault="00762BF6">
      <w:pPr>
        <w:rPr>
          <w:b/>
          <w:bCs/>
        </w:rPr>
      </w:pPr>
      <w:r>
        <w:rPr>
          <w:rFonts w:hint="eastAsia"/>
          <w:b/>
          <w:bCs/>
        </w:rPr>
        <w:t>Observation 1: According to RAN4</w:t>
      </w:r>
      <w:r w:rsidR="005614A0">
        <w:rPr>
          <w:b/>
          <w:bCs/>
        </w:rPr>
        <w:t>’s</w:t>
      </w:r>
      <w:r>
        <w:rPr>
          <w:rFonts w:hint="eastAsia"/>
          <w:b/>
          <w:bCs/>
        </w:rPr>
        <w:t xml:space="preserve"> </w:t>
      </w:r>
      <w:r w:rsidR="005749AF">
        <w:rPr>
          <w:rFonts w:hint="eastAsia"/>
          <w:b/>
          <w:bCs/>
        </w:rPr>
        <w:t>spec</w:t>
      </w:r>
      <w:r>
        <w:rPr>
          <w:rFonts w:hint="eastAsia"/>
          <w:b/>
          <w:bCs/>
        </w:rPr>
        <w:t xml:space="preserve">, the </w:t>
      </w:r>
      <w:r>
        <w:rPr>
          <w:b/>
          <w:bCs/>
        </w:rPr>
        <w:t>“</w:t>
      </w:r>
      <w:r>
        <w:rPr>
          <w:rFonts w:hint="eastAsia"/>
          <w:b/>
          <w:bCs/>
        </w:rPr>
        <w:t>Both</w:t>
      </w:r>
      <w:r>
        <w:rPr>
          <w:b/>
          <w:bCs/>
        </w:rPr>
        <w:t>”</w:t>
      </w:r>
      <w:r>
        <w:rPr>
          <w:rFonts w:hint="eastAsia"/>
          <w:b/>
          <w:bCs/>
        </w:rPr>
        <w:t xml:space="preserve"> means there are both contiguous and non-contiguous </w:t>
      </w:r>
      <w:r w:rsidR="005614A0">
        <w:rPr>
          <w:b/>
          <w:bCs/>
        </w:rPr>
        <w:t>ENDC</w:t>
      </w:r>
      <w:r>
        <w:rPr>
          <w:rFonts w:hint="eastAsia"/>
          <w:b/>
          <w:bCs/>
        </w:rPr>
        <w:t xml:space="preserve"> in one BC. </w:t>
      </w:r>
    </w:p>
    <w:p w:rsidR="00BD4F3F" w:rsidRDefault="00762BF6">
      <w:pPr>
        <w:rPr>
          <w:rFonts w:eastAsia="宋体"/>
        </w:rPr>
      </w:pPr>
      <w:r>
        <w:rPr>
          <w:rFonts w:hint="eastAsia"/>
        </w:rPr>
        <w:t xml:space="preserve">However, from RAN2 aspect, </w:t>
      </w:r>
      <w:r>
        <w:rPr>
          <w:rFonts w:eastAsia="宋体" w:hint="eastAsia"/>
        </w:rPr>
        <w:t xml:space="preserve">the </w:t>
      </w:r>
      <w:r w:rsidR="005614A0">
        <w:rPr>
          <w:rFonts w:eastAsia="宋体"/>
        </w:rPr>
        <w:t>“</w:t>
      </w:r>
      <w:r>
        <w:rPr>
          <w:rFonts w:eastAsia="宋体" w:hint="eastAsia"/>
        </w:rPr>
        <w:t>both</w:t>
      </w:r>
      <w:r w:rsidR="005614A0">
        <w:rPr>
          <w:rFonts w:eastAsia="宋体"/>
        </w:rPr>
        <w:t>” can also be used to indicate that</w:t>
      </w:r>
      <w:r>
        <w:rPr>
          <w:rFonts w:eastAsia="宋体" w:hint="eastAsia"/>
        </w:rPr>
        <w:t xml:space="preserve"> the UE support</w:t>
      </w:r>
      <w:r w:rsidR="005614A0">
        <w:rPr>
          <w:rFonts w:eastAsia="宋体"/>
        </w:rPr>
        <w:t>s</w:t>
      </w:r>
      <w:r>
        <w:rPr>
          <w:rFonts w:eastAsia="宋体" w:hint="eastAsia"/>
        </w:rPr>
        <w:t xml:space="preserve"> both contiguous and non-contiguous BC. For example, </w:t>
      </w:r>
      <w:r>
        <w:rPr>
          <w:rFonts w:hint="eastAsia"/>
        </w:rPr>
        <w:t>if the UE support</w:t>
      </w:r>
      <w:r w:rsidR="005614A0">
        <w:t>s</w:t>
      </w:r>
      <w:r>
        <w:rPr>
          <w:rFonts w:hint="eastAsia"/>
        </w:rPr>
        <w:t xml:space="preserve"> both </w:t>
      </w:r>
      <w:r w:rsidR="005614A0">
        <w:rPr>
          <w:rFonts w:cs="Arial"/>
        </w:rPr>
        <w:t>DC_(n)48AA</w:t>
      </w:r>
      <w:r w:rsidR="005614A0">
        <w:rPr>
          <w:rFonts w:cs="Arial"/>
          <w:vertAlign w:val="superscript"/>
          <w:lang w:eastAsia="zh-TW"/>
        </w:rPr>
        <w:t>5</w:t>
      </w:r>
      <w:r>
        <w:rPr>
          <w:rFonts w:hint="eastAsia"/>
        </w:rPr>
        <w:t xml:space="preserve"> and </w:t>
      </w:r>
      <w:r w:rsidR="005614A0">
        <w:rPr>
          <w:lang w:eastAsia="fi-FI"/>
        </w:rPr>
        <w:t>DC_</w:t>
      </w:r>
      <w:r w:rsidR="005614A0">
        <w:t>48</w:t>
      </w:r>
      <w:r w:rsidR="005614A0">
        <w:rPr>
          <w:lang w:eastAsia="fi-FI"/>
        </w:rPr>
        <w:t>A_n</w:t>
      </w:r>
      <w:r w:rsidR="005614A0">
        <w:t>48</w:t>
      </w:r>
      <w:r w:rsidR="005614A0">
        <w:rPr>
          <w:lang w:eastAsia="zh-TW"/>
        </w:rPr>
        <w:t>A</w:t>
      </w:r>
      <w:r w:rsidR="005614A0">
        <w:rPr>
          <w:vertAlign w:val="superscript"/>
          <w:lang w:eastAsia="zh-TW"/>
        </w:rPr>
        <w:t>3</w:t>
      </w:r>
      <w:r>
        <w:rPr>
          <w:rFonts w:hint="eastAsia"/>
        </w:rPr>
        <w:t xml:space="preserve"> (with the same other per BC capabilities and the same featrueSetCombination), the UE may only report one BC and set the</w:t>
      </w:r>
      <w:r w:rsidR="005614A0">
        <w:rPr>
          <w:rFonts w:eastAsia="PMingLiU"/>
          <w:lang w:eastAsia="zh-TW"/>
        </w:rPr>
        <w:t xml:space="preserve"> intraBandENDC-Support </w:t>
      </w:r>
      <w:r>
        <w:rPr>
          <w:rFonts w:eastAsia="宋体" w:hint="eastAsia"/>
        </w:rPr>
        <w:t>to both.</w:t>
      </w:r>
    </w:p>
    <w:p w:rsidR="00BD4F3F" w:rsidRDefault="00762BF6">
      <w:pPr>
        <w:rPr>
          <w:rFonts w:eastAsia="宋体"/>
        </w:rPr>
      </w:pPr>
      <w:r>
        <w:rPr>
          <w:rFonts w:eastAsia="宋体" w:hint="eastAsia"/>
        </w:rPr>
        <w:t xml:space="preserve">E.g. BC with bandEntry[0] = 48A, bandEntry [1] = n48A and </w:t>
      </w:r>
      <w:r>
        <w:rPr>
          <w:rFonts w:eastAsia="PMingLiU"/>
          <w:lang w:eastAsia="zh-TW"/>
        </w:rPr>
        <w:t>intraBandENDC-Support.</w:t>
      </w:r>
      <w:r>
        <w:rPr>
          <w:rFonts w:eastAsia="宋体" w:hint="eastAsia"/>
        </w:rPr>
        <w:t>= both.</w:t>
      </w:r>
    </w:p>
    <w:tbl>
      <w:tblPr>
        <w:tblW w:w="5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1"/>
        <w:gridCol w:w="2907"/>
      </w:tblGrid>
      <w:tr w:rsidR="005614A0" w:rsidTr="005614A0">
        <w:trPr>
          <w:trHeight w:val="456"/>
          <w:jc w:val="center"/>
        </w:trPr>
        <w:tc>
          <w:tcPr>
            <w:tcW w:w="2741" w:type="dxa"/>
            <w:shd w:val="clear" w:color="auto" w:fill="auto"/>
            <w:noWrap/>
          </w:tcPr>
          <w:p w:rsidR="005614A0" w:rsidRDefault="005614A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</w:t>
            </w:r>
          </w:p>
        </w:tc>
        <w:tc>
          <w:tcPr>
            <w:tcW w:w="2907" w:type="dxa"/>
            <w:shd w:val="clear" w:color="auto" w:fill="auto"/>
            <w:noWrap/>
          </w:tcPr>
          <w:p w:rsidR="005614A0" w:rsidRDefault="005614A0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DC_(n)48AA</w:t>
            </w:r>
            <w:r>
              <w:rPr>
                <w:vertAlign w:val="superscript"/>
                <w:lang w:eastAsia="zh-TW"/>
              </w:rPr>
              <w:t>5</w:t>
            </w:r>
          </w:p>
        </w:tc>
      </w:tr>
      <w:tr w:rsidR="005614A0" w:rsidTr="005614A0">
        <w:trPr>
          <w:trHeight w:val="456"/>
          <w:jc w:val="center"/>
        </w:trPr>
        <w:tc>
          <w:tcPr>
            <w:tcW w:w="2741" w:type="dxa"/>
            <w:shd w:val="clear" w:color="auto" w:fill="auto"/>
            <w:noWrap/>
          </w:tcPr>
          <w:p w:rsidR="005614A0" w:rsidRDefault="005614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2907" w:type="dxa"/>
            <w:shd w:val="clear" w:color="auto" w:fill="auto"/>
            <w:noWrap/>
          </w:tcPr>
          <w:p w:rsidR="005614A0" w:rsidRDefault="005614A0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3</w:t>
            </w:r>
          </w:p>
        </w:tc>
      </w:tr>
    </w:tbl>
    <w:p w:rsidR="00BD4F3F" w:rsidRDefault="00762BF6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Observation 2: In RAN2, the </w:t>
      </w:r>
      <w:r>
        <w:rPr>
          <w:rFonts w:eastAsia="宋体"/>
          <w:b/>
          <w:bCs/>
        </w:rPr>
        <w:t>“</w:t>
      </w:r>
      <w:r>
        <w:rPr>
          <w:rFonts w:eastAsia="宋体" w:hint="eastAsia"/>
          <w:b/>
          <w:bCs/>
        </w:rPr>
        <w:t>Both</w:t>
      </w:r>
      <w:r>
        <w:rPr>
          <w:rFonts w:eastAsia="宋体"/>
          <w:b/>
          <w:bCs/>
        </w:rPr>
        <w:t>”</w:t>
      </w:r>
      <w:r>
        <w:rPr>
          <w:rFonts w:eastAsia="宋体" w:hint="eastAsia"/>
          <w:b/>
          <w:bCs/>
        </w:rPr>
        <w:t xml:space="preserve"> can be used to indicate both contiguous</w:t>
      </w:r>
      <w:r w:rsidR="005614A0">
        <w:rPr>
          <w:rFonts w:eastAsia="宋体"/>
          <w:b/>
          <w:bCs/>
        </w:rPr>
        <w:t xml:space="preserve"> BC</w:t>
      </w:r>
      <w:r>
        <w:rPr>
          <w:rFonts w:eastAsia="宋体" w:hint="eastAsia"/>
          <w:b/>
          <w:bCs/>
        </w:rPr>
        <w:t xml:space="preserve"> and non-contiguous BC to save UE capability signaling.</w:t>
      </w:r>
    </w:p>
    <w:p w:rsidR="00BD4F3F" w:rsidRDefault="00762BF6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Proposal 1: For the </w:t>
      </w:r>
      <w:r w:rsidRPr="005749AF">
        <w:rPr>
          <w:rFonts w:eastAsia="宋体" w:hint="eastAsia"/>
          <w:b/>
          <w:bCs/>
          <w:i/>
          <w:lang w:eastAsia="ja-JP"/>
        </w:rPr>
        <w:t>intraBandENDC-Support</w:t>
      </w:r>
      <w:r>
        <w:rPr>
          <w:rFonts w:eastAsia="宋体" w:hint="eastAsia"/>
          <w:b/>
          <w:bCs/>
        </w:rPr>
        <w:t xml:space="preserve">, RAN2 to clarify the meaning of </w:t>
      </w:r>
      <w:r>
        <w:rPr>
          <w:rFonts w:eastAsia="宋体"/>
          <w:b/>
          <w:bCs/>
        </w:rPr>
        <w:t>“</w:t>
      </w:r>
      <w:r>
        <w:rPr>
          <w:rFonts w:eastAsia="宋体" w:hint="eastAsia"/>
          <w:b/>
          <w:bCs/>
        </w:rPr>
        <w:t>Both</w:t>
      </w:r>
      <w:r>
        <w:rPr>
          <w:rFonts w:eastAsia="宋体"/>
          <w:b/>
          <w:bCs/>
        </w:rPr>
        <w:t>”</w:t>
      </w:r>
      <w:r>
        <w:rPr>
          <w:rFonts w:eastAsia="宋体" w:hint="eastAsia"/>
          <w:b/>
          <w:bCs/>
        </w:rPr>
        <w:t xml:space="preserve"> first:</w:t>
      </w:r>
    </w:p>
    <w:p w:rsidR="00BD4F3F" w:rsidRPr="005614A0" w:rsidRDefault="00762BF6" w:rsidP="005614A0">
      <w:pPr>
        <w:pStyle w:val="afe"/>
        <w:numPr>
          <w:ilvl w:val="0"/>
          <w:numId w:val="13"/>
        </w:numPr>
        <w:ind w:firstLineChars="0"/>
        <w:rPr>
          <w:b/>
          <w:bCs/>
        </w:rPr>
      </w:pPr>
      <w:r w:rsidRPr="005614A0">
        <w:rPr>
          <w:rFonts w:hint="eastAsia"/>
          <w:b/>
          <w:bCs/>
        </w:rPr>
        <w:t xml:space="preserve">Option 1: </w:t>
      </w:r>
      <w:r w:rsidRPr="005614A0">
        <w:rPr>
          <w:b/>
          <w:bCs/>
        </w:rPr>
        <w:t>“</w:t>
      </w:r>
      <w:r w:rsidRPr="005614A0">
        <w:rPr>
          <w:rFonts w:hint="eastAsia"/>
          <w:b/>
          <w:bCs/>
        </w:rPr>
        <w:t>Both</w:t>
      </w:r>
      <w:r w:rsidRPr="005614A0">
        <w:rPr>
          <w:b/>
          <w:bCs/>
        </w:rPr>
        <w:t>”</w:t>
      </w:r>
      <w:r w:rsidRPr="005614A0">
        <w:rPr>
          <w:rFonts w:hint="eastAsia"/>
          <w:b/>
          <w:bCs/>
        </w:rPr>
        <w:t xml:space="preserve"> means there are both contiguous and non-contiguous </w:t>
      </w:r>
      <w:r w:rsidR="005614A0">
        <w:rPr>
          <w:b/>
          <w:bCs/>
        </w:rPr>
        <w:t>ENDC</w:t>
      </w:r>
      <w:r w:rsidRPr="005614A0">
        <w:rPr>
          <w:rFonts w:hint="eastAsia"/>
          <w:b/>
          <w:bCs/>
        </w:rPr>
        <w:t xml:space="preserve"> in one BC. </w:t>
      </w:r>
    </w:p>
    <w:p w:rsidR="00BD4F3F" w:rsidRPr="005614A0" w:rsidRDefault="00762BF6" w:rsidP="005614A0">
      <w:pPr>
        <w:pStyle w:val="afe"/>
        <w:numPr>
          <w:ilvl w:val="0"/>
          <w:numId w:val="13"/>
        </w:numPr>
        <w:ind w:firstLineChars="0"/>
        <w:rPr>
          <w:rFonts w:eastAsia="宋体"/>
          <w:b/>
          <w:bCs/>
        </w:rPr>
      </w:pPr>
      <w:r w:rsidRPr="005614A0">
        <w:rPr>
          <w:rFonts w:hint="eastAsia"/>
          <w:b/>
          <w:bCs/>
        </w:rPr>
        <w:t xml:space="preserve">Option 2: </w:t>
      </w:r>
      <w:r w:rsidRPr="005614A0">
        <w:rPr>
          <w:b/>
          <w:bCs/>
        </w:rPr>
        <w:t>“</w:t>
      </w:r>
      <w:r w:rsidRPr="005614A0">
        <w:rPr>
          <w:rFonts w:hint="eastAsia"/>
          <w:b/>
          <w:bCs/>
        </w:rPr>
        <w:t>Both</w:t>
      </w:r>
      <w:r w:rsidRPr="005614A0">
        <w:rPr>
          <w:b/>
          <w:bCs/>
        </w:rPr>
        <w:t>”</w:t>
      </w:r>
      <w:r w:rsidRPr="005614A0">
        <w:rPr>
          <w:rFonts w:hint="eastAsia"/>
          <w:b/>
          <w:bCs/>
        </w:rPr>
        <w:t xml:space="preserve"> means </w:t>
      </w:r>
      <w:r w:rsidRPr="005614A0">
        <w:rPr>
          <w:rFonts w:eastAsia="宋体" w:hint="eastAsia"/>
          <w:b/>
          <w:bCs/>
        </w:rPr>
        <w:t xml:space="preserve">both contiguous </w:t>
      </w:r>
      <w:r w:rsidR="005614A0">
        <w:rPr>
          <w:rFonts w:eastAsia="宋体"/>
          <w:b/>
          <w:bCs/>
        </w:rPr>
        <w:t xml:space="preserve">BC </w:t>
      </w:r>
      <w:r w:rsidRPr="005614A0">
        <w:rPr>
          <w:rFonts w:eastAsia="宋体" w:hint="eastAsia"/>
          <w:b/>
          <w:bCs/>
        </w:rPr>
        <w:t>and non-contiguous BC with the same band Entries are supported.</w:t>
      </w:r>
    </w:p>
    <w:p w:rsidR="00BD4F3F" w:rsidRDefault="00762BF6">
      <w:pPr>
        <w:rPr>
          <w:rFonts w:eastAsia="宋体"/>
        </w:rPr>
      </w:pPr>
      <w:r>
        <w:rPr>
          <w:rFonts w:eastAsia="宋体" w:hint="eastAsia"/>
        </w:rPr>
        <w:t xml:space="preserve">For these two options, we can further take </w:t>
      </w:r>
      <w:r>
        <w:rPr>
          <w:lang w:eastAsia="fi-FI"/>
        </w:rPr>
        <w:t>DC_48A-(n)48AA</w:t>
      </w:r>
      <w:r>
        <w:rPr>
          <w:vertAlign w:val="superscript"/>
          <w:lang w:eastAsia="zh-TW"/>
        </w:rPr>
        <w:t>3</w:t>
      </w:r>
      <w:r>
        <w:rPr>
          <w:rFonts w:hint="eastAsia"/>
          <w:vertAlign w:val="superscript"/>
        </w:rPr>
        <w:t xml:space="preserve"> /</w:t>
      </w:r>
      <w:r>
        <w:rPr>
          <w:lang w:eastAsia="fi-FI"/>
        </w:rPr>
        <w:t>DC_48A-48A_n48A</w:t>
      </w:r>
      <w:r>
        <w:rPr>
          <w:vertAlign w:val="superscript"/>
          <w:lang w:eastAsia="zh-TW"/>
        </w:rPr>
        <w:t>3</w:t>
      </w:r>
      <w:r w:rsidR="005614A0">
        <w:rPr>
          <w:rFonts w:eastAsia="宋体" w:hint="eastAsia"/>
        </w:rPr>
        <w:t>as example</w:t>
      </w:r>
      <w:r w:rsidR="005614A0">
        <w:rPr>
          <w:rFonts w:eastAsia="宋体"/>
        </w:rPr>
        <w:t>, t</w:t>
      </w:r>
      <w:r>
        <w:rPr>
          <w:rFonts w:eastAsia="宋体" w:hint="eastAsia"/>
        </w:rPr>
        <w:t xml:space="preserve">he UE would report 3 band entries: </w:t>
      </w:r>
    </w:p>
    <w:p w:rsidR="00BD4F3F" w:rsidRDefault="00762BF6">
      <w:pPr>
        <w:numPr>
          <w:ilvl w:val="0"/>
          <w:numId w:val="8"/>
        </w:numPr>
      </w:pPr>
      <w:r>
        <w:rPr>
          <w:rFonts w:hint="eastAsia"/>
        </w:rPr>
        <w:t xml:space="preserve">BandEntrylist[0] =48A;  </w:t>
      </w:r>
    </w:p>
    <w:p w:rsidR="00BD4F3F" w:rsidRDefault="00762BF6">
      <w:pPr>
        <w:numPr>
          <w:ilvl w:val="0"/>
          <w:numId w:val="8"/>
        </w:numPr>
      </w:pPr>
      <w:r>
        <w:rPr>
          <w:rFonts w:hint="eastAsia"/>
        </w:rPr>
        <w:t xml:space="preserve">BandEntrylist[1] =48A;  </w:t>
      </w:r>
    </w:p>
    <w:p w:rsidR="00BD4F3F" w:rsidRDefault="00762BF6">
      <w:pPr>
        <w:numPr>
          <w:ilvl w:val="0"/>
          <w:numId w:val="8"/>
        </w:numPr>
      </w:pPr>
      <w:r>
        <w:rPr>
          <w:rFonts w:hint="eastAsia"/>
        </w:rPr>
        <w:t xml:space="preserve">BandEntrylist[2] =n48A  </w:t>
      </w:r>
    </w:p>
    <w:p w:rsidR="00BD4F3F" w:rsidRDefault="005614A0">
      <w:r>
        <w:rPr>
          <w:rFonts w:hint="eastAsia"/>
        </w:rPr>
        <w:t xml:space="preserve">The UE </w:t>
      </w:r>
      <w:r>
        <w:t>would</w:t>
      </w:r>
      <w:r w:rsidR="00762BF6">
        <w:rPr>
          <w:rFonts w:hint="eastAsia"/>
        </w:rPr>
        <w:t xml:space="preserve"> set the </w:t>
      </w:r>
      <w:r w:rsidR="00762BF6">
        <w:rPr>
          <w:rFonts w:eastAsia="宋体" w:hint="eastAsia"/>
          <w:i/>
          <w:iCs/>
          <w:lang w:eastAsia="ja-JP"/>
        </w:rPr>
        <w:t>intraBandENDC-Support</w:t>
      </w:r>
      <w:r w:rsidR="00762BF6">
        <w:rPr>
          <w:rFonts w:hint="eastAsia"/>
          <w:i/>
          <w:iCs/>
        </w:rPr>
        <w:t xml:space="preserve"> </w:t>
      </w:r>
      <w:r w:rsidR="00762BF6">
        <w:rPr>
          <w:rFonts w:hint="eastAsia"/>
        </w:rPr>
        <w:t>as below for the option 1/2 respectively.</w:t>
      </w:r>
    </w:p>
    <w:p w:rsidR="005614A0" w:rsidRPr="005614A0" w:rsidRDefault="005614A0" w:rsidP="005614A0">
      <w:pPr>
        <w:jc w:val="center"/>
        <w:rPr>
          <w:b/>
        </w:rPr>
      </w:pPr>
      <w:r w:rsidRPr="005614A0">
        <w:rPr>
          <w:b/>
        </w:rPr>
        <w:t xml:space="preserve">Table 1: </w:t>
      </w:r>
      <w:r w:rsidRPr="005614A0">
        <w:rPr>
          <w:rFonts w:eastAsia="宋体" w:hint="eastAsia"/>
          <w:b/>
          <w:iCs/>
          <w:lang w:eastAsia="ja-JP"/>
        </w:rPr>
        <w:t>intraBandENDC-Support</w:t>
      </w:r>
      <w:r w:rsidRPr="005614A0">
        <w:rPr>
          <w:rFonts w:eastAsia="宋体"/>
          <w:b/>
          <w:iCs/>
          <w:lang w:eastAsia="ja-JP"/>
        </w:rPr>
        <w:t xml:space="preserve"> for the Option 1 and Option 2</w:t>
      </w:r>
    </w:p>
    <w:tbl>
      <w:tblPr>
        <w:tblStyle w:val="af5"/>
        <w:tblW w:w="98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3"/>
        <w:gridCol w:w="2276"/>
        <w:gridCol w:w="4394"/>
        <w:gridCol w:w="2352"/>
      </w:tblGrid>
      <w:tr w:rsidR="00BD4F3F" w:rsidRPr="005614A0" w:rsidTr="005614A0">
        <w:trPr>
          <w:trHeight w:val="586"/>
        </w:trPr>
        <w:tc>
          <w:tcPr>
            <w:tcW w:w="843" w:type="dxa"/>
          </w:tcPr>
          <w:p w:rsidR="00BD4F3F" w:rsidRPr="005614A0" w:rsidRDefault="00762BF6">
            <w:pPr>
              <w:rPr>
                <w:rFonts w:eastAsia="宋体"/>
                <w:b/>
              </w:rPr>
            </w:pPr>
            <w:r w:rsidRPr="005614A0">
              <w:rPr>
                <w:rFonts w:eastAsia="宋体" w:hint="eastAsia"/>
                <w:b/>
              </w:rPr>
              <w:t>Index</w:t>
            </w:r>
          </w:p>
        </w:tc>
        <w:tc>
          <w:tcPr>
            <w:tcW w:w="2276" w:type="dxa"/>
          </w:tcPr>
          <w:p w:rsidR="00BD4F3F" w:rsidRPr="005614A0" w:rsidRDefault="00762BF6">
            <w:pPr>
              <w:rPr>
                <w:rFonts w:eastAsia="宋体"/>
                <w:b/>
              </w:rPr>
            </w:pPr>
            <w:r w:rsidRPr="005614A0">
              <w:rPr>
                <w:rFonts w:eastAsia="宋体" w:hint="eastAsia"/>
                <w:b/>
              </w:rPr>
              <w:t>Supported BC</w:t>
            </w:r>
          </w:p>
        </w:tc>
        <w:tc>
          <w:tcPr>
            <w:tcW w:w="4394" w:type="dxa"/>
          </w:tcPr>
          <w:p w:rsidR="00BD4F3F" w:rsidRPr="005614A0" w:rsidRDefault="00762BF6">
            <w:pPr>
              <w:ind w:firstLineChars="200" w:firstLine="422"/>
              <w:rPr>
                <w:rFonts w:eastAsia="宋体"/>
                <w:b/>
              </w:rPr>
            </w:pPr>
            <w:r w:rsidRPr="005614A0">
              <w:rPr>
                <w:rFonts w:eastAsia="宋体" w:hint="eastAsia"/>
                <w:b/>
              </w:rPr>
              <w:t>Signaling with Option 1</w:t>
            </w:r>
          </w:p>
        </w:tc>
        <w:tc>
          <w:tcPr>
            <w:tcW w:w="2352" w:type="dxa"/>
          </w:tcPr>
          <w:p w:rsidR="00BD4F3F" w:rsidRPr="005614A0" w:rsidRDefault="00762BF6">
            <w:pPr>
              <w:rPr>
                <w:rFonts w:eastAsia="宋体"/>
                <w:b/>
              </w:rPr>
            </w:pPr>
            <w:r w:rsidRPr="005614A0">
              <w:rPr>
                <w:rFonts w:eastAsia="宋体" w:hint="eastAsia"/>
                <w:b/>
              </w:rPr>
              <w:t>Signaling with Option 2</w:t>
            </w:r>
          </w:p>
        </w:tc>
      </w:tr>
      <w:tr w:rsidR="00BD4F3F" w:rsidTr="005614A0">
        <w:tc>
          <w:tcPr>
            <w:tcW w:w="843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1</w:t>
            </w:r>
          </w:p>
        </w:tc>
        <w:tc>
          <w:tcPr>
            <w:tcW w:w="2276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Only support  </w:t>
            </w: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4394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</w:rPr>
              <w:t xml:space="preserve"> = Both</w:t>
            </w:r>
          </w:p>
        </w:tc>
        <w:tc>
          <w:tcPr>
            <w:tcW w:w="2352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</w:rPr>
              <w:t xml:space="preserve"> = Contiguous</w:t>
            </w:r>
          </w:p>
        </w:tc>
      </w:tr>
      <w:tr w:rsidR="00BD4F3F" w:rsidTr="005614A0">
        <w:tc>
          <w:tcPr>
            <w:tcW w:w="843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2</w:t>
            </w:r>
          </w:p>
        </w:tc>
        <w:tc>
          <w:tcPr>
            <w:tcW w:w="2276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Only support </w:t>
            </w: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4394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</w:rPr>
              <w:t xml:space="preserve"> = non-Contiguous</w:t>
            </w:r>
          </w:p>
        </w:tc>
        <w:tc>
          <w:tcPr>
            <w:tcW w:w="2352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</w:rPr>
              <w:t xml:space="preserve"> = non-Contiguous</w:t>
            </w:r>
          </w:p>
        </w:tc>
      </w:tr>
      <w:tr w:rsidR="00BD4F3F" w:rsidTr="005614A0">
        <w:tc>
          <w:tcPr>
            <w:tcW w:w="843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3</w:t>
            </w:r>
          </w:p>
        </w:tc>
        <w:tc>
          <w:tcPr>
            <w:tcW w:w="2276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Support both</w:t>
            </w:r>
          </w:p>
          <w:p w:rsidR="00BD4F3F" w:rsidRDefault="00762BF6">
            <w:pPr>
              <w:rPr>
                <w:rFonts w:eastAsia="宋体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  <w:r>
              <w:rPr>
                <w:rFonts w:hint="eastAsia"/>
              </w:rPr>
              <w:t xml:space="preserve"> and</w:t>
            </w:r>
            <w:r>
              <w:rPr>
                <w:rFonts w:hint="eastAsia"/>
                <w:vertAlign w:val="superscript"/>
              </w:rPr>
              <w:t xml:space="preserve">  </w:t>
            </w: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4394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Report with 2 BCs</w:t>
            </w:r>
          </w:p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 xml:space="preserve">BC1: </w:t>
            </w: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</w:rPr>
              <w:t xml:space="preserve"> = Both</w:t>
            </w:r>
          </w:p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BC2:</w:t>
            </w: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</w:rPr>
              <w:t xml:space="preserve"> = non-Contiguous</w:t>
            </w:r>
          </w:p>
        </w:tc>
        <w:tc>
          <w:tcPr>
            <w:tcW w:w="2352" w:type="dxa"/>
          </w:tcPr>
          <w:p w:rsidR="00BD4F3F" w:rsidRDefault="00762BF6">
            <w:pPr>
              <w:rPr>
                <w:rFonts w:eastAsia="宋体"/>
              </w:rPr>
            </w:pPr>
            <w:r>
              <w:rPr>
                <w:rFonts w:eastAsia="宋体" w:hint="eastAsia"/>
                <w:lang w:eastAsia="ja-JP"/>
              </w:rPr>
              <w:t>intraBandENDC-Support</w:t>
            </w:r>
            <w:r>
              <w:rPr>
                <w:rFonts w:eastAsia="宋体" w:hint="eastAsia"/>
              </w:rPr>
              <w:t xml:space="preserve"> = Both</w:t>
            </w:r>
          </w:p>
        </w:tc>
      </w:tr>
    </w:tbl>
    <w:p w:rsidR="005614A0" w:rsidRDefault="00762BF6" w:rsidP="005614A0">
      <w:pPr>
        <w:rPr>
          <w:rFonts w:eastAsia="宋体"/>
        </w:rPr>
      </w:pPr>
      <w:r>
        <w:rPr>
          <w:rFonts w:eastAsia="宋体" w:hint="eastAsia"/>
        </w:rPr>
        <w:t>So from RAN2 perspective, the option 2 is more effective, anyway, it also depends o</w:t>
      </w:r>
      <w:r w:rsidR="005614A0">
        <w:rPr>
          <w:rFonts w:eastAsia="宋体" w:hint="eastAsia"/>
        </w:rPr>
        <w:t>n the current UE implementation</w:t>
      </w:r>
      <w:r w:rsidR="005614A0">
        <w:rPr>
          <w:rFonts w:eastAsia="宋体"/>
        </w:rPr>
        <w:t xml:space="preserve"> and i</w:t>
      </w:r>
      <w:r w:rsidR="005614A0">
        <w:rPr>
          <w:rFonts w:eastAsia="宋体" w:hint="eastAsia"/>
        </w:rPr>
        <w:t>f the option 2 selected, it would also have some impact to the above note 5 in RAN4 spec.</w:t>
      </w:r>
    </w:p>
    <w:p w:rsidR="00BD4F3F" w:rsidRDefault="00762BF6">
      <w:pPr>
        <w:rPr>
          <w:rFonts w:eastAsia="宋体"/>
          <w:b/>
          <w:bCs/>
        </w:rPr>
      </w:pPr>
      <w:r w:rsidRPr="005614A0">
        <w:rPr>
          <w:rFonts w:eastAsia="宋体" w:hint="eastAsia"/>
          <w:b/>
          <w:bCs/>
        </w:rPr>
        <w:t>Proposal 2: Option 2</w:t>
      </w:r>
      <w:r w:rsidR="005614A0" w:rsidRPr="005614A0">
        <w:rPr>
          <w:rFonts w:eastAsia="宋体"/>
          <w:b/>
          <w:bCs/>
        </w:rPr>
        <w:t xml:space="preserve"> (</w:t>
      </w:r>
      <w:r w:rsidR="005614A0">
        <w:rPr>
          <w:rFonts w:eastAsia="宋体"/>
          <w:b/>
          <w:bCs/>
        </w:rPr>
        <w:t>i.e.</w:t>
      </w:r>
      <w:r w:rsidR="005614A0" w:rsidRPr="005614A0">
        <w:rPr>
          <w:b/>
          <w:bCs/>
        </w:rPr>
        <w:t>“</w:t>
      </w:r>
      <w:r w:rsidR="005614A0" w:rsidRPr="005614A0">
        <w:rPr>
          <w:rFonts w:hint="eastAsia"/>
          <w:b/>
          <w:bCs/>
        </w:rPr>
        <w:t>Both</w:t>
      </w:r>
      <w:r w:rsidR="005614A0" w:rsidRPr="005614A0">
        <w:rPr>
          <w:b/>
          <w:bCs/>
        </w:rPr>
        <w:t>”</w:t>
      </w:r>
      <w:r w:rsidR="005614A0" w:rsidRPr="005614A0">
        <w:rPr>
          <w:rFonts w:hint="eastAsia"/>
          <w:b/>
          <w:bCs/>
        </w:rPr>
        <w:t xml:space="preserve"> means </w:t>
      </w:r>
      <w:r w:rsidR="005614A0" w:rsidRPr="005614A0">
        <w:rPr>
          <w:rFonts w:eastAsia="宋体" w:hint="eastAsia"/>
          <w:b/>
          <w:bCs/>
        </w:rPr>
        <w:t xml:space="preserve">both contiguous </w:t>
      </w:r>
      <w:r w:rsidR="005614A0" w:rsidRPr="005614A0">
        <w:rPr>
          <w:rFonts w:eastAsia="宋体"/>
          <w:b/>
          <w:bCs/>
        </w:rPr>
        <w:t xml:space="preserve">BC </w:t>
      </w:r>
      <w:r w:rsidR="005614A0" w:rsidRPr="005614A0">
        <w:rPr>
          <w:rFonts w:eastAsia="宋体" w:hint="eastAsia"/>
          <w:b/>
          <w:bCs/>
        </w:rPr>
        <w:t xml:space="preserve">and non-contiguous BC with the </w:t>
      </w:r>
      <w:r w:rsidR="005614A0">
        <w:rPr>
          <w:rFonts w:eastAsia="宋体" w:hint="eastAsia"/>
          <w:b/>
          <w:bCs/>
        </w:rPr>
        <w:t>same band Entries are supported</w:t>
      </w:r>
      <w:r w:rsidR="005614A0">
        <w:rPr>
          <w:rFonts w:eastAsia="宋体"/>
          <w:b/>
          <w:bCs/>
        </w:rPr>
        <w:t>)</w:t>
      </w:r>
      <w:r>
        <w:rPr>
          <w:rFonts w:eastAsia="宋体" w:hint="eastAsia"/>
          <w:b/>
          <w:bCs/>
        </w:rPr>
        <w:t xml:space="preserve"> is more </w:t>
      </w:r>
      <w:r w:rsidR="005749AF">
        <w:rPr>
          <w:rFonts w:eastAsia="宋体"/>
          <w:b/>
          <w:bCs/>
        </w:rPr>
        <w:t>e</w:t>
      </w:r>
      <w:r>
        <w:rPr>
          <w:rFonts w:eastAsia="宋体" w:hint="eastAsia"/>
          <w:b/>
          <w:bCs/>
        </w:rPr>
        <w:t>ffective from signaling overhead aspect.</w:t>
      </w:r>
    </w:p>
    <w:p w:rsidR="00BD4F3F" w:rsidRDefault="00762BF6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Proposal </w:t>
      </w:r>
      <w:r w:rsidR="005614A0">
        <w:rPr>
          <w:rFonts w:eastAsia="宋体"/>
          <w:b/>
          <w:bCs/>
        </w:rPr>
        <w:t>2a</w:t>
      </w:r>
      <w:r>
        <w:rPr>
          <w:rFonts w:eastAsia="宋体" w:hint="eastAsia"/>
          <w:b/>
          <w:bCs/>
        </w:rPr>
        <w:t>: If option 2 was selected, send an LS to RAN4 to indicate RAN2</w:t>
      </w:r>
      <w:r>
        <w:rPr>
          <w:rFonts w:eastAsia="宋体"/>
          <w:b/>
          <w:bCs/>
        </w:rPr>
        <w:t>’</w:t>
      </w:r>
      <w:r>
        <w:rPr>
          <w:rFonts w:eastAsia="宋体" w:hint="eastAsia"/>
          <w:b/>
          <w:bCs/>
        </w:rPr>
        <w:t>s decision.</w:t>
      </w:r>
    </w:p>
    <w:p w:rsidR="00BD4F3F" w:rsidRDefault="00762BF6">
      <w:pPr>
        <w:pStyle w:val="2"/>
        <w:ind w:left="576" w:hanging="576"/>
        <w:rPr>
          <w:rFonts w:eastAsia="宋体" w:cs="Arial"/>
          <w:b w:val="0"/>
          <w:bCs w:val="0"/>
          <w:color w:val="000000"/>
          <w:szCs w:val="22"/>
          <w:lang w:val="en-US"/>
        </w:rPr>
      </w:pP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lastRenderedPageBreak/>
        <w:t>2.2 Signaling for DL and UL</w:t>
      </w:r>
    </w:p>
    <w:p w:rsidR="00965963" w:rsidRDefault="005614A0" w:rsidP="00965963">
      <w:r>
        <w:t xml:space="preserve">In this sub-chapter, we’d discuss the </w:t>
      </w:r>
      <w:r>
        <w:rPr>
          <w:rFonts w:hint="eastAsia"/>
        </w:rPr>
        <w:t>DL/UL separation</w:t>
      </w:r>
      <w:r>
        <w:t xml:space="preserve">. </w:t>
      </w:r>
      <w:r w:rsidR="00965963">
        <w:t xml:space="preserve">According to the RAN4’s agreement, the BC with band 48 would be kept. For the band 48, the below case 1~7a in Table </w:t>
      </w:r>
      <w:r>
        <w:t>2</w:t>
      </w:r>
      <w:r w:rsidR="00965963">
        <w:t xml:space="preserve"> were included in the latest RAN4 spec. </w:t>
      </w:r>
      <w:r w:rsidR="00965963">
        <w:rPr>
          <w:rFonts w:hint="eastAsia"/>
        </w:rPr>
        <w:t xml:space="preserve">With the legacy signaling, as shown in the </w:t>
      </w:r>
      <w:r w:rsidR="00965963">
        <w:t>T</w:t>
      </w:r>
      <w:r w:rsidR="00965963">
        <w:rPr>
          <w:rFonts w:hint="eastAsia"/>
        </w:rPr>
        <w:t xml:space="preserve">able </w:t>
      </w:r>
      <w:r>
        <w:t>2</w:t>
      </w:r>
      <w:r w:rsidR="00965963">
        <w:rPr>
          <w:rFonts w:hint="eastAsia"/>
        </w:rPr>
        <w:t>, the case 1a/7/7a can</w:t>
      </w:r>
      <w:r w:rsidR="00965963">
        <w:t>’</w:t>
      </w:r>
      <w:r w:rsidR="00965963">
        <w:rPr>
          <w:rFonts w:hint="eastAsia"/>
        </w:rPr>
        <w:t>t be supported by the current signaling for that it supports different contiguous capabilities for the DL and UL.</w:t>
      </w:r>
    </w:p>
    <w:p w:rsidR="00965963" w:rsidRDefault="00965963" w:rsidP="00965963">
      <w:pPr>
        <w:jc w:val="center"/>
        <w:rPr>
          <w:b/>
        </w:rPr>
      </w:pPr>
      <w:r>
        <w:rPr>
          <w:b/>
        </w:rPr>
        <w:t>Table-</w:t>
      </w:r>
      <w:r w:rsidR="005614A0">
        <w:rPr>
          <w:b/>
        </w:rPr>
        <w:t xml:space="preserve">2 </w:t>
      </w:r>
      <w:r>
        <w:rPr>
          <w:b/>
        </w:rPr>
        <w:t>UE capability signaling for different EN-DC configurations</w:t>
      </w:r>
    </w:p>
    <w:tbl>
      <w:tblPr>
        <w:tblW w:w="8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5"/>
        <w:gridCol w:w="1830"/>
        <w:gridCol w:w="1950"/>
        <w:gridCol w:w="3241"/>
      </w:tblGrid>
      <w:tr w:rsidR="00965963" w:rsidTr="005272ED">
        <w:trPr>
          <w:trHeight w:val="795"/>
          <w:jc w:val="center"/>
        </w:trPr>
        <w:tc>
          <w:tcPr>
            <w:tcW w:w="1725" w:type="dxa"/>
            <w:shd w:val="clear" w:color="auto" w:fill="auto"/>
          </w:tcPr>
          <w:p w:rsidR="00965963" w:rsidRDefault="00965963" w:rsidP="005272ED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Case</w:t>
            </w:r>
          </w:p>
        </w:tc>
        <w:tc>
          <w:tcPr>
            <w:tcW w:w="1830" w:type="dxa"/>
            <w:shd w:val="clear" w:color="auto" w:fill="auto"/>
          </w:tcPr>
          <w:p w:rsidR="00965963" w:rsidRDefault="00965963" w:rsidP="005272E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965963" w:rsidRDefault="00965963" w:rsidP="005272E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950" w:type="dxa"/>
          </w:tcPr>
          <w:p w:rsidR="00965963" w:rsidRDefault="00965963" w:rsidP="005272ED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 w:rsidR="00965963" w:rsidRDefault="00965963" w:rsidP="005272ED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  <w:tc>
          <w:tcPr>
            <w:tcW w:w="3241" w:type="dxa"/>
            <w:shd w:val="clear" w:color="auto" w:fill="auto"/>
          </w:tcPr>
          <w:p w:rsidR="00965963" w:rsidRDefault="00965963" w:rsidP="005272ED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Legacy can work?</w:t>
            </w:r>
          </w:p>
        </w:tc>
      </w:tr>
      <w:tr w:rsidR="00965963" w:rsidTr="005272ED">
        <w:trPr>
          <w:trHeight w:val="904"/>
          <w:jc w:val="center"/>
        </w:trPr>
        <w:tc>
          <w:tcPr>
            <w:tcW w:w="1725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30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DC_(n)48DA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950" w:type="dxa"/>
          </w:tcPr>
          <w:p w:rsidR="00965963" w:rsidRDefault="00965963" w:rsidP="005272ED">
            <w:pPr>
              <w:pStyle w:val="TAC"/>
              <w:rPr>
                <w:vertAlign w:val="superscript"/>
                <w:lang w:eastAsia="zh-TW"/>
              </w:rPr>
            </w:pPr>
            <w:r>
              <w:rPr>
                <w:lang w:eastAsia="zh-CN"/>
              </w:rPr>
              <w:t>DC_(n)48AA</w:t>
            </w:r>
            <w:r>
              <w:rPr>
                <w:vertAlign w:val="superscript"/>
                <w:lang w:eastAsia="zh-TW"/>
              </w:rPr>
              <w:t>6</w:t>
            </w:r>
          </w:p>
          <w:p w:rsidR="00965963" w:rsidRDefault="00965963" w:rsidP="005272ED">
            <w:pPr>
              <w:pStyle w:val="TAC"/>
              <w:rPr>
                <w:lang w:eastAsia="zh-TW"/>
              </w:rPr>
            </w:pPr>
          </w:p>
        </w:tc>
        <w:tc>
          <w:tcPr>
            <w:tcW w:w="3241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Yes(Contiguous)</w:t>
            </w:r>
          </w:p>
        </w:tc>
      </w:tr>
      <w:tr w:rsidR="00965963" w:rsidTr="005272ED">
        <w:trPr>
          <w:trHeight w:val="904"/>
          <w:jc w:val="center"/>
        </w:trPr>
        <w:tc>
          <w:tcPr>
            <w:tcW w:w="1725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1a</w:t>
            </w:r>
          </w:p>
        </w:tc>
        <w:tc>
          <w:tcPr>
            <w:tcW w:w="1830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DC_(n)48DA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950" w:type="dxa"/>
          </w:tcPr>
          <w:p w:rsidR="00965963" w:rsidRDefault="00965963" w:rsidP="005272ED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DC_</w:t>
            </w:r>
            <w:r>
              <w:rPr>
                <w:lang w:eastAsia="zh-CN"/>
              </w:rPr>
              <w:t>48A_n48A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241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val="en-US" w:eastAsia="fi-FI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965963" w:rsidTr="005272ED">
        <w:trPr>
          <w:trHeight w:val="456"/>
          <w:jc w:val="center"/>
        </w:trPr>
        <w:tc>
          <w:tcPr>
            <w:tcW w:w="1725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30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DC_(n)48AA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950" w:type="dxa"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DC_(n)48AA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3241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rFonts w:eastAsia="宋体" w:hint="eastAsia"/>
                <w:lang w:val="en-US" w:eastAsia="zh-CN"/>
              </w:rPr>
              <w:t>Yes(Contiguous)</w:t>
            </w:r>
          </w:p>
        </w:tc>
      </w:tr>
      <w:tr w:rsidR="00965963" w:rsidTr="005272ED">
        <w:trPr>
          <w:trHeight w:val="456"/>
          <w:jc w:val="center"/>
        </w:trPr>
        <w:tc>
          <w:tcPr>
            <w:tcW w:w="1725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1830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50" w:type="dxa"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241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rFonts w:eastAsia="宋体" w:hint="eastAsia"/>
                <w:lang w:val="en-US" w:eastAsia="zh-CN"/>
              </w:rPr>
              <w:t>Yes(Non-Contiguous)</w:t>
            </w:r>
          </w:p>
        </w:tc>
      </w:tr>
      <w:tr w:rsidR="00965963" w:rsidTr="005272ED">
        <w:trPr>
          <w:trHeight w:val="456"/>
          <w:jc w:val="center"/>
        </w:trPr>
        <w:tc>
          <w:tcPr>
            <w:tcW w:w="1725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1830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DC_48A-48A_n48A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50" w:type="dxa"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241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rFonts w:eastAsia="宋体" w:hint="eastAsia"/>
                <w:lang w:val="en-US" w:eastAsia="zh-CN"/>
              </w:rPr>
              <w:t>Yes(Non-Contiguous)</w:t>
            </w:r>
          </w:p>
        </w:tc>
      </w:tr>
      <w:tr w:rsidR="00965963" w:rsidTr="005272ED">
        <w:trPr>
          <w:trHeight w:val="456"/>
          <w:jc w:val="center"/>
        </w:trPr>
        <w:tc>
          <w:tcPr>
            <w:tcW w:w="1725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1830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C_n48A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50" w:type="dxa"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241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rFonts w:eastAsia="宋体" w:hint="eastAsia"/>
                <w:lang w:val="en-US" w:eastAsia="zh-CN"/>
              </w:rPr>
              <w:t>Yes(Non-Contiguous)</w:t>
            </w:r>
          </w:p>
        </w:tc>
      </w:tr>
      <w:tr w:rsidR="00965963" w:rsidTr="005272ED">
        <w:trPr>
          <w:trHeight w:val="456"/>
          <w:jc w:val="center"/>
        </w:trPr>
        <w:tc>
          <w:tcPr>
            <w:tcW w:w="1725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1830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</w:t>
            </w:r>
            <w:r>
              <w:rPr>
                <w:lang w:eastAsia="zh-TW"/>
              </w:rPr>
              <w:t>D_n48A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50" w:type="dxa"/>
          </w:tcPr>
          <w:p w:rsidR="00965963" w:rsidRDefault="00965963" w:rsidP="005272E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241" w:type="dxa"/>
            <w:shd w:val="clear" w:color="auto" w:fill="auto"/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rFonts w:eastAsia="宋体" w:hint="eastAsia"/>
                <w:lang w:val="en-US" w:eastAsia="zh-CN"/>
              </w:rPr>
              <w:t>Yes(Non-Contiguous)</w:t>
            </w:r>
          </w:p>
        </w:tc>
      </w:tr>
      <w:tr w:rsidR="00965963" w:rsidTr="005272ED">
        <w:trPr>
          <w:trHeight w:val="413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63" w:rsidRDefault="00965963" w:rsidP="005272E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63" w:rsidRDefault="00965963" w:rsidP="005272ED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63" w:rsidRDefault="00965963" w:rsidP="005272E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965963" w:rsidTr="005272ED">
        <w:trPr>
          <w:trHeight w:val="538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63" w:rsidRDefault="00965963" w:rsidP="005272E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63" w:rsidRDefault="00965963" w:rsidP="005272E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63" w:rsidRDefault="00965963" w:rsidP="005272ED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63" w:rsidRDefault="00965963" w:rsidP="005272ED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</w:tbl>
    <w:p w:rsidR="00BD4F3F" w:rsidRDefault="00762BF6">
      <w:r>
        <w:rPr>
          <w:rFonts w:hint="eastAsia"/>
        </w:rPr>
        <w:t>In [1], it suggested to introduce new capabilities to indicate the contiguous capability for intra-band EN-DC DL and UL separately. Take the above cases as an example:</w:t>
      </w:r>
    </w:p>
    <w:p w:rsidR="00BD4F3F" w:rsidRDefault="00762BF6">
      <w:pPr>
        <w:jc w:val="center"/>
      </w:pPr>
      <w:r>
        <w:rPr>
          <w:rFonts w:hint="eastAsia"/>
        </w:rPr>
        <w:t xml:space="preserve">Table </w:t>
      </w:r>
      <w:r w:rsidR="005614A0">
        <w:t>2</w:t>
      </w:r>
      <w:r>
        <w:rPr>
          <w:rFonts w:hint="eastAsia"/>
        </w:rPr>
        <w:t>:Intra-band EN-DC with New Capability</w:t>
      </w:r>
    </w:p>
    <w:tbl>
      <w:tblPr>
        <w:tblW w:w="9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2"/>
        <w:gridCol w:w="2134"/>
        <w:gridCol w:w="1950"/>
        <w:gridCol w:w="1400"/>
        <w:gridCol w:w="2771"/>
      </w:tblGrid>
      <w:tr w:rsidR="00BD4F3F">
        <w:trPr>
          <w:trHeight w:val="795"/>
          <w:jc w:val="center"/>
        </w:trPr>
        <w:tc>
          <w:tcPr>
            <w:tcW w:w="1012" w:type="dxa"/>
            <w:shd w:val="clear" w:color="auto" w:fill="auto"/>
          </w:tcPr>
          <w:p w:rsidR="00BD4F3F" w:rsidRDefault="00762BF6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Case</w:t>
            </w:r>
          </w:p>
        </w:tc>
        <w:tc>
          <w:tcPr>
            <w:tcW w:w="2134" w:type="dxa"/>
            <w:shd w:val="clear" w:color="auto" w:fill="auto"/>
          </w:tcPr>
          <w:p w:rsidR="00BD4F3F" w:rsidRDefault="00762BF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BD4F3F" w:rsidRDefault="00762BF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950" w:type="dxa"/>
          </w:tcPr>
          <w:p w:rsidR="00BD4F3F" w:rsidRDefault="00762BF6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 w:rsidR="00BD4F3F" w:rsidRDefault="00762BF6">
            <w:pPr>
              <w:pStyle w:val="TAH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  <w:tc>
          <w:tcPr>
            <w:tcW w:w="1400" w:type="dxa"/>
            <w:shd w:val="clear" w:color="auto" w:fill="auto"/>
          </w:tcPr>
          <w:p w:rsidR="00BD4F3F" w:rsidRDefault="00762BF6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Legacy can work?</w:t>
            </w:r>
          </w:p>
        </w:tc>
        <w:tc>
          <w:tcPr>
            <w:tcW w:w="2771" w:type="dxa"/>
            <w:shd w:val="clear" w:color="auto" w:fill="auto"/>
          </w:tcPr>
          <w:p w:rsidR="00BD4F3F" w:rsidRDefault="00762BF6">
            <w:pPr>
              <w:pStyle w:val="TA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New capability</w:t>
            </w:r>
          </w:p>
        </w:tc>
      </w:tr>
      <w:tr w:rsidR="00BD4F3F">
        <w:trPr>
          <w:trHeight w:val="904"/>
          <w:jc w:val="center"/>
        </w:trPr>
        <w:tc>
          <w:tcPr>
            <w:tcW w:w="1012" w:type="dxa"/>
            <w:shd w:val="clear" w:color="auto" w:fill="auto"/>
            <w:noWrap/>
          </w:tcPr>
          <w:p w:rsidR="00BD4F3F" w:rsidRDefault="00762BF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1a</w:t>
            </w:r>
          </w:p>
        </w:tc>
        <w:tc>
          <w:tcPr>
            <w:tcW w:w="2134" w:type="dxa"/>
            <w:shd w:val="clear" w:color="auto" w:fill="auto"/>
            <w:noWrap/>
          </w:tcPr>
          <w:p w:rsidR="00BD4F3F" w:rsidRDefault="00762B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DC_(n)48DA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950" w:type="dxa"/>
          </w:tcPr>
          <w:p w:rsidR="00BD4F3F" w:rsidRDefault="00762BF6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DC_</w:t>
            </w:r>
            <w:r>
              <w:rPr>
                <w:lang w:eastAsia="zh-CN"/>
              </w:rPr>
              <w:t>48A_n48A</w:t>
            </w:r>
            <w:r>
              <w:rPr>
                <w:vertAlign w:val="superscript"/>
                <w:lang w:eastAsia="zh-TW"/>
              </w:rPr>
              <w:t>6</w:t>
            </w:r>
          </w:p>
        </w:tc>
        <w:tc>
          <w:tcPr>
            <w:tcW w:w="1400" w:type="dxa"/>
            <w:shd w:val="clear" w:color="auto" w:fill="auto"/>
            <w:noWrap/>
          </w:tcPr>
          <w:p w:rsidR="00BD4F3F" w:rsidRDefault="00762BF6">
            <w:pPr>
              <w:pStyle w:val="TAC"/>
              <w:rPr>
                <w:lang w:val="en-US" w:eastAsia="fi-FI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2771" w:type="dxa"/>
            <w:shd w:val="clear" w:color="auto" w:fill="auto"/>
            <w:noWrap/>
          </w:tcPr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DL: Contiguous</w:t>
            </w:r>
          </w:p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UL: Non-Contiguous</w:t>
            </w:r>
          </w:p>
        </w:tc>
      </w:tr>
      <w:tr w:rsidR="00BD4F3F">
        <w:trPr>
          <w:trHeight w:val="413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F3F" w:rsidRDefault="00762BF6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3F" w:rsidRDefault="00762BF6">
            <w:pPr>
              <w:pStyle w:val="TAC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(</w:t>
            </w:r>
            <w:r>
              <w:rPr>
                <w:lang w:eastAsia="fi-FI"/>
              </w:rPr>
              <w:t>n)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DL: Contiguous(if Option 2 is selected)</w:t>
            </w:r>
          </w:p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UL: Contiguous</w:t>
            </w:r>
          </w:p>
        </w:tc>
      </w:tr>
      <w:tr w:rsidR="00BD4F3F">
        <w:trPr>
          <w:trHeight w:val="538"/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7a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F3F" w:rsidRDefault="00762BF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DC_48A-(n)48AA</w:t>
            </w:r>
            <w:r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3F" w:rsidRDefault="00762BF6">
            <w:pPr>
              <w:pStyle w:val="TAC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48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48</w:t>
            </w:r>
            <w:r>
              <w:rPr>
                <w:lang w:eastAsia="zh-TW"/>
              </w:rPr>
              <w:t>A</w:t>
            </w:r>
            <w:r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DL: Contiguous(if Option 2 is selected)</w:t>
            </w:r>
          </w:p>
          <w:p w:rsidR="00BD4F3F" w:rsidRDefault="00762BF6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UL: non-Contiguous</w:t>
            </w:r>
          </w:p>
        </w:tc>
      </w:tr>
    </w:tbl>
    <w:p w:rsidR="00BD4F3F" w:rsidRDefault="00762BF6">
      <w:r>
        <w:rPr>
          <w:rFonts w:hint="eastAsia"/>
        </w:rPr>
        <w:t xml:space="preserve">However, no LS was </w:t>
      </w:r>
      <w:r w:rsidR="005614A0">
        <w:t>received</w:t>
      </w:r>
      <w:r>
        <w:rPr>
          <w:rFonts w:hint="eastAsia"/>
        </w:rPr>
        <w:t xml:space="preserve"> from the RAN4. Furthermore, a</w:t>
      </w:r>
      <w:r w:rsidR="005614A0">
        <w:rPr>
          <w:rFonts w:hint="eastAsia"/>
        </w:rPr>
        <w:t>ccording to the RAN4 agreements</w:t>
      </w:r>
      <w:r w:rsidR="005614A0">
        <w:t xml:space="preserve">, </w:t>
      </w:r>
      <w:r>
        <w:t xml:space="preserve">RAN4 </w:t>
      </w:r>
      <w:r w:rsidR="005614A0">
        <w:t xml:space="preserve">will </w:t>
      </w:r>
      <w:r w:rsidR="00854540">
        <w:t>“</w:t>
      </w:r>
      <w:r w:rsidR="005614A0">
        <w:t xml:space="preserve">seek </w:t>
      </w:r>
      <w:r>
        <w:t>the solution to make such band combination workable. Depending on the solution, RAN4 decide how to handle this band combination in the specification.</w:t>
      </w:r>
      <w:r w:rsidR="00854540">
        <w:t xml:space="preserve">” </w:t>
      </w:r>
      <w:r>
        <w:rPr>
          <w:rFonts w:hint="eastAsia"/>
        </w:rPr>
        <w:t>Thus, RAN2 can wait for the RAN4</w:t>
      </w:r>
      <w:r>
        <w:t>’</w:t>
      </w:r>
      <w:r>
        <w:rPr>
          <w:rFonts w:hint="eastAsia"/>
        </w:rPr>
        <w:t>s LS before any new signaling design.</w:t>
      </w:r>
    </w:p>
    <w:p w:rsidR="00BD4F3F" w:rsidRDefault="00762BF6">
      <w:pPr>
        <w:rPr>
          <w:b/>
          <w:bCs/>
        </w:rPr>
      </w:pPr>
      <w:r>
        <w:rPr>
          <w:rFonts w:eastAsia="宋体" w:hint="eastAsia"/>
          <w:b/>
          <w:bCs/>
        </w:rPr>
        <w:t xml:space="preserve">Proposal </w:t>
      </w:r>
      <w:r w:rsidR="00854540">
        <w:rPr>
          <w:rFonts w:eastAsia="宋体"/>
          <w:b/>
          <w:bCs/>
        </w:rPr>
        <w:t>3</w:t>
      </w:r>
      <w:r>
        <w:rPr>
          <w:rFonts w:eastAsia="宋体" w:hint="eastAsia"/>
          <w:b/>
          <w:bCs/>
        </w:rPr>
        <w:t>: Ran2 to wait for RAN4</w:t>
      </w:r>
      <w:r>
        <w:rPr>
          <w:rFonts w:eastAsia="宋体"/>
          <w:b/>
          <w:bCs/>
        </w:rPr>
        <w:t>’</w:t>
      </w:r>
      <w:r>
        <w:rPr>
          <w:rFonts w:eastAsia="宋体" w:hint="eastAsia"/>
          <w:b/>
          <w:bCs/>
        </w:rPr>
        <w:t xml:space="preserve">s LS </w:t>
      </w:r>
      <w:r>
        <w:rPr>
          <w:rFonts w:hint="eastAsia"/>
          <w:b/>
          <w:bCs/>
        </w:rPr>
        <w:t>before introduction of new capability on UL/DL separation.</w:t>
      </w:r>
    </w:p>
    <w:p w:rsidR="00BD4F3F" w:rsidRDefault="00762BF6">
      <w:pPr>
        <w:pStyle w:val="2"/>
        <w:ind w:left="576" w:hanging="576"/>
        <w:rPr>
          <w:rFonts w:eastAsia="宋体" w:cs="Arial"/>
          <w:b w:val="0"/>
          <w:bCs w:val="0"/>
          <w:color w:val="000000"/>
          <w:szCs w:val="22"/>
          <w:lang w:val="en-US"/>
        </w:rPr>
      </w:pP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>2.3 Signaling for the Contiguous Entry</w:t>
      </w:r>
    </w:p>
    <w:p w:rsidR="00BD4F3F" w:rsidRDefault="00762BF6">
      <w:r>
        <w:rPr>
          <w:rFonts w:hint="eastAsia"/>
        </w:rPr>
        <w:t xml:space="preserve">Besides the above DL/UL separation issue, another issue is that for the case </w:t>
      </w:r>
      <w:r w:rsidR="00854540">
        <w:t>with both contiguous and non-contiguous ENDC BC,</w:t>
      </w:r>
      <w:r>
        <w:rPr>
          <w:rFonts w:hint="eastAsia"/>
        </w:rPr>
        <w:t xml:space="preserve"> the network is unable to know which band entry of LTE is contiguous with NR</w:t>
      </w:r>
      <w:r w:rsidR="00854540">
        <w:t xml:space="preserve">. Take the above case </w:t>
      </w:r>
      <w:r w:rsidR="00854540">
        <w:rPr>
          <w:rFonts w:hint="eastAsia"/>
        </w:rPr>
        <w:t>7</w:t>
      </w:r>
      <w:r>
        <w:rPr>
          <w:rFonts w:hint="eastAsia"/>
        </w:rPr>
        <w:t xml:space="preserve">: </w:t>
      </w:r>
      <w:r>
        <w:rPr>
          <w:lang w:eastAsia="fi-FI"/>
        </w:rPr>
        <w:t>DC_48A-(n)48AA</w:t>
      </w:r>
      <w:r>
        <w:rPr>
          <w:vertAlign w:val="superscript"/>
          <w:lang w:eastAsia="zh-TW"/>
        </w:rPr>
        <w:t>3</w:t>
      </w:r>
      <w:r w:rsidR="00854540">
        <w:rPr>
          <w:vertAlign w:val="superscript"/>
        </w:rPr>
        <w:t xml:space="preserve"> </w:t>
      </w:r>
      <w:r w:rsidR="00854540">
        <w:t xml:space="preserve">as an example, </w:t>
      </w:r>
      <w:r>
        <w:rPr>
          <w:rFonts w:hint="eastAsia"/>
        </w:rPr>
        <w:t>there would be 3 band Entries:</w:t>
      </w:r>
    </w:p>
    <w:p w:rsidR="00BD4F3F" w:rsidRDefault="00762BF6">
      <w:pPr>
        <w:numPr>
          <w:ilvl w:val="0"/>
          <w:numId w:val="9"/>
        </w:numPr>
      </w:pPr>
      <w:r>
        <w:rPr>
          <w:rFonts w:hint="eastAsia"/>
        </w:rPr>
        <w:t xml:space="preserve">BandEntrylist[0] =48A;    BandEntrylist[1] =48A;  BandEntrylist[2] =n48A  </w:t>
      </w:r>
    </w:p>
    <w:p w:rsidR="00AB0359" w:rsidRPr="00AB0359" w:rsidRDefault="00AB0359" w:rsidP="00AB0359">
      <w:pPr>
        <w:rPr>
          <w:rFonts w:eastAsia="宋体"/>
        </w:rPr>
      </w:pPr>
      <w:r>
        <w:t>Each</w:t>
      </w:r>
      <w:r>
        <w:rPr>
          <w:rFonts w:hint="eastAsia"/>
        </w:rPr>
        <w:t xml:space="preserve"> band entr</w:t>
      </w:r>
      <w:r>
        <w:t>y</w:t>
      </w:r>
      <w:r>
        <w:rPr>
          <w:rFonts w:hint="eastAsia"/>
        </w:rPr>
        <w:t xml:space="preserve"> </w:t>
      </w:r>
      <w:r w:rsidRPr="00AB0359">
        <w:rPr>
          <w:rFonts w:eastAsia="宋体" w:hint="eastAsia"/>
        </w:rPr>
        <w:t xml:space="preserve">may </w:t>
      </w:r>
      <w:r>
        <w:rPr>
          <w:rFonts w:hint="eastAsia"/>
        </w:rPr>
        <w:t xml:space="preserve">refer to </w:t>
      </w:r>
      <w:r>
        <w:t>a</w:t>
      </w:r>
      <w:r>
        <w:rPr>
          <w:rFonts w:hint="eastAsia"/>
        </w:rPr>
        <w:t xml:space="preserve"> featureset </w:t>
      </w:r>
      <w:r w:rsidRPr="00AB0359">
        <w:rPr>
          <w:rFonts w:eastAsia="宋体" w:hint="eastAsia"/>
        </w:rPr>
        <w:t>e.g.</w:t>
      </w:r>
    </w:p>
    <w:p w:rsidR="00BD4F3F" w:rsidRDefault="00762BF6">
      <w:pPr>
        <w:numPr>
          <w:ilvl w:val="0"/>
          <w:numId w:val="10"/>
        </w:numPr>
      </w:pPr>
      <w:r>
        <w:rPr>
          <w:rFonts w:hint="eastAsia"/>
        </w:rPr>
        <w:t>BandEntrylist[0] =48A   Eutra Featureset 1with MIMO layer = 2, bandwidth = 100M</w:t>
      </w:r>
    </w:p>
    <w:p w:rsidR="00BD4F3F" w:rsidRDefault="00762BF6">
      <w:pPr>
        <w:numPr>
          <w:ilvl w:val="0"/>
          <w:numId w:val="10"/>
        </w:numPr>
      </w:pPr>
      <w:r>
        <w:rPr>
          <w:rFonts w:hint="eastAsia"/>
        </w:rPr>
        <w:t>BandEntrylist[1] =48A   Eutra Featureset 2 with MIMO layer = 4, bandwidth = 30M</w:t>
      </w:r>
    </w:p>
    <w:p w:rsidR="00BD4F3F" w:rsidRDefault="00762BF6">
      <w:pPr>
        <w:numPr>
          <w:ilvl w:val="0"/>
          <w:numId w:val="10"/>
        </w:numPr>
      </w:pPr>
      <w:r>
        <w:rPr>
          <w:rFonts w:hint="eastAsia"/>
        </w:rPr>
        <w:t>BandEntrylist[2] =n48A  NR featureSet  3 with MIMO layer = 2</w:t>
      </w:r>
    </w:p>
    <w:p w:rsidR="00BD4F3F" w:rsidRDefault="00854540">
      <w:r>
        <w:t xml:space="preserve">Then the question is how does the network know which LTE entry is contiguous with NR entry. </w:t>
      </w:r>
      <w:r w:rsidR="00762BF6">
        <w:rPr>
          <w:rFonts w:hint="eastAsia"/>
        </w:rPr>
        <w:t>There would be 3 cases:</w:t>
      </w:r>
    </w:p>
    <w:p w:rsidR="00BD4F3F" w:rsidRDefault="00762BF6">
      <w:pPr>
        <w:numPr>
          <w:ilvl w:val="0"/>
          <w:numId w:val="11"/>
        </w:numPr>
      </w:pPr>
      <w:r>
        <w:rPr>
          <w:rFonts w:hint="eastAsia"/>
        </w:rPr>
        <w:t xml:space="preserve">Case 1: The UE only support contiguous EN-DC with BandEntrylist[0]; </w:t>
      </w:r>
    </w:p>
    <w:p w:rsidR="00BD4F3F" w:rsidRDefault="00762BF6">
      <w:pPr>
        <w:numPr>
          <w:ilvl w:val="0"/>
          <w:numId w:val="11"/>
        </w:numPr>
      </w:pPr>
      <w:r>
        <w:rPr>
          <w:rFonts w:hint="eastAsia"/>
        </w:rPr>
        <w:t xml:space="preserve">Case 2: The UE only support contiguous EN-DC with BandEntrylist[1]; </w:t>
      </w:r>
    </w:p>
    <w:p w:rsidR="00BD4F3F" w:rsidRDefault="00762BF6">
      <w:pPr>
        <w:numPr>
          <w:ilvl w:val="0"/>
          <w:numId w:val="11"/>
        </w:numPr>
      </w:pPr>
      <w:r>
        <w:rPr>
          <w:rFonts w:hint="eastAsia"/>
        </w:rPr>
        <w:t>Case 3: The UE support contiguous EN-DC with BandEntrylist[0] and contiguous EN-DC with BandEntrylist[1]</w:t>
      </w:r>
    </w:p>
    <w:p w:rsidR="00BD4F3F" w:rsidRDefault="00762BF6">
      <w:r>
        <w:rPr>
          <w:rFonts w:hint="eastAsia"/>
        </w:rPr>
        <w:t xml:space="preserve">However, </w:t>
      </w:r>
      <w:r w:rsidR="00854540">
        <w:t>with the current capability signaling</w:t>
      </w:r>
      <w:r>
        <w:rPr>
          <w:rFonts w:hint="eastAsia"/>
        </w:rPr>
        <w:t>, the network doesn</w:t>
      </w:r>
      <w:r>
        <w:t>’</w:t>
      </w:r>
      <w:r>
        <w:rPr>
          <w:rFonts w:hint="eastAsia"/>
        </w:rPr>
        <w:t xml:space="preserve">t know which case is supported by the UE. </w:t>
      </w:r>
    </w:p>
    <w:p w:rsidR="00BD4F3F" w:rsidRDefault="00762BF6">
      <w:pPr>
        <w:rPr>
          <w:b/>
          <w:bCs/>
        </w:rPr>
      </w:pPr>
      <w:r>
        <w:rPr>
          <w:rFonts w:hint="eastAsia"/>
          <w:b/>
          <w:bCs/>
        </w:rPr>
        <w:lastRenderedPageBreak/>
        <w:t>Observation 3: For the BC involves both contiguous and non-contiguous EN-DC, with the current signaling, the network can</w:t>
      </w:r>
      <w:r>
        <w:rPr>
          <w:b/>
          <w:bCs/>
        </w:rPr>
        <w:t>’</w:t>
      </w:r>
      <w:r w:rsidR="005749AF">
        <w:rPr>
          <w:rFonts w:hint="eastAsia"/>
          <w:b/>
          <w:bCs/>
        </w:rPr>
        <w:t xml:space="preserve">t know which LTE band Entry </w:t>
      </w:r>
      <w:r w:rsidR="005749AF">
        <w:rPr>
          <w:b/>
          <w:bCs/>
        </w:rPr>
        <w:t>can be</w:t>
      </w:r>
      <w:bookmarkStart w:id="2" w:name="_GoBack"/>
      <w:bookmarkEnd w:id="2"/>
      <w:r>
        <w:rPr>
          <w:rFonts w:hint="eastAsia"/>
          <w:b/>
          <w:bCs/>
        </w:rPr>
        <w:t xml:space="preserve"> contiguous with NR band entry.</w:t>
      </w:r>
    </w:p>
    <w:p w:rsidR="00BD4F3F" w:rsidRDefault="00762BF6">
      <w:r>
        <w:rPr>
          <w:rFonts w:hint="eastAsia"/>
        </w:rPr>
        <w:t>Thus, from RAN2 aspect, it</w:t>
      </w:r>
      <w:r>
        <w:t>’</w:t>
      </w:r>
      <w:r>
        <w:rPr>
          <w:rFonts w:hint="eastAsia"/>
        </w:rPr>
        <w:t xml:space="preserve">s better for the UE to indicate which LTE band Entry is contiguous with NR band entry. RAN2 can also ask RAN4 </w:t>
      </w:r>
      <w:r w:rsidR="00854540">
        <w:t xml:space="preserve">to confirm </w:t>
      </w:r>
      <w:r>
        <w:rPr>
          <w:rFonts w:hint="eastAsia"/>
        </w:rPr>
        <w:t>this understanding.</w:t>
      </w:r>
    </w:p>
    <w:p w:rsidR="00BD4F3F" w:rsidRDefault="00762BF6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854540">
        <w:rPr>
          <w:b/>
          <w:bCs/>
        </w:rPr>
        <w:t>4</w:t>
      </w:r>
      <w:r>
        <w:rPr>
          <w:rFonts w:hint="eastAsia"/>
          <w:b/>
          <w:bCs/>
        </w:rPr>
        <w:t xml:space="preserve">: From RAN2 aspect, for the case with both contiguous and non-contiguous part, the UE shall indicate which LTE band Entry </w:t>
      </w:r>
      <w:r w:rsidR="00854540">
        <w:rPr>
          <w:b/>
          <w:bCs/>
        </w:rPr>
        <w:t>(or Entries)</w:t>
      </w:r>
      <w:r w:rsidR="00854540">
        <w:rPr>
          <w:rFonts w:hint="eastAsia"/>
          <w:b/>
          <w:bCs/>
        </w:rPr>
        <w:t xml:space="preserve"> </w:t>
      </w:r>
      <w:r w:rsidR="005749AF">
        <w:rPr>
          <w:b/>
          <w:bCs/>
        </w:rPr>
        <w:t>can be</w:t>
      </w:r>
      <w:r>
        <w:rPr>
          <w:rFonts w:hint="eastAsia"/>
          <w:b/>
          <w:bCs/>
        </w:rPr>
        <w:t xml:space="preserve"> contiguous with NR band entry.</w:t>
      </w:r>
    </w:p>
    <w:p w:rsidR="00BD4F3F" w:rsidRDefault="00762BF6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 w:rsidR="00854540">
        <w:rPr>
          <w:b/>
          <w:bCs/>
        </w:rPr>
        <w:t>4</w:t>
      </w:r>
      <w:r>
        <w:rPr>
          <w:rFonts w:hint="eastAsia"/>
          <w:b/>
          <w:bCs/>
        </w:rPr>
        <w:t>a: RAN2 ask RAN4 to confirm RAN2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s understanding in the proposal </w:t>
      </w:r>
      <w:r w:rsidR="00854540">
        <w:rPr>
          <w:b/>
          <w:bCs/>
        </w:rPr>
        <w:t>4</w:t>
      </w:r>
      <w:r>
        <w:rPr>
          <w:rFonts w:hint="eastAsia"/>
          <w:b/>
          <w:bCs/>
        </w:rPr>
        <w:t>.</w:t>
      </w:r>
    </w:p>
    <w:p w:rsidR="00BD4F3F" w:rsidRDefault="00762BF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Conclusion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BD4F3F" w:rsidRDefault="00762BF6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854540" w:rsidRDefault="00854540" w:rsidP="00854540">
      <w:pPr>
        <w:rPr>
          <w:b/>
          <w:bCs/>
        </w:rPr>
      </w:pPr>
      <w:r>
        <w:rPr>
          <w:rFonts w:hint="eastAsia"/>
          <w:b/>
          <w:bCs/>
        </w:rPr>
        <w:t>Observation 1: According to RAN4</w:t>
      </w:r>
      <w:r>
        <w:rPr>
          <w:b/>
          <w:bCs/>
        </w:rPr>
        <w:t>’s</w:t>
      </w:r>
      <w:r>
        <w:rPr>
          <w:rFonts w:hint="eastAsia"/>
          <w:b/>
          <w:bCs/>
        </w:rPr>
        <w:t xml:space="preserve"> </w:t>
      </w:r>
      <w:r w:rsidR="005749AF">
        <w:rPr>
          <w:rFonts w:hint="eastAsia"/>
          <w:b/>
          <w:bCs/>
        </w:rPr>
        <w:t>spec</w:t>
      </w:r>
      <w:r>
        <w:rPr>
          <w:rFonts w:hint="eastAsia"/>
          <w:b/>
          <w:bCs/>
        </w:rPr>
        <w:t xml:space="preserve">, the </w:t>
      </w:r>
      <w:r>
        <w:rPr>
          <w:b/>
          <w:bCs/>
        </w:rPr>
        <w:t>“</w:t>
      </w:r>
      <w:r>
        <w:rPr>
          <w:rFonts w:hint="eastAsia"/>
          <w:b/>
          <w:bCs/>
        </w:rPr>
        <w:t>Both</w:t>
      </w:r>
      <w:r>
        <w:rPr>
          <w:b/>
          <w:bCs/>
        </w:rPr>
        <w:t>”</w:t>
      </w:r>
      <w:r>
        <w:rPr>
          <w:rFonts w:hint="eastAsia"/>
          <w:b/>
          <w:bCs/>
        </w:rPr>
        <w:t xml:space="preserve"> means there are both contiguous and non-contiguous </w:t>
      </w:r>
      <w:r>
        <w:rPr>
          <w:b/>
          <w:bCs/>
        </w:rPr>
        <w:t>ENDC</w:t>
      </w:r>
      <w:r>
        <w:rPr>
          <w:rFonts w:hint="eastAsia"/>
          <w:b/>
          <w:bCs/>
        </w:rPr>
        <w:t xml:space="preserve"> in one BC. </w:t>
      </w:r>
    </w:p>
    <w:p w:rsidR="00854540" w:rsidRDefault="00854540" w:rsidP="00854540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Observation 2: In RAN2, the </w:t>
      </w:r>
      <w:r>
        <w:rPr>
          <w:rFonts w:eastAsia="宋体"/>
          <w:b/>
          <w:bCs/>
        </w:rPr>
        <w:t>“</w:t>
      </w:r>
      <w:r>
        <w:rPr>
          <w:rFonts w:eastAsia="宋体" w:hint="eastAsia"/>
          <w:b/>
          <w:bCs/>
        </w:rPr>
        <w:t>Both</w:t>
      </w:r>
      <w:r>
        <w:rPr>
          <w:rFonts w:eastAsia="宋体"/>
          <w:b/>
          <w:bCs/>
        </w:rPr>
        <w:t>”</w:t>
      </w:r>
      <w:r>
        <w:rPr>
          <w:rFonts w:eastAsia="宋体" w:hint="eastAsia"/>
          <w:b/>
          <w:bCs/>
        </w:rPr>
        <w:t xml:space="preserve"> can be used to indicate both contiguous</w:t>
      </w:r>
      <w:r>
        <w:rPr>
          <w:rFonts w:eastAsia="宋体"/>
          <w:b/>
          <w:bCs/>
        </w:rPr>
        <w:t xml:space="preserve"> BC</w:t>
      </w:r>
      <w:r>
        <w:rPr>
          <w:rFonts w:eastAsia="宋体" w:hint="eastAsia"/>
          <w:b/>
          <w:bCs/>
        </w:rPr>
        <w:t xml:space="preserve"> and non-contiguous BC to save UE capability signaling.</w:t>
      </w:r>
    </w:p>
    <w:p w:rsidR="00854540" w:rsidRDefault="00854540" w:rsidP="00854540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Proposal 1: For the </w:t>
      </w:r>
      <w:r w:rsidRPr="005749AF">
        <w:rPr>
          <w:rFonts w:eastAsia="宋体" w:hint="eastAsia"/>
          <w:b/>
          <w:bCs/>
          <w:i/>
          <w:lang w:eastAsia="ja-JP"/>
        </w:rPr>
        <w:t>intraBandENDC-Support</w:t>
      </w:r>
      <w:r>
        <w:rPr>
          <w:rFonts w:eastAsia="宋体" w:hint="eastAsia"/>
          <w:b/>
          <w:bCs/>
        </w:rPr>
        <w:t xml:space="preserve">, RAN2 to clarify the meaning of </w:t>
      </w:r>
      <w:r>
        <w:rPr>
          <w:rFonts w:eastAsia="宋体"/>
          <w:b/>
          <w:bCs/>
        </w:rPr>
        <w:t>“</w:t>
      </w:r>
      <w:r>
        <w:rPr>
          <w:rFonts w:eastAsia="宋体" w:hint="eastAsia"/>
          <w:b/>
          <w:bCs/>
        </w:rPr>
        <w:t>Both</w:t>
      </w:r>
      <w:r>
        <w:rPr>
          <w:rFonts w:eastAsia="宋体"/>
          <w:b/>
          <w:bCs/>
        </w:rPr>
        <w:t>”</w:t>
      </w:r>
      <w:r>
        <w:rPr>
          <w:rFonts w:eastAsia="宋体" w:hint="eastAsia"/>
          <w:b/>
          <w:bCs/>
        </w:rPr>
        <w:t xml:space="preserve"> first:</w:t>
      </w:r>
    </w:p>
    <w:p w:rsidR="00854540" w:rsidRPr="005614A0" w:rsidRDefault="00854540" w:rsidP="00854540">
      <w:pPr>
        <w:pStyle w:val="afe"/>
        <w:numPr>
          <w:ilvl w:val="0"/>
          <w:numId w:val="13"/>
        </w:numPr>
        <w:ind w:firstLineChars="0"/>
        <w:rPr>
          <w:b/>
          <w:bCs/>
        </w:rPr>
      </w:pPr>
      <w:r w:rsidRPr="005614A0">
        <w:rPr>
          <w:rFonts w:hint="eastAsia"/>
          <w:b/>
          <w:bCs/>
        </w:rPr>
        <w:t xml:space="preserve">Option 1: </w:t>
      </w:r>
      <w:r w:rsidRPr="005614A0">
        <w:rPr>
          <w:b/>
          <w:bCs/>
        </w:rPr>
        <w:t>“</w:t>
      </w:r>
      <w:r w:rsidRPr="005614A0">
        <w:rPr>
          <w:rFonts w:hint="eastAsia"/>
          <w:b/>
          <w:bCs/>
        </w:rPr>
        <w:t>Both</w:t>
      </w:r>
      <w:r w:rsidRPr="005614A0">
        <w:rPr>
          <w:b/>
          <w:bCs/>
        </w:rPr>
        <w:t>”</w:t>
      </w:r>
      <w:r w:rsidRPr="005614A0">
        <w:rPr>
          <w:rFonts w:hint="eastAsia"/>
          <w:b/>
          <w:bCs/>
        </w:rPr>
        <w:t xml:space="preserve"> means there are both contiguous and non-contiguous </w:t>
      </w:r>
      <w:r>
        <w:rPr>
          <w:b/>
          <w:bCs/>
        </w:rPr>
        <w:t>ENDC</w:t>
      </w:r>
      <w:r w:rsidRPr="005614A0">
        <w:rPr>
          <w:rFonts w:hint="eastAsia"/>
          <w:b/>
          <w:bCs/>
        </w:rPr>
        <w:t xml:space="preserve"> in one BC. </w:t>
      </w:r>
    </w:p>
    <w:p w:rsidR="00854540" w:rsidRPr="005614A0" w:rsidRDefault="00854540" w:rsidP="00854540">
      <w:pPr>
        <w:pStyle w:val="afe"/>
        <w:numPr>
          <w:ilvl w:val="0"/>
          <w:numId w:val="13"/>
        </w:numPr>
        <w:ind w:firstLineChars="0"/>
        <w:rPr>
          <w:rFonts w:eastAsia="宋体"/>
          <w:b/>
          <w:bCs/>
        </w:rPr>
      </w:pPr>
      <w:r w:rsidRPr="005614A0">
        <w:rPr>
          <w:rFonts w:hint="eastAsia"/>
          <w:b/>
          <w:bCs/>
        </w:rPr>
        <w:t xml:space="preserve">Option 2: </w:t>
      </w:r>
      <w:r w:rsidRPr="005614A0">
        <w:rPr>
          <w:b/>
          <w:bCs/>
        </w:rPr>
        <w:t>“</w:t>
      </w:r>
      <w:r w:rsidRPr="005614A0">
        <w:rPr>
          <w:rFonts w:hint="eastAsia"/>
          <w:b/>
          <w:bCs/>
        </w:rPr>
        <w:t>Both</w:t>
      </w:r>
      <w:r w:rsidRPr="005614A0">
        <w:rPr>
          <w:b/>
          <w:bCs/>
        </w:rPr>
        <w:t>”</w:t>
      </w:r>
      <w:r w:rsidRPr="005614A0">
        <w:rPr>
          <w:rFonts w:hint="eastAsia"/>
          <w:b/>
          <w:bCs/>
        </w:rPr>
        <w:t xml:space="preserve"> means </w:t>
      </w:r>
      <w:r w:rsidRPr="005614A0">
        <w:rPr>
          <w:rFonts w:eastAsia="宋体" w:hint="eastAsia"/>
          <w:b/>
          <w:bCs/>
        </w:rPr>
        <w:t xml:space="preserve">both contiguous </w:t>
      </w:r>
      <w:r>
        <w:rPr>
          <w:rFonts w:eastAsia="宋体"/>
          <w:b/>
          <w:bCs/>
        </w:rPr>
        <w:t xml:space="preserve">BC </w:t>
      </w:r>
      <w:r w:rsidRPr="005614A0">
        <w:rPr>
          <w:rFonts w:eastAsia="宋体" w:hint="eastAsia"/>
          <w:b/>
          <w:bCs/>
        </w:rPr>
        <w:t>and non-contiguous BC with the same band Entries are supported.</w:t>
      </w:r>
    </w:p>
    <w:p w:rsidR="00854540" w:rsidRPr="00854540" w:rsidRDefault="00854540" w:rsidP="00854540">
      <w:pPr>
        <w:rPr>
          <w:rFonts w:eastAsia="宋体"/>
          <w:b/>
          <w:bCs/>
        </w:rPr>
      </w:pPr>
      <w:r w:rsidRPr="00854540">
        <w:rPr>
          <w:rFonts w:eastAsia="宋体" w:hint="eastAsia"/>
          <w:b/>
          <w:bCs/>
        </w:rPr>
        <w:t>Proposal 2: Option 2</w:t>
      </w:r>
      <w:r w:rsidRPr="00854540">
        <w:rPr>
          <w:rFonts w:eastAsia="宋体"/>
          <w:b/>
          <w:bCs/>
        </w:rPr>
        <w:t xml:space="preserve"> (i.e.</w:t>
      </w:r>
      <w:r>
        <w:rPr>
          <w:rFonts w:eastAsia="宋体"/>
          <w:b/>
          <w:bCs/>
        </w:rPr>
        <w:t xml:space="preserve"> </w:t>
      </w:r>
      <w:r w:rsidRPr="00854540">
        <w:rPr>
          <w:b/>
          <w:bCs/>
        </w:rPr>
        <w:t>“</w:t>
      </w:r>
      <w:r w:rsidRPr="00854540">
        <w:rPr>
          <w:rFonts w:hint="eastAsia"/>
          <w:b/>
          <w:bCs/>
        </w:rPr>
        <w:t>Both</w:t>
      </w:r>
      <w:r w:rsidRPr="00854540">
        <w:rPr>
          <w:b/>
          <w:bCs/>
        </w:rPr>
        <w:t>”</w:t>
      </w:r>
      <w:r w:rsidRPr="00854540">
        <w:rPr>
          <w:rFonts w:hint="eastAsia"/>
          <w:b/>
          <w:bCs/>
        </w:rPr>
        <w:t xml:space="preserve"> means </w:t>
      </w:r>
      <w:r w:rsidRPr="00854540">
        <w:rPr>
          <w:rFonts w:eastAsia="宋体" w:hint="eastAsia"/>
          <w:b/>
          <w:bCs/>
        </w:rPr>
        <w:t xml:space="preserve">both contiguous </w:t>
      </w:r>
      <w:r w:rsidRPr="00854540">
        <w:rPr>
          <w:rFonts w:eastAsia="宋体"/>
          <w:b/>
          <w:bCs/>
        </w:rPr>
        <w:t xml:space="preserve">BC </w:t>
      </w:r>
      <w:r w:rsidRPr="00854540">
        <w:rPr>
          <w:rFonts w:eastAsia="宋体" w:hint="eastAsia"/>
          <w:b/>
          <w:bCs/>
        </w:rPr>
        <w:t>and non-contiguous BC with the same band Entries are supported</w:t>
      </w:r>
      <w:r w:rsidRPr="00854540">
        <w:rPr>
          <w:rFonts w:eastAsia="宋体"/>
          <w:b/>
          <w:bCs/>
        </w:rPr>
        <w:t>)</w:t>
      </w:r>
      <w:r w:rsidR="005749AF">
        <w:rPr>
          <w:rFonts w:eastAsia="宋体" w:hint="eastAsia"/>
          <w:b/>
          <w:bCs/>
        </w:rPr>
        <w:t xml:space="preserve"> is more </w:t>
      </w:r>
      <w:r w:rsidR="005749AF">
        <w:rPr>
          <w:rFonts w:eastAsia="宋体"/>
          <w:b/>
          <w:bCs/>
        </w:rPr>
        <w:t>e</w:t>
      </w:r>
      <w:r w:rsidRPr="00854540">
        <w:rPr>
          <w:rFonts w:eastAsia="宋体" w:hint="eastAsia"/>
          <w:b/>
          <w:bCs/>
        </w:rPr>
        <w:t>ffective from signaling overhead aspect.</w:t>
      </w:r>
    </w:p>
    <w:p w:rsidR="00854540" w:rsidRPr="00854540" w:rsidRDefault="00854540" w:rsidP="00854540">
      <w:pPr>
        <w:rPr>
          <w:rFonts w:eastAsia="宋体"/>
          <w:b/>
          <w:bCs/>
        </w:rPr>
      </w:pPr>
      <w:r w:rsidRPr="00854540">
        <w:rPr>
          <w:rFonts w:eastAsia="宋体" w:hint="eastAsia"/>
          <w:b/>
          <w:bCs/>
        </w:rPr>
        <w:t xml:space="preserve">Proposal </w:t>
      </w:r>
      <w:r w:rsidRPr="00854540">
        <w:rPr>
          <w:rFonts w:eastAsia="宋体"/>
          <w:b/>
          <w:bCs/>
        </w:rPr>
        <w:t>2a</w:t>
      </w:r>
      <w:r w:rsidRPr="00854540">
        <w:rPr>
          <w:rFonts w:eastAsia="宋体" w:hint="eastAsia"/>
          <w:b/>
          <w:bCs/>
        </w:rPr>
        <w:t>: If option 2 was selected, send an LS to RAN4 to indicate RAN2</w:t>
      </w:r>
      <w:r w:rsidRPr="00854540">
        <w:rPr>
          <w:rFonts w:eastAsia="宋体"/>
          <w:b/>
          <w:bCs/>
        </w:rPr>
        <w:t>’</w:t>
      </w:r>
      <w:r w:rsidRPr="00854540">
        <w:rPr>
          <w:rFonts w:eastAsia="宋体" w:hint="eastAsia"/>
          <w:b/>
          <w:bCs/>
        </w:rPr>
        <w:t>s decision.</w:t>
      </w:r>
    </w:p>
    <w:p w:rsidR="00854540" w:rsidRDefault="00854540" w:rsidP="00854540">
      <w:pPr>
        <w:rPr>
          <w:b/>
          <w:bCs/>
        </w:rPr>
      </w:pPr>
      <w:r>
        <w:rPr>
          <w:rFonts w:eastAsia="宋体" w:hint="eastAsia"/>
          <w:b/>
          <w:bCs/>
        </w:rPr>
        <w:t xml:space="preserve">Proposal </w:t>
      </w:r>
      <w:r>
        <w:rPr>
          <w:rFonts w:eastAsia="宋体"/>
          <w:b/>
          <w:bCs/>
        </w:rPr>
        <w:t>3</w:t>
      </w:r>
      <w:r>
        <w:rPr>
          <w:rFonts w:eastAsia="宋体" w:hint="eastAsia"/>
          <w:b/>
          <w:bCs/>
        </w:rPr>
        <w:t>: Ran2 to wait for RAN4</w:t>
      </w:r>
      <w:r>
        <w:rPr>
          <w:rFonts w:eastAsia="宋体"/>
          <w:b/>
          <w:bCs/>
        </w:rPr>
        <w:t>’</w:t>
      </w:r>
      <w:r>
        <w:rPr>
          <w:rFonts w:eastAsia="宋体" w:hint="eastAsia"/>
          <w:b/>
          <w:bCs/>
        </w:rPr>
        <w:t xml:space="preserve">s LS </w:t>
      </w:r>
      <w:r>
        <w:rPr>
          <w:rFonts w:hint="eastAsia"/>
          <w:b/>
          <w:bCs/>
        </w:rPr>
        <w:t>before introduction of new capability on UL/DL separation.</w:t>
      </w:r>
    </w:p>
    <w:p w:rsidR="00854540" w:rsidRDefault="00854540" w:rsidP="00854540">
      <w:pPr>
        <w:rPr>
          <w:b/>
          <w:bCs/>
        </w:rPr>
      </w:pPr>
      <w:r>
        <w:rPr>
          <w:rFonts w:hint="eastAsia"/>
          <w:b/>
          <w:bCs/>
        </w:rPr>
        <w:t>Observation 3: For the BC involves both contiguous and non-contiguous EN-DC, with the current signaling, the network can</w:t>
      </w:r>
      <w:r>
        <w:rPr>
          <w:b/>
          <w:bCs/>
        </w:rPr>
        <w:t>’</w:t>
      </w:r>
      <w:r>
        <w:rPr>
          <w:rFonts w:hint="eastAsia"/>
          <w:b/>
          <w:bCs/>
        </w:rPr>
        <w:t>t know which LTE band Entry</w:t>
      </w:r>
      <w:r w:rsidR="005749AF">
        <w:rPr>
          <w:rFonts w:hint="eastAsia"/>
          <w:b/>
          <w:bCs/>
        </w:rPr>
        <w:t xml:space="preserve"> </w:t>
      </w:r>
      <w:r w:rsidR="005749AF">
        <w:rPr>
          <w:b/>
          <w:bCs/>
        </w:rPr>
        <w:t>can be</w:t>
      </w:r>
      <w:r>
        <w:rPr>
          <w:rFonts w:hint="eastAsia"/>
          <w:b/>
          <w:bCs/>
        </w:rPr>
        <w:t xml:space="preserve"> contiguous with NR band entry.</w:t>
      </w:r>
    </w:p>
    <w:p w:rsidR="00854540" w:rsidRDefault="00854540" w:rsidP="00854540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4</w:t>
      </w:r>
      <w:r>
        <w:rPr>
          <w:rFonts w:hint="eastAsia"/>
          <w:b/>
          <w:bCs/>
        </w:rPr>
        <w:t>: From RAN2 aspect, for the case with both contiguous and non-contiguous part, the UE shall indicate which LTE band Entry</w:t>
      </w:r>
      <w:r>
        <w:rPr>
          <w:b/>
          <w:bCs/>
        </w:rPr>
        <w:t xml:space="preserve"> (or Entries)</w:t>
      </w:r>
      <w:r>
        <w:rPr>
          <w:rFonts w:hint="eastAsia"/>
          <w:b/>
          <w:bCs/>
        </w:rPr>
        <w:t xml:space="preserve"> </w:t>
      </w:r>
      <w:r w:rsidR="005749AF">
        <w:rPr>
          <w:b/>
          <w:bCs/>
        </w:rPr>
        <w:t>can be</w:t>
      </w:r>
      <w:r>
        <w:rPr>
          <w:rFonts w:hint="eastAsia"/>
          <w:b/>
          <w:bCs/>
        </w:rPr>
        <w:t xml:space="preserve"> contiguous with NR band entry.</w:t>
      </w:r>
    </w:p>
    <w:p w:rsidR="00854540" w:rsidRPr="00854540" w:rsidRDefault="00854540" w:rsidP="00854540"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4</w:t>
      </w:r>
      <w:r>
        <w:rPr>
          <w:rFonts w:hint="eastAsia"/>
          <w:b/>
          <w:bCs/>
        </w:rPr>
        <w:t>a: RAN2 ask RAN4 to confirm RAN2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s understanding in the proposal </w:t>
      </w:r>
      <w:r>
        <w:rPr>
          <w:b/>
          <w:bCs/>
        </w:rPr>
        <w:t>4</w:t>
      </w:r>
      <w:r>
        <w:rPr>
          <w:rFonts w:hint="eastAsia"/>
          <w:b/>
          <w:bCs/>
        </w:rPr>
        <w:t>.</w:t>
      </w:r>
    </w:p>
    <w:p w:rsidR="00BD4F3F" w:rsidRDefault="00762BF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BD4F3F" w:rsidRDefault="00762BF6">
      <w:pPr>
        <w:numPr>
          <w:ilvl w:val="0"/>
          <w:numId w:val="12"/>
        </w:numPr>
      </w:pPr>
      <w:r>
        <w:rPr>
          <w:rFonts w:cs="Arial"/>
        </w:rPr>
        <w:t>RP-222646</w:t>
      </w:r>
      <w:r>
        <w:rPr>
          <w:rFonts w:cs="Arial" w:hint="eastAsia"/>
        </w:rPr>
        <w:t xml:space="preserve">  </w:t>
      </w:r>
      <w:r>
        <w:rPr>
          <w:rFonts w:cs="Arial"/>
        </w:rPr>
        <w:t xml:space="preserve">Discussion on intra-band EN-DC combination. </w:t>
      </w:r>
      <w:r>
        <w:rPr>
          <w:rFonts w:cs="Arial" w:hint="eastAsia"/>
        </w:rPr>
        <w:t xml:space="preserve">  </w:t>
      </w:r>
      <w:r>
        <w:rPr>
          <w:rFonts w:cs="Arial"/>
        </w:rPr>
        <w:t>Huawei, HiSilicon.</w:t>
      </w:r>
    </w:p>
    <w:p w:rsidR="00BD4F3F" w:rsidRDefault="00762BF6">
      <w:pPr>
        <w:numPr>
          <w:ilvl w:val="0"/>
          <w:numId w:val="12"/>
        </w:numPr>
        <w:rPr>
          <w:rFonts w:cs="Arial"/>
        </w:rPr>
      </w:pPr>
      <w:r>
        <w:rPr>
          <w:rFonts w:cs="Arial" w:hint="eastAsia"/>
        </w:rPr>
        <w:t>R2-2210538</w:t>
      </w:r>
      <w:r>
        <w:rPr>
          <w:rFonts w:cs="Arial" w:hint="eastAsia"/>
        </w:rPr>
        <w:tab/>
        <w:t>Discussion on intra-band EN-DC combination</w:t>
      </w:r>
      <w:r>
        <w:rPr>
          <w:rFonts w:cs="Arial" w:hint="eastAsia"/>
        </w:rPr>
        <w:tab/>
        <w:t>Huawei, HiSilicon</w:t>
      </w:r>
      <w:r>
        <w:rPr>
          <w:rFonts w:cs="Arial" w:hint="eastAsia"/>
        </w:rPr>
        <w:tab/>
        <w:t>discussion</w:t>
      </w:r>
      <w:r>
        <w:rPr>
          <w:rFonts w:cs="Arial" w:hint="eastAsia"/>
        </w:rPr>
        <w:tab/>
        <w:t>TEI17</w:t>
      </w:r>
    </w:p>
    <w:p w:rsidR="00BD4F3F" w:rsidRDefault="00762BF6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  <w:lang w:val="en-GB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Annex</w:t>
      </w:r>
    </w:p>
    <w:p w:rsidR="00BD4F3F" w:rsidRPr="00854540" w:rsidRDefault="00762BF6">
      <w:pPr>
        <w:pStyle w:val="TH"/>
        <w:rPr>
          <w:color w:val="auto"/>
        </w:rPr>
      </w:pPr>
      <w:r w:rsidRPr="00854540">
        <w:rPr>
          <w:color w:val="auto"/>
        </w:rPr>
        <w:t>Table 5.3B.1.3-2: EN-DC configurations and bandwidth combination sets defined for intra-band EN-DC mixed intra-band contiguous 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BD4F3F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E-UTRA – NR configuration / Bandwidth combination set</w:t>
            </w:r>
          </w:p>
        </w:tc>
      </w:tr>
      <w:tr w:rsidR="00BD4F3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Downlink</w:t>
            </w:r>
          </w:p>
          <w:p w:rsidR="00BD4F3F" w:rsidRDefault="00762BF6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 xml:space="preserve">Maximum aggregated </w:t>
            </w:r>
            <w:r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>
              <w:rPr>
                <w:lang w:eastAsia="en-GB"/>
              </w:rPr>
              <w:t>Bandwidth combination set</w:t>
            </w:r>
          </w:p>
        </w:tc>
      </w:tr>
      <w:tr w:rsidR="00BD4F3F">
        <w:trPr>
          <w:trHeight w:val="18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3F" w:rsidRDefault="00BD4F3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3F" w:rsidRDefault="00BD4F3F">
            <w:pPr>
              <w:pStyle w:val="TAC"/>
              <w:rPr>
                <w:rFonts w:ascii="CG Times (WN)" w:eastAsia="Times New Roman" w:hAnsi="CG Times (WN)"/>
                <w:lang w:val="en-US"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3F" w:rsidRDefault="00BD4F3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3F" w:rsidRDefault="00BD4F3F">
            <w:pPr>
              <w:pStyle w:val="TAC"/>
              <w:rPr>
                <w:rFonts w:ascii="CG Times (WN)" w:eastAsia="Times New Roman" w:hAnsi="CG Times (WN)"/>
                <w:lang w:val="en-US" w:eastAsia="zh-CN"/>
              </w:rPr>
            </w:pPr>
          </w:p>
        </w:tc>
      </w:tr>
      <w:tr w:rsidR="00BD4F3F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DC_48A-(n)48AA</w:t>
            </w:r>
            <w:r>
              <w:rPr>
                <w:vertAlign w:val="superscript"/>
                <w:lang w:eastAsia="zh-TW"/>
              </w:rPr>
              <w:t>4,5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DC_(n)48AA</w:t>
            </w:r>
            <w:r>
              <w:rPr>
                <w:vertAlign w:val="superscript"/>
                <w:lang w:eastAsia="zh-TW"/>
              </w:rPr>
              <w:t>2</w:t>
            </w:r>
          </w:p>
          <w:p w:rsidR="00BD4F3F" w:rsidRDefault="00762BF6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DC_48A_n48A</w:t>
            </w:r>
            <w:r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lang w:eastAsia="en-GB"/>
              </w:rPr>
            </w:pPr>
            <w:r>
              <w:rPr>
                <w:szCs w:val="18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BD4F3F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BD4F3F">
        <w:trPr>
          <w:trHeight w:val="187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BD4F3F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BD4F3F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BD4F3F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BD4F3F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BD4F3F">
            <w:pPr>
              <w:pStyle w:val="TAC"/>
              <w:rPr>
                <w:lang w:eastAsia="zh-CN"/>
              </w:rPr>
            </w:pPr>
          </w:p>
        </w:tc>
      </w:tr>
      <w:tr w:rsidR="00BD4F3F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F3F" w:rsidRDefault="00762BF6">
            <w:pPr>
              <w:pStyle w:val="TAN"/>
            </w:pPr>
            <w:r>
              <w:t>NOTE 1:</w:t>
            </w:r>
            <w:r>
              <w:tab/>
              <w:t>Void.</w:t>
            </w:r>
          </w:p>
          <w:p w:rsidR="00BD4F3F" w:rsidRDefault="00762BF6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2:</w:t>
            </w:r>
            <w:r>
              <w:tab/>
            </w:r>
            <w:r>
              <w:rPr>
                <w:rFonts w:eastAsia="PMingLiU"/>
                <w:lang w:eastAsia="zh-TW"/>
              </w:rPr>
              <w:t>Only single switched UL is supported.</w:t>
            </w:r>
          </w:p>
          <w:p w:rsidR="00BD4F3F" w:rsidRDefault="00762BF6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3:</w:t>
            </w:r>
            <w:r>
              <w:tab/>
            </w:r>
            <w:r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:rsidR="00BD4F3F" w:rsidRDefault="00762BF6">
            <w:pPr>
              <w:pStyle w:val="TAN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NOTE 4:</w:t>
            </w:r>
            <w:r>
              <w:tab/>
            </w:r>
            <w:r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  <w:p w:rsidR="00BD4F3F" w:rsidRDefault="00762BF6">
            <w:pPr>
              <w:pStyle w:val="TAN"/>
              <w:rPr>
                <w:lang w:eastAsia="zh-CN"/>
              </w:rPr>
            </w:pPr>
            <w:r>
              <w:rPr>
                <w:rFonts w:eastAsia="PMingLiU"/>
                <w:color w:val="FF0000"/>
                <w:lang w:eastAsia="zh-TW"/>
              </w:rPr>
              <w:t>NOTE 5: The UE supporting these configurations mixed intra-band continuous and non-continuous ENDC with at most two sub-blocks containing more than two component carriers indicates ‘both’ by IE intraBandENDC-Support.</w:t>
            </w:r>
          </w:p>
        </w:tc>
      </w:tr>
    </w:tbl>
    <w:p w:rsidR="00BD4F3F" w:rsidRDefault="00BD4F3F">
      <w:pPr>
        <w:rPr>
          <w:lang w:val="en-GB"/>
        </w:rPr>
      </w:pPr>
    </w:p>
    <w:p w:rsidR="00BD4F3F" w:rsidRDefault="00BD4F3F">
      <w:pPr>
        <w:rPr>
          <w:lang w:val="en-GB"/>
        </w:rPr>
      </w:pPr>
    </w:p>
    <w:sectPr w:rsidR="00BD4F3F">
      <w:headerReference w:type="default" r:id="rId9"/>
      <w:footerReference w:type="default" r:id="rId1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399" w:rsidRDefault="00B01399">
      <w:pPr>
        <w:spacing w:line="240" w:lineRule="auto"/>
      </w:pPr>
      <w:r>
        <w:separator/>
      </w:r>
    </w:p>
  </w:endnote>
  <w:endnote w:type="continuationSeparator" w:id="0">
    <w:p w:rsidR="00B01399" w:rsidRDefault="00B013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F3F" w:rsidRDefault="00BD4F3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399" w:rsidRDefault="00B01399">
      <w:pPr>
        <w:spacing w:after="0"/>
      </w:pPr>
      <w:r>
        <w:separator/>
      </w:r>
    </w:p>
  </w:footnote>
  <w:footnote w:type="continuationSeparator" w:id="0">
    <w:p w:rsidR="00B01399" w:rsidRDefault="00B013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F3F" w:rsidRDefault="00BD4F3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166F51B"/>
    <w:multiLevelType w:val="singleLevel"/>
    <w:tmpl w:val="9166F51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CBECE6D"/>
    <w:multiLevelType w:val="singleLevel"/>
    <w:tmpl w:val="ACBECE6D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E2620BAF"/>
    <w:multiLevelType w:val="singleLevel"/>
    <w:tmpl w:val="E2620BAF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DCE3A10"/>
    <w:multiLevelType w:val="multilevel"/>
    <w:tmpl w:val="0DCE3A1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EF245E6"/>
    <w:multiLevelType w:val="singleLevel"/>
    <w:tmpl w:val="1EF245E6"/>
    <w:lvl w:ilvl="0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</w:abstractNum>
  <w:abstractNum w:abstractNumId="7" w15:restartNumberingAfterBreak="0">
    <w:nsid w:val="23466D87"/>
    <w:multiLevelType w:val="hybridMultilevel"/>
    <w:tmpl w:val="5D4817BA"/>
    <w:lvl w:ilvl="0" w:tplc="0409000B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454"/>
        </w:tabs>
        <w:ind w:left="720" w:hanging="7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869A1"/>
    <w:multiLevelType w:val="singleLevel"/>
    <w:tmpl w:val="352869A1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10" w15:restartNumberingAfterBreak="0">
    <w:nsid w:val="3F72899C"/>
    <w:multiLevelType w:val="singleLevel"/>
    <w:tmpl w:val="3F72899C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2"/>
  </w:num>
  <w:num w:numId="3">
    <w:abstractNumId w:val="11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2"/>
  </w:num>
  <w:num w:numId="10">
    <w:abstractNumId w:val="1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14A0"/>
    <w:rsid w:val="005657FC"/>
    <w:rsid w:val="00567054"/>
    <w:rsid w:val="00567A9A"/>
    <w:rsid w:val="00570FEC"/>
    <w:rsid w:val="00571A8C"/>
    <w:rsid w:val="0057377D"/>
    <w:rsid w:val="005749AF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28C7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2BF6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4540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5963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359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1399"/>
    <w:rsid w:val="00B025A0"/>
    <w:rsid w:val="00B029C1"/>
    <w:rsid w:val="00B03E14"/>
    <w:rsid w:val="00B043DA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4F3F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F86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A177C5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0C5E57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660AB7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B446AD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2F91026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DE42F7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64CFD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B5B08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6B0B29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AB6680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238FF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0024A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D10F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72630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F06A16-0160-4935-A890-5CD4B171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DF8A53-452D-44C4-AB2B-A9297F370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1811</Words>
  <Characters>10327</Characters>
  <Application>Microsoft Office Word</Application>
  <DocSecurity>0</DocSecurity>
  <Lines>86</Lines>
  <Paragraphs>24</Paragraphs>
  <ScaleCrop>false</ScaleCrop>
  <Company>www.zte.com.cn</Company>
  <LinksUpToDate>false</LinksUpToDate>
  <CharactersWithSpaces>12114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8</cp:revision>
  <cp:lastPrinted>2113-01-01T00:00:00Z</cp:lastPrinted>
  <dcterms:created xsi:type="dcterms:W3CDTF">2022-08-10T06:25:00Z</dcterms:created>
  <dcterms:modified xsi:type="dcterms:W3CDTF">2022-11-04T08:44:00Z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