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D91" w:rsidRDefault="00B24AED">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w:t>
      </w:r>
      <w:r>
        <w:rPr>
          <w:rFonts w:eastAsia="宋体" w:hint="eastAsia"/>
          <w:b/>
          <w:szCs w:val="22"/>
          <w:lang w:val="en-US" w:eastAsia="zh-CN" w:bidi="ar"/>
        </w:rPr>
        <w:t>20</w:t>
      </w:r>
      <w:r>
        <w:rPr>
          <w:rFonts w:eastAsia="宋体"/>
          <w:b/>
          <w:szCs w:val="22"/>
          <w:lang w:val="en-US" w:eastAsia="zh-CN" w:bidi="ar"/>
        </w:rPr>
        <w:tab/>
        <w:t>R2-22</w:t>
      </w:r>
      <w:r>
        <w:rPr>
          <w:rFonts w:eastAsia="宋体" w:hint="eastAsia"/>
          <w:b/>
          <w:szCs w:val="22"/>
          <w:lang w:val="en-US" w:eastAsia="zh-CN" w:bidi="ar"/>
        </w:rPr>
        <w:t>12742</w:t>
      </w:r>
    </w:p>
    <w:p w:rsidR="00F81D91" w:rsidRDefault="00B24AED">
      <w:pPr>
        <w:pStyle w:val="af3"/>
        <w:tabs>
          <w:tab w:val="right" w:pos="9645"/>
        </w:tabs>
        <w:spacing w:before="0" w:beforeAutospacing="0" w:after="0" w:afterAutospacing="0"/>
        <w:jc w:val="both"/>
        <w:rPr>
          <w:b/>
          <w:szCs w:val="22"/>
          <w:lang w:val="en-US" w:eastAsia="zh-CN"/>
        </w:rPr>
      </w:pPr>
      <w:r>
        <w:rPr>
          <w:rFonts w:eastAsia="宋体" w:hint="eastAsia"/>
          <w:b/>
          <w:szCs w:val="22"/>
          <w:lang w:val="en-US" w:eastAsia="zh-CN" w:bidi="ar"/>
        </w:rPr>
        <w:t>Nov</w:t>
      </w:r>
      <w:r>
        <w:rPr>
          <w:rFonts w:eastAsia="宋体"/>
          <w:b/>
          <w:szCs w:val="22"/>
          <w:lang w:val="en-US" w:eastAsia="zh-CN" w:bidi="ar"/>
        </w:rPr>
        <w:t xml:space="preserve"> </w:t>
      </w:r>
      <w:r>
        <w:rPr>
          <w:rFonts w:eastAsia="宋体" w:hint="eastAsia"/>
          <w:b/>
          <w:szCs w:val="22"/>
          <w:lang w:val="en-US" w:eastAsia="zh-CN" w:bidi="ar"/>
        </w:rPr>
        <w:t>14</w:t>
      </w:r>
      <w:r>
        <w:rPr>
          <w:rFonts w:eastAsia="宋体"/>
          <w:b/>
          <w:szCs w:val="22"/>
          <w:lang w:val="de" w:eastAsia="zh-CN" w:bidi="ar"/>
        </w:rPr>
        <w:t xml:space="preserve">th – </w:t>
      </w:r>
      <w:r>
        <w:rPr>
          <w:rFonts w:eastAsia="宋体" w:hint="eastAsia"/>
          <w:b/>
          <w:szCs w:val="22"/>
          <w:lang w:val="en-US" w:eastAsia="zh-CN" w:bidi="ar"/>
        </w:rPr>
        <w:t>18</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r>
        <w:rPr>
          <w:rFonts w:eastAsia="宋体" w:hint="eastAsia"/>
          <w:b/>
          <w:szCs w:val="22"/>
          <w:lang w:val="en-US" w:eastAsia="zh-CN" w:bidi="ar"/>
        </w:rPr>
        <w:t xml:space="preserve"> Toulouse FR</w:t>
      </w:r>
    </w:p>
    <w:p w:rsidR="00F81D91" w:rsidRDefault="00F81D91">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F81D91" w:rsidRDefault="00B24AE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F81D91" w:rsidRPr="00BF46B8" w:rsidRDefault="00B24AED">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sidRPr="00BF46B8">
        <w:rPr>
          <w:rFonts w:ascii="Arial" w:hAnsi="Arial" w:cs="Arial" w:hint="eastAsia"/>
          <w:b/>
          <w:bCs/>
          <w:snapToGrid w:val="0"/>
          <w:kern w:val="0"/>
          <w:sz w:val="24"/>
        </w:rPr>
        <w:t xml:space="preserve">Further Consideration on the IDC </w:t>
      </w:r>
      <w:r>
        <w:rPr>
          <w:rFonts w:ascii="Arial" w:hAnsi="Arial" w:cs="Arial" w:hint="eastAsia"/>
          <w:b/>
          <w:bCs/>
          <w:snapToGrid w:val="0"/>
          <w:kern w:val="0"/>
          <w:sz w:val="24"/>
        </w:rPr>
        <w:t>T</w:t>
      </w:r>
      <w:r w:rsidRPr="00BF46B8">
        <w:rPr>
          <w:rFonts w:ascii="Arial" w:hAnsi="Arial" w:cs="Arial" w:hint="eastAsia"/>
          <w:b/>
          <w:bCs/>
          <w:snapToGrid w:val="0"/>
          <w:kern w:val="0"/>
          <w:sz w:val="24"/>
        </w:rPr>
        <w:t>DM solutions</w:t>
      </w:r>
    </w:p>
    <w:p w:rsidR="00F81D91" w:rsidRDefault="00B24AED">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BF46B8">
        <w:rPr>
          <w:rFonts w:ascii="Arial" w:hAnsi="Arial" w:cs="Arial"/>
          <w:b/>
          <w:bCs/>
          <w:snapToGrid w:val="0"/>
          <w:kern w:val="0"/>
          <w:sz w:val="24"/>
        </w:rPr>
        <w:t>8.10.3</w:t>
      </w:r>
    </w:p>
    <w:p w:rsidR="00F81D91" w:rsidRDefault="00B24AED">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81D91" w:rsidRDefault="00B24AE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pPr>
      <w:r>
        <w:rPr>
          <w:rFonts w:ascii="Arial" w:hAnsi="Arial" w:cs="Arial"/>
          <w:b w:val="0"/>
          <w:bCs w:val="0"/>
          <w:kern w:val="0"/>
          <w:sz w:val="32"/>
          <w:szCs w:val="36"/>
        </w:rPr>
        <w:t>Introductio</w:t>
      </w:r>
      <w:r>
        <w:rPr>
          <w:rFonts w:ascii="Arial" w:hAnsi="Arial" w:cs="Arial" w:hint="eastAsia"/>
          <w:b w:val="0"/>
          <w:bCs w:val="0"/>
          <w:kern w:val="0"/>
          <w:sz w:val="32"/>
          <w:szCs w:val="36"/>
        </w:rPr>
        <w:t>n</w:t>
      </w:r>
    </w:p>
    <w:p w:rsidR="00F81D91" w:rsidRDefault="00B24AED">
      <w:r>
        <w:rPr>
          <w:rFonts w:hint="eastAsia"/>
        </w:rPr>
        <w:t>In the last meeting, some agreements were achieved for the IDC TDM solutions.</w:t>
      </w:r>
    </w:p>
    <w:tbl>
      <w:tblPr>
        <w:tblStyle w:val="af5"/>
        <w:tblW w:w="0" w:type="auto"/>
        <w:tblLook w:val="04A0" w:firstRow="1" w:lastRow="0" w:firstColumn="1" w:lastColumn="0" w:noHBand="0" w:noVBand="1"/>
      </w:tblPr>
      <w:tblGrid>
        <w:gridCol w:w="9771"/>
      </w:tblGrid>
      <w:tr w:rsidR="00F81D91">
        <w:tc>
          <w:tcPr>
            <w:tcW w:w="0" w:type="auto"/>
          </w:tcPr>
          <w:p w:rsidR="00F81D91" w:rsidRDefault="00B24AED" w:rsidP="00BF46B8">
            <w:pPr>
              <w:spacing w:after="0" w:line="240" w:lineRule="exact"/>
              <w:ind w:left="420" w:hangingChars="200" w:hanging="420"/>
              <w:rPr>
                <w:szCs w:val="21"/>
              </w:rPr>
            </w:pPr>
            <w:r>
              <w:rPr>
                <w:rFonts w:hint="eastAsia"/>
                <w:szCs w:val="21"/>
              </w:rPr>
              <w:t xml:space="preserve">=&gt; </w:t>
            </w:r>
            <w:r>
              <w:rPr>
                <w:szCs w:val="21"/>
              </w:rPr>
              <w:t>The use cases (e.g. BT voice, BT eSCO and WLAN beacon) as described in 3GPP TR 36.816 for LTE TDM solutions are considered for developing the Rel-18 IDC TDM solution in RAN2.</w:t>
            </w:r>
          </w:p>
          <w:p w:rsidR="00F81D91" w:rsidRDefault="00B24AED" w:rsidP="00BF46B8">
            <w:pPr>
              <w:spacing w:after="0" w:line="240" w:lineRule="exact"/>
              <w:ind w:left="420" w:hangingChars="200" w:hanging="420"/>
              <w:rPr>
                <w:szCs w:val="21"/>
              </w:rPr>
            </w:pPr>
            <w:r>
              <w:rPr>
                <w:rFonts w:hint="eastAsia"/>
                <w:szCs w:val="21"/>
              </w:rPr>
              <w:t xml:space="preserve">=&gt; </w:t>
            </w:r>
            <w:r>
              <w:rPr>
                <w:szCs w:val="21"/>
              </w:rPr>
              <w:t>Rel-18 IDC TDM solution(s) targets at the adjacent channel interference issue and the intermodulation distortion interference issue, as LTE.</w:t>
            </w:r>
          </w:p>
          <w:p w:rsidR="00F81D91" w:rsidRDefault="00B24AED" w:rsidP="00BF46B8">
            <w:pPr>
              <w:spacing w:after="0" w:line="240" w:lineRule="exact"/>
              <w:ind w:left="420" w:hangingChars="200" w:hanging="420"/>
              <w:rPr>
                <w:szCs w:val="21"/>
              </w:rPr>
            </w:pPr>
            <w:r>
              <w:rPr>
                <w:rFonts w:hint="eastAsia"/>
                <w:szCs w:val="21"/>
              </w:rPr>
              <w:t xml:space="preserve">=&gt; </w:t>
            </w:r>
            <w:r>
              <w:rPr>
                <w:szCs w:val="21"/>
              </w:rPr>
              <w:t xml:space="preserve">As the baseline, the UE reports the TDM assistance information </w:t>
            </w:r>
            <w:r w:rsidR="00BF46B8">
              <w:rPr>
                <w:szCs w:val="21"/>
              </w:rPr>
              <w:t>for IDC affected frequency list</w:t>
            </w:r>
            <w:r>
              <w:rPr>
                <w:szCs w:val="21"/>
              </w:rPr>
              <w:t xml:space="preserve">, as LTE. </w:t>
            </w:r>
          </w:p>
          <w:p w:rsidR="00F81D91" w:rsidRDefault="00B24AED" w:rsidP="00BF46B8">
            <w:pPr>
              <w:spacing w:after="0" w:line="240" w:lineRule="exact"/>
              <w:ind w:left="420" w:hangingChars="200" w:hanging="420"/>
              <w:rPr>
                <w:szCs w:val="21"/>
              </w:rPr>
            </w:pPr>
            <w:r>
              <w:rPr>
                <w:rFonts w:hint="eastAsia"/>
                <w:szCs w:val="21"/>
              </w:rPr>
              <w:t xml:space="preserve">=&gt; </w:t>
            </w:r>
            <w:r>
              <w:rPr>
                <w:szCs w:val="21"/>
              </w:rPr>
              <w:t>Candidate solution TDM:</w:t>
            </w:r>
          </w:p>
          <w:p w:rsidR="00F81D91" w:rsidRDefault="00B24AED" w:rsidP="00A9277E">
            <w:pPr>
              <w:spacing w:after="0" w:line="240" w:lineRule="exact"/>
              <w:ind w:leftChars="100" w:left="420" w:hangingChars="100" w:hanging="210"/>
              <w:rPr>
                <w:szCs w:val="21"/>
              </w:rPr>
            </w:pPr>
            <w:r>
              <w:rPr>
                <w:szCs w:val="21"/>
              </w:rPr>
              <w:t>-DRX solution; -MUSIM gap like solution; -UL and/or DL transmission occasion(s);-Autonomous denial solution;</w:t>
            </w:r>
          </w:p>
          <w:p w:rsidR="00F81D91" w:rsidRDefault="00B24AED" w:rsidP="00A9277E">
            <w:pPr>
              <w:spacing w:after="0" w:line="240" w:lineRule="exact"/>
              <w:ind w:left="420" w:hangingChars="200" w:hanging="420"/>
              <w:rPr>
                <w:szCs w:val="21"/>
              </w:rPr>
            </w:pPr>
            <w:r>
              <w:rPr>
                <w:rFonts w:hint="eastAsia"/>
                <w:szCs w:val="21"/>
              </w:rPr>
              <w:t xml:space="preserve">=&gt; </w:t>
            </w:r>
            <w:r>
              <w:rPr>
                <w:szCs w:val="21"/>
              </w:rPr>
              <w:t xml:space="preserve">RAN2 consider “hardware sharing indication” is out of scope. Company should bring this to RANP if want to support it. </w:t>
            </w:r>
          </w:p>
        </w:tc>
      </w:tr>
    </w:tbl>
    <w:p w:rsidR="00F81D91" w:rsidRDefault="00B24AED">
      <w:r>
        <w:rPr>
          <w:rFonts w:hint="eastAsia"/>
        </w:rPr>
        <w:t>About the candidate</w:t>
      </w:r>
      <w:r w:rsidR="00BF46B8">
        <w:rPr>
          <w:rFonts w:hint="eastAsia"/>
        </w:rPr>
        <w:t xml:space="preserve"> TDM solutions, there is also a</w:t>
      </w:r>
      <w:r>
        <w:rPr>
          <w:rFonts w:hint="eastAsia"/>
        </w:rPr>
        <w:t xml:space="preserve"> post meeting email discussion. According to the email discussion, the most controversial part is whether the DRX based or MUSIM alike scheme is more suitable. In this paper, we share our views on these 2 solutions.</w:t>
      </w:r>
    </w:p>
    <w:p w:rsidR="00F81D91" w:rsidRDefault="00B24AE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81D91" w:rsidRDefault="00B24AED">
      <w:pPr>
        <w:widowControl/>
        <w:overflowPunct w:val="0"/>
        <w:autoSpaceDE w:val="0"/>
        <w:autoSpaceDN w:val="0"/>
        <w:adjustRightInd w:val="0"/>
        <w:spacing w:after="180" w:line="240" w:lineRule="auto"/>
        <w:textAlignment w:val="baseline"/>
      </w:pPr>
      <w:r>
        <w:rPr>
          <w:rFonts w:hint="eastAsia"/>
        </w:rPr>
        <w:t>In this chapter, we compare the</w:t>
      </w:r>
      <w:r w:rsidR="00BF46B8">
        <w:t>se</w:t>
      </w:r>
      <w:r>
        <w:rPr>
          <w:rFonts w:hint="eastAsia"/>
        </w:rPr>
        <w:t xml:space="preserve"> 2 </w:t>
      </w:r>
      <w:r w:rsidR="00BF46B8">
        <w:t xml:space="preserve">solutions </w:t>
      </w:r>
      <w:r>
        <w:rPr>
          <w:rFonts w:hint="eastAsia"/>
        </w:rPr>
        <w:t xml:space="preserve">from the UE assistance information </w:t>
      </w:r>
      <w:r w:rsidR="00BF46B8">
        <w:t>and</w:t>
      </w:r>
      <w:r>
        <w:rPr>
          <w:rFonts w:hint="eastAsia"/>
        </w:rPr>
        <w:t xml:space="preserve"> t</w:t>
      </w:r>
      <w:r w:rsidR="00BF46B8">
        <w:rPr>
          <w:rFonts w:hint="eastAsia"/>
        </w:rPr>
        <w:t>he network configuration aspect</w:t>
      </w:r>
      <w:r w:rsidR="00BF46B8">
        <w:t>s respectively.</w:t>
      </w:r>
    </w:p>
    <w:p w:rsidR="00F81D91" w:rsidRDefault="00B24AED">
      <w:pPr>
        <w:pStyle w:val="2"/>
        <w:rPr>
          <w:lang w:val="en-US"/>
        </w:rPr>
      </w:pPr>
      <w:r>
        <w:t>2.</w:t>
      </w:r>
      <w:r>
        <w:rPr>
          <w:rFonts w:eastAsia="宋体" w:hint="eastAsia"/>
          <w:lang w:val="en-US"/>
        </w:rPr>
        <w:t>1 TDM assistance information reporting</w:t>
      </w:r>
    </w:p>
    <w:p w:rsidR="00F81D91" w:rsidRDefault="00B24AED">
      <w:pPr>
        <w:widowControl/>
        <w:overflowPunct w:val="0"/>
        <w:autoSpaceDE w:val="0"/>
        <w:autoSpaceDN w:val="0"/>
        <w:adjustRightInd w:val="0"/>
        <w:spacing w:after="180" w:line="240" w:lineRule="auto"/>
        <w:textAlignment w:val="baseline"/>
      </w:pPr>
      <w:r>
        <w:rPr>
          <w:rFonts w:hint="eastAsia"/>
        </w:rPr>
        <w:t xml:space="preserve">In the post </w:t>
      </w:r>
      <w:r w:rsidR="00BF46B8">
        <w:t xml:space="preserve">meeting </w:t>
      </w:r>
      <w:r>
        <w:rPr>
          <w:rFonts w:hint="eastAsia"/>
        </w:rPr>
        <w:t xml:space="preserve">email discussion, the Asn.1 coding for the DRX and MUSIM alike </w:t>
      </w:r>
      <w:r w:rsidR="00BF46B8">
        <w:t>solution</w:t>
      </w:r>
      <w:r>
        <w:rPr>
          <w:rFonts w:hint="eastAsia"/>
        </w:rPr>
        <w:t xml:space="preserve"> is as below.</w:t>
      </w:r>
    </w:p>
    <w:tbl>
      <w:tblPr>
        <w:tblStyle w:val="af5"/>
        <w:tblW w:w="0" w:type="auto"/>
        <w:tblLayout w:type="fixed"/>
        <w:tblLook w:val="04A0" w:firstRow="1" w:lastRow="0" w:firstColumn="1" w:lastColumn="0" w:noHBand="0" w:noVBand="1"/>
      </w:tblPr>
      <w:tblGrid>
        <w:gridCol w:w="4668"/>
        <w:gridCol w:w="5329"/>
      </w:tblGrid>
      <w:tr w:rsidR="00F81D91">
        <w:tc>
          <w:tcPr>
            <w:tcW w:w="4668" w:type="dxa"/>
          </w:tcPr>
          <w:p w:rsidR="00F81D91" w:rsidRDefault="00B24AED">
            <w:pPr>
              <w:widowControl/>
              <w:overflowPunct w:val="0"/>
              <w:autoSpaceDE w:val="0"/>
              <w:autoSpaceDN w:val="0"/>
              <w:adjustRightInd w:val="0"/>
              <w:spacing w:after="180" w:line="240" w:lineRule="auto"/>
              <w:jc w:val="center"/>
              <w:textAlignment w:val="baseline"/>
            </w:pPr>
            <w:r>
              <w:rPr>
                <w:rFonts w:hint="eastAsia"/>
              </w:rPr>
              <w:t>DRX</w:t>
            </w:r>
          </w:p>
        </w:tc>
        <w:tc>
          <w:tcPr>
            <w:tcW w:w="5329" w:type="dxa"/>
          </w:tcPr>
          <w:p w:rsidR="00F81D91" w:rsidRDefault="00B24AED">
            <w:pPr>
              <w:widowControl/>
              <w:overflowPunct w:val="0"/>
              <w:autoSpaceDE w:val="0"/>
              <w:autoSpaceDN w:val="0"/>
              <w:adjustRightInd w:val="0"/>
              <w:spacing w:after="180" w:line="240" w:lineRule="auto"/>
              <w:jc w:val="center"/>
              <w:textAlignment w:val="baseline"/>
            </w:pPr>
            <w:r>
              <w:rPr>
                <w:rFonts w:hint="eastAsia"/>
              </w:rPr>
              <w:t>MUSIM alike</w:t>
            </w:r>
          </w:p>
        </w:tc>
      </w:tr>
      <w:tr w:rsidR="00F81D91">
        <w:tc>
          <w:tcPr>
            <w:tcW w:w="4668" w:type="dxa"/>
          </w:tcPr>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DRX-AssistanceInfo-r18 ::=              </w:t>
            </w:r>
            <w:r>
              <w:rPr>
                <w:rFonts w:ascii="Times New Roman" w:hAnsi="Times New Roman"/>
                <w:color w:val="993366"/>
                <w:sz w:val="18"/>
                <w:szCs w:val="18"/>
              </w:rPr>
              <w:t>SEQUENCE</w:t>
            </w:r>
            <w:r>
              <w:rPr>
                <w:rFonts w:ascii="Times New Roman" w:hAnsi="Times New Roman"/>
                <w:sz w:val="18"/>
                <w:szCs w:val="18"/>
              </w:rPr>
              <w:t xml:space="preserve"> {</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 </w:t>
            </w:r>
            <w:r>
              <w:rPr>
                <w:rFonts w:ascii="Times New Roman" w:hAnsi="Times New Roman"/>
                <w:b/>
                <w:bCs/>
                <w:color w:val="7030A0"/>
                <w:sz w:val="18"/>
                <w:szCs w:val="18"/>
              </w:rPr>
              <w:t xml:space="preserve">   drx-LongCycleStartOffset  </w:t>
            </w:r>
            <w:r>
              <w:rPr>
                <w:rFonts w:ascii="Times New Roman" w:hAnsi="Times New Roman"/>
                <w:sz w:val="18"/>
                <w:szCs w:val="18"/>
              </w:rPr>
              <w:t xml:space="preserve">          </w:t>
            </w:r>
            <w:r>
              <w:rPr>
                <w:rFonts w:ascii="Times New Roman" w:hAnsi="Times New Roman"/>
                <w:color w:val="993366"/>
                <w:sz w:val="18"/>
                <w:szCs w:val="18"/>
              </w:rPr>
              <w:t>CHOICE</w:t>
            </w:r>
            <w:r>
              <w:rPr>
                <w:rFonts w:ascii="Times New Roman" w:hAnsi="Times New Roman"/>
                <w:sz w:val="18"/>
                <w:szCs w:val="18"/>
              </w:rPr>
              <w:t xml:space="preserve"> {</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        ms10    </w:t>
            </w:r>
            <w:r>
              <w:rPr>
                <w:rFonts w:ascii="Times New Roman" w:eastAsia="宋体" w:hAnsi="Times New Roman"/>
                <w:sz w:val="18"/>
                <w:szCs w:val="18"/>
                <w:lang w:eastAsia="zh-CN"/>
              </w:rPr>
              <w:t xml:space="preserve"> INTEGER</w:t>
            </w:r>
            <w:r>
              <w:rPr>
                <w:rFonts w:ascii="Times New Roman" w:hAnsi="Times New Roman"/>
                <w:sz w:val="18"/>
                <w:szCs w:val="18"/>
              </w:rPr>
              <w:t>(0..9),</w:t>
            </w:r>
          </w:p>
          <w:p w:rsidR="00F81D91" w:rsidRDefault="00B24AED">
            <w:pPr>
              <w:pStyle w:val="PL"/>
              <w:spacing w:after="0" w:line="260" w:lineRule="auto"/>
              <w:rPr>
                <w:rFonts w:ascii="Times New Roman" w:hAnsi="Times New Roman"/>
                <w:sz w:val="18"/>
                <w:szCs w:val="18"/>
                <w:lang w:val="sv-SE"/>
              </w:rPr>
            </w:pPr>
            <w:r>
              <w:rPr>
                <w:rFonts w:ascii="Times New Roman" w:hAnsi="Times New Roman"/>
                <w:sz w:val="18"/>
                <w:szCs w:val="18"/>
              </w:rPr>
              <w:t xml:space="preserve">        </w:t>
            </w:r>
            <w:r>
              <w:rPr>
                <w:rFonts w:ascii="Times New Roman" w:hAnsi="Times New Roman"/>
                <w:sz w:val="18"/>
                <w:szCs w:val="18"/>
                <w:lang w:val="sv-SE"/>
              </w:rPr>
              <w:t xml:space="preserve">ms20    </w:t>
            </w:r>
            <w:r>
              <w:rPr>
                <w:rFonts w:ascii="Times New Roman" w:eastAsia="宋体" w:hAnsi="Times New Roman"/>
                <w:sz w:val="18"/>
                <w:szCs w:val="18"/>
                <w:lang w:val="sv-SE" w:eastAsia="zh-CN"/>
              </w:rPr>
              <w:t xml:space="preserve"> INTEGER</w:t>
            </w:r>
            <w:r>
              <w:rPr>
                <w:rFonts w:ascii="Times New Roman" w:hAnsi="Times New Roman"/>
                <w:sz w:val="18"/>
                <w:szCs w:val="18"/>
                <w:lang w:val="sv-SE"/>
              </w:rPr>
              <w:t>(0..19),</w:t>
            </w:r>
          </w:p>
          <w:p w:rsidR="00F81D91" w:rsidRDefault="00B24AED">
            <w:pPr>
              <w:pStyle w:val="PL"/>
              <w:spacing w:after="0" w:line="260" w:lineRule="auto"/>
              <w:rPr>
                <w:rFonts w:ascii="Times New Roman" w:eastAsia="宋体" w:hAnsi="Times New Roman"/>
                <w:sz w:val="18"/>
                <w:szCs w:val="18"/>
                <w:lang w:eastAsia="zh-CN"/>
              </w:rPr>
            </w:pPr>
            <w:r>
              <w:rPr>
                <w:rFonts w:ascii="Times New Roman" w:hAnsi="Times New Roman"/>
                <w:sz w:val="18"/>
                <w:szCs w:val="18"/>
                <w:lang w:val="sv-SE"/>
              </w:rPr>
              <w:t xml:space="preserve">       </w:t>
            </w:r>
            <w:r>
              <w:rPr>
                <w:rFonts w:ascii="Times New Roman" w:eastAsia="宋体" w:hAnsi="Times New Roman"/>
                <w:sz w:val="18"/>
                <w:szCs w:val="18"/>
                <w:lang w:eastAsia="zh-CN"/>
              </w:rPr>
              <w:t>....</w:t>
            </w:r>
          </w:p>
          <w:p w:rsidR="00F81D91" w:rsidRDefault="00B24AED">
            <w:pPr>
              <w:pStyle w:val="PL"/>
              <w:spacing w:after="0" w:line="260" w:lineRule="auto"/>
              <w:rPr>
                <w:rFonts w:ascii="Times New Roman" w:hAnsi="Times New Roman"/>
                <w:sz w:val="18"/>
                <w:szCs w:val="18"/>
                <w:lang w:val="sv-SE"/>
              </w:rPr>
            </w:pPr>
            <w:r>
              <w:rPr>
                <w:rFonts w:ascii="Times New Roman" w:hAnsi="Times New Roman"/>
                <w:sz w:val="18"/>
                <w:szCs w:val="18"/>
                <w:lang w:val="sv-SE"/>
              </w:rPr>
              <w:t xml:space="preserve">        ms10240 </w:t>
            </w:r>
            <w:r>
              <w:rPr>
                <w:rFonts w:ascii="Times New Roman" w:eastAsia="宋体" w:hAnsi="Times New Roman"/>
                <w:sz w:val="18"/>
                <w:szCs w:val="18"/>
                <w:lang w:val="sv-SE" w:eastAsia="zh-CN"/>
              </w:rPr>
              <w:t xml:space="preserve"> INTEGER</w:t>
            </w:r>
            <w:r>
              <w:rPr>
                <w:rFonts w:ascii="Times New Roman" w:hAnsi="Times New Roman"/>
                <w:sz w:val="18"/>
                <w:szCs w:val="18"/>
                <w:lang w:val="sv-SE"/>
              </w:rPr>
              <w:t>(0..10239)    },</w:t>
            </w:r>
          </w:p>
          <w:p w:rsidR="00F81D91" w:rsidRDefault="00B24AED">
            <w:pPr>
              <w:pStyle w:val="PL"/>
              <w:spacing w:after="0" w:line="260" w:lineRule="auto"/>
              <w:ind w:firstLine="312"/>
              <w:rPr>
                <w:rFonts w:ascii="Times New Roman" w:hAnsi="Times New Roman"/>
                <w:sz w:val="18"/>
                <w:szCs w:val="18"/>
                <w:lang w:val="sv-SE"/>
              </w:rPr>
            </w:pPr>
            <w:r>
              <w:rPr>
                <w:rFonts w:ascii="Times New Roman" w:hAnsi="Times New Roman"/>
                <w:sz w:val="18"/>
                <w:szCs w:val="18"/>
                <w:lang w:val="sv-SE"/>
              </w:rPr>
              <w:t>drx-SlotOffset-r18  INTEGER (0..31),</w:t>
            </w:r>
          </w:p>
          <w:p w:rsidR="00F81D91" w:rsidRDefault="00B24AED">
            <w:pPr>
              <w:pStyle w:val="PL"/>
              <w:spacing w:after="0" w:line="260" w:lineRule="auto"/>
              <w:ind w:firstLine="312"/>
              <w:rPr>
                <w:rFonts w:ascii="Times New Roman" w:hAnsi="Times New Roman"/>
                <w:sz w:val="18"/>
                <w:szCs w:val="18"/>
              </w:rPr>
            </w:pPr>
            <w:r>
              <w:rPr>
                <w:rFonts w:ascii="Times New Roman" w:hAnsi="Times New Roman"/>
                <w:b/>
                <w:bCs/>
                <w:color w:val="7030A0"/>
                <w:sz w:val="18"/>
                <w:szCs w:val="18"/>
              </w:rPr>
              <w:lastRenderedPageBreak/>
              <w:t>drx-ActiveTime-r1</w:t>
            </w:r>
            <w:r>
              <w:rPr>
                <w:rFonts w:ascii="Times New Roman" w:hAnsi="Times New Roman"/>
                <w:b/>
                <w:bCs/>
                <w:color w:val="7030A0"/>
                <w:sz w:val="18"/>
                <w:szCs w:val="18"/>
                <w14:textFill>
                  <w14:gradFill>
                    <w14:gsLst>
                      <w14:gs w14:pos="0">
                        <w14:srgbClr w14:val="7B32B2"/>
                      </w14:gs>
                      <w14:gs w14:pos="100000">
                        <w14:srgbClr w14:val="401A5D"/>
                      </w14:gs>
                    </w14:gsLst>
                    <w14:lin w14:ang="0" w14:scaled="0"/>
                  </w14:gradFill>
                </w14:textFill>
              </w:rPr>
              <w:t xml:space="preserve">8 </w:t>
            </w:r>
            <w:r>
              <w:rPr>
                <w:rFonts w:ascii="Times New Roman" w:hAnsi="Times New Roman"/>
                <w:sz w:val="18"/>
                <w:szCs w:val="18"/>
              </w:rPr>
              <w:t xml:space="preserve">   </w:t>
            </w:r>
            <w:r>
              <w:rPr>
                <w:rFonts w:ascii="Times New Roman" w:hAnsi="Times New Roman"/>
                <w:color w:val="993366"/>
                <w:sz w:val="18"/>
                <w:szCs w:val="18"/>
              </w:rPr>
              <w:t>CHOICE</w:t>
            </w:r>
            <w:r>
              <w:rPr>
                <w:rFonts w:ascii="Times New Roman" w:hAnsi="Times New Roman"/>
                <w:sz w:val="18"/>
                <w:szCs w:val="18"/>
              </w:rPr>
              <w:t xml:space="preserve"> {</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        subMilliSeconds </w:t>
            </w:r>
            <w:r>
              <w:rPr>
                <w:rFonts w:ascii="Times New Roman" w:hAnsi="Times New Roman"/>
                <w:color w:val="993366"/>
                <w:sz w:val="18"/>
                <w:szCs w:val="18"/>
              </w:rPr>
              <w:t>INTEGER</w:t>
            </w:r>
            <w:r>
              <w:rPr>
                <w:rFonts w:ascii="Times New Roman" w:hAnsi="Times New Roman"/>
                <w:sz w:val="18"/>
                <w:szCs w:val="18"/>
              </w:rPr>
              <w:t xml:space="preserve"> (1..31),</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        milliSeconds    </w:t>
            </w:r>
            <w:r>
              <w:rPr>
                <w:rFonts w:ascii="Times New Roman" w:hAnsi="Times New Roman"/>
                <w:color w:val="993366"/>
                <w:sz w:val="18"/>
                <w:szCs w:val="18"/>
              </w:rPr>
              <w:t>ENUMERATED</w:t>
            </w:r>
            <w:r>
              <w:rPr>
                <w:rFonts w:ascii="Times New Roman" w:hAnsi="Times New Roman"/>
                <w:sz w:val="18"/>
                <w:szCs w:val="18"/>
              </w:rPr>
              <w:t xml:space="preserve"> {ms1, ms2, ms3, ms4, ms5, ms6, ms8, ms10, ms20, ms30, ms40, ms50, ms60, ms80, ms100, ms200, ms300, ms400, ms500, ms600, ms800, ms1000, ms1200, ms1600, spare8, spare7, spare6, spare5, spare4, spare3, spare2,spare1 }    }}</w:t>
            </w:r>
          </w:p>
          <w:p w:rsidR="00F81D91" w:rsidRDefault="00F81D91">
            <w:pPr>
              <w:widowControl/>
              <w:overflowPunct w:val="0"/>
              <w:autoSpaceDE w:val="0"/>
              <w:autoSpaceDN w:val="0"/>
              <w:adjustRightInd w:val="0"/>
              <w:spacing w:after="180" w:line="240" w:lineRule="auto"/>
              <w:textAlignment w:val="baseline"/>
              <w:rPr>
                <w:sz w:val="18"/>
                <w:szCs w:val="18"/>
              </w:rPr>
            </w:pPr>
          </w:p>
        </w:tc>
        <w:tc>
          <w:tcPr>
            <w:tcW w:w="5329" w:type="dxa"/>
          </w:tcPr>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lastRenderedPageBreak/>
              <w:t xml:space="preserve">MUSIM-GapPreferenceList-r17 ::= </w:t>
            </w:r>
            <w:r>
              <w:rPr>
                <w:rFonts w:ascii="Times New Roman" w:hAnsi="Times New Roman"/>
                <w:color w:val="993366"/>
                <w:sz w:val="18"/>
                <w:szCs w:val="18"/>
              </w:rPr>
              <w:t>SEQUENCE</w:t>
            </w:r>
            <w:r>
              <w:rPr>
                <w:rFonts w:ascii="Times New Roman" w:hAnsi="Times New Roman"/>
                <w:sz w:val="18"/>
                <w:szCs w:val="18"/>
              </w:rPr>
              <w:t xml:space="preserve"> (</w:t>
            </w:r>
            <w:r>
              <w:rPr>
                <w:rFonts w:ascii="Times New Roman" w:hAnsi="Times New Roman"/>
                <w:color w:val="993366"/>
                <w:sz w:val="18"/>
                <w:szCs w:val="18"/>
              </w:rPr>
              <w:t>SIZE</w:t>
            </w:r>
            <w:r>
              <w:rPr>
                <w:rFonts w:ascii="Times New Roman" w:hAnsi="Times New Roman"/>
                <w:sz w:val="18"/>
                <w:szCs w:val="18"/>
              </w:rPr>
              <w:t xml:space="preserve"> (1..4))</w:t>
            </w:r>
            <w:r>
              <w:rPr>
                <w:rFonts w:ascii="Times New Roman" w:hAnsi="Times New Roman"/>
                <w:color w:val="993366"/>
                <w:sz w:val="18"/>
                <w:szCs w:val="18"/>
              </w:rPr>
              <w:t xml:space="preserve"> OF</w:t>
            </w:r>
            <w:r>
              <w:rPr>
                <w:rFonts w:ascii="Times New Roman" w:hAnsi="Times New Roman"/>
                <w:sz w:val="18"/>
                <w:szCs w:val="18"/>
              </w:rPr>
              <w:t xml:space="preserve"> MUSIM-GapInfo-r17</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MUSIM-GapInfo-r17 ::=   </w:t>
            </w:r>
            <w:r>
              <w:rPr>
                <w:rFonts w:ascii="Times New Roman" w:hAnsi="Times New Roman"/>
                <w:color w:val="993366"/>
                <w:sz w:val="18"/>
                <w:szCs w:val="18"/>
              </w:rPr>
              <w:t>SEQUENCE</w:t>
            </w:r>
            <w:r>
              <w:rPr>
                <w:rFonts w:ascii="Times New Roman" w:hAnsi="Times New Roman"/>
                <w:sz w:val="18"/>
                <w:szCs w:val="18"/>
              </w:rPr>
              <w:t xml:space="preserve"> {</w:t>
            </w:r>
          </w:p>
          <w:p w:rsidR="00F81D91" w:rsidRDefault="00B24AED">
            <w:pPr>
              <w:pStyle w:val="PL"/>
              <w:spacing w:after="0" w:line="260" w:lineRule="auto"/>
              <w:rPr>
                <w:rFonts w:ascii="Times New Roman" w:hAnsi="Times New Roman"/>
                <w:color w:val="808080"/>
                <w:sz w:val="18"/>
                <w:szCs w:val="18"/>
              </w:rPr>
            </w:pPr>
            <w:r>
              <w:rPr>
                <w:rFonts w:ascii="Times New Roman" w:hAnsi="Times New Roman"/>
                <w:sz w:val="18"/>
                <w:szCs w:val="18"/>
              </w:rPr>
              <w:t xml:space="preserve">    musim-Starting-SFN-AndSubframe-r17  MUSIM-Starting-SFN-AndSubframe-r17   </w:t>
            </w:r>
            <w:r>
              <w:rPr>
                <w:rFonts w:ascii="Times New Roman" w:hAnsi="Times New Roman"/>
                <w:color w:val="993366"/>
                <w:sz w:val="18"/>
                <w:szCs w:val="18"/>
              </w:rPr>
              <w:t>OPTIONAL</w:t>
            </w:r>
            <w:r>
              <w:rPr>
                <w:rFonts w:ascii="Times New Roman" w:hAnsi="Times New Roman"/>
                <w:sz w:val="18"/>
                <w:szCs w:val="18"/>
              </w:rPr>
              <w:t xml:space="preserve">, </w:t>
            </w:r>
            <w:r>
              <w:rPr>
                <w:rFonts w:ascii="Times New Roman" w:hAnsi="Times New Roman"/>
                <w:color w:val="808080"/>
                <w:sz w:val="18"/>
                <w:szCs w:val="18"/>
              </w:rPr>
              <w:t>-- Cond aperiodic</w:t>
            </w:r>
          </w:p>
          <w:p w:rsidR="00F81D91" w:rsidRDefault="00B24AED">
            <w:pPr>
              <w:pStyle w:val="PL"/>
              <w:spacing w:after="0" w:line="260" w:lineRule="auto"/>
              <w:rPr>
                <w:rFonts w:ascii="Times New Roman" w:hAnsi="Times New Roman"/>
                <w:color w:val="808080"/>
                <w:sz w:val="18"/>
                <w:szCs w:val="18"/>
              </w:rPr>
            </w:pPr>
            <w:r>
              <w:rPr>
                <w:rFonts w:ascii="Times New Roman" w:hAnsi="Times New Roman"/>
                <w:sz w:val="18"/>
                <w:szCs w:val="18"/>
              </w:rPr>
              <w:t xml:space="preserve">   </w:t>
            </w:r>
            <w:r>
              <w:rPr>
                <w:rFonts w:ascii="Times New Roman" w:hAnsi="Times New Roman"/>
                <w:b/>
                <w:bCs/>
                <w:color w:val="7030A0"/>
                <w:sz w:val="18"/>
                <w:szCs w:val="18"/>
              </w:rPr>
              <w:t xml:space="preserve"> musim-GapLength-r17</w:t>
            </w:r>
            <w:r>
              <w:rPr>
                <w:rFonts w:ascii="Times New Roman" w:hAnsi="Times New Roman"/>
                <w:sz w:val="18"/>
                <w:szCs w:val="18"/>
              </w:rPr>
              <w:t xml:space="preserve">  </w:t>
            </w:r>
            <w:r>
              <w:rPr>
                <w:rFonts w:ascii="Times New Roman" w:hAnsi="Times New Roman"/>
                <w:color w:val="993366"/>
                <w:sz w:val="18"/>
                <w:szCs w:val="18"/>
              </w:rPr>
              <w:t>ENUMERATED</w:t>
            </w:r>
            <w:r>
              <w:rPr>
                <w:rFonts w:ascii="Times New Roman" w:hAnsi="Times New Roman"/>
                <w:sz w:val="18"/>
                <w:szCs w:val="18"/>
              </w:rPr>
              <w:t xml:space="preserve"> {ms3, ms4, ms6, ms10, ms20}         </w:t>
            </w:r>
            <w:r>
              <w:rPr>
                <w:rFonts w:ascii="Times New Roman" w:hAnsi="Times New Roman"/>
                <w:color w:val="993366"/>
                <w:sz w:val="18"/>
                <w:szCs w:val="18"/>
              </w:rPr>
              <w:t>OPTIONAL</w:t>
            </w:r>
            <w:r>
              <w:rPr>
                <w:rFonts w:ascii="Times New Roman" w:hAnsi="Times New Roman"/>
                <w:sz w:val="18"/>
                <w:szCs w:val="18"/>
              </w:rPr>
              <w:t xml:space="preserve">, </w:t>
            </w:r>
            <w:r>
              <w:rPr>
                <w:rFonts w:ascii="Times New Roman" w:hAnsi="Times New Roman"/>
                <w:color w:val="808080"/>
                <w:sz w:val="18"/>
                <w:szCs w:val="18"/>
              </w:rPr>
              <w:t>-- Need S</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lastRenderedPageBreak/>
              <w:t xml:space="preserve">   </w:t>
            </w:r>
            <w:r>
              <w:rPr>
                <w:rFonts w:ascii="Times New Roman" w:hAnsi="Times New Roman"/>
                <w:b/>
                <w:bCs/>
                <w:color w:val="7030A0"/>
                <w:sz w:val="18"/>
                <w:szCs w:val="18"/>
              </w:rPr>
              <w:t xml:space="preserve"> musim-GapRepetitionAndOffset-r17 </w:t>
            </w:r>
            <w:r>
              <w:rPr>
                <w:rFonts w:ascii="Times New Roman" w:hAnsi="Times New Roman"/>
                <w:sz w:val="18"/>
                <w:szCs w:val="18"/>
              </w:rPr>
              <w:t xml:space="preserve">   </w:t>
            </w:r>
            <w:r>
              <w:rPr>
                <w:rFonts w:ascii="Times New Roman" w:hAnsi="Times New Roman"/>
                <w:color w:val="993366"/>
                <w:sz w:val="18"/>
                <w:szCs w:val="18"/>
              </w:rPr>
              <w:t>CHOICE</w:t>
            </w:r>
            <w:r>
              <w:rPr>
                <w:rFonts w:ascii="Times New Roman" w:hAnsi="Times New Roman"/>
                <w:sz w:val="18"/>
                <w:szCs w:val="18"/>
              </w:rPr>
              <w:t xml:space="preserve"> {</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rPr>
              <w:t xml:space="preserve">        ms20-r17   </w:t>
            </w:r>
            <w:r>
              <w:rPr>
                <w:rFonts w:ascii="Times New Roman" w:hAnsi="Times New Roman"/>
                <w:color w:val="993366"/>
                <w:sz w:val="18"/>
                <w:szCs w:val="18"/>
              </w:rPr>
              <w:t>INTEGER</w:t>
            </w:r>
            <w:r>
              <w:rPr>
                <w:rFonts w:ascii="Times New Roman" w:hAnsi="Times New Roman"/>
                <w:sz w:val="18"/>
                <w:szCs w:val="18"/>
              </w:rPr>
              <w:t xml:space="preserve"> (0..19),</w:t>
            </w:r>
          </w:p>
          <w:p w:rsidR="00F81D91" w:rsidRDefault="00B24AED">
            <w:pPr>
              <w:pStyle w:val="PL"/>
              <w:spacing w:after="0" w:line="260" w:lineRule="auto"/>
              <w:rPr>
                <w:rFonts w:ascii="Times New Roman" w:hAnsi="Times New Roman"/>
                <w:sz w:val="18"/>
                <w:szCs w:val="18"/>
                <w:lang w:val="sv-SE"/>
              </w:rPr>
            </w:pPr>
            <w:r>
              <w:rPr>
                <w:rFonts w:ascii="Times New Roman" w:hAnsi="Times New Roman"/>
                <w:sz w:val="18"/>
                <w:szCs w:val="18"/>
              </w:rPr>
              <w:t xml:space="preserve">        </w:t>
            </w:r>
            <w:r>
              <w:rPr>
                <w:rFonts w:ascii="Times New Roman" w:hAnsi="Times New Roman"/>
                <w:sz w:val="18"/>
                <w:szCs w:val="18"/>
                <w:lang w:val="sv-SE"/>
              </w:rPr>
              <w:t xml:space="preserve">ms40-r17    </w:t>
            </w:r>
            <w:r>
              <w:rPr>
                <w:rFonts w:ascii="Times New Roman" w:hAnsi="Times New Roman"/>
                <w:color w:val="993366"/>
                <w:sz w:val="18"/>
                <w:szCs w:val="18"/>
                <w:lang w:val="sv-SE"/>
              </w:rPr>
              <w:t>INTEGER</w:t>
            </w:r>
            <w:r>
              <w:rPr>
                <w:rFonts w:ascii="Times New Roman" w:hAnsi="Times New Roman"/>
                <w:sz w:val="18"/>
                <w:szCs w:val="18"/>
                <w:lang w:val="sv-SE"/>
              </w:rPr>
              <w:t xml:space="preserve"> (0..39),</w:t>
            </w:r>
          </w:p>
          <w:p w:rsidR="00F81D91" w:rsidRDefault="00B24AED">
            <w:pPr>
              <w:pStyle w:val="PL"/>
              <w:spacing w:after="0" w:line="260" w:lineRule="auto"/>
              <w:rPr>
                <w:rFonts w:ascii="Times New Roman" w:eastAsia="宋体" w:hAnsi="Times New Roman"/>
                <w:sz w:val="18"/>
                <w:szCs w:val="18"/>
                <w:lang w:eastAsia="zh-CN"/>
              </w:rPr>
            </w:pPr>
            <w:r>
              <w:rPr>
                <w:rFonts w:ascii="Times New Roman" w:hAnsi="Times New Roman"/>
                <w:sz w:val="18"/>
                <w:szCs w:val="18"/>
                <w:lang w:val="sv-SE"/>
              </w:rPr>
              <w:t xml:space="preserve">      </w:t>
            </w:r>
            <w:r>
              <w:rPr>
                <w:rFonts w:ascii="Times New Roman" w:eastAsia="宋体" w:hAnsi="Times New Roman"/>
                <w:sz w:val="18"/>
                <w:szCs w:val="18"/>
                <w:lang w:eastAsia="zh-CN"/>
              </w:rPr>
              <w:t>...</w:t>
            </w:r>
          </w:p>
          <w:p w:rsidR="00F81D91" w:rsidRDefault="00B24AED">
            <w:pPr>
              <w:pStyle w:val="PL"/>
              <w:spacing w:after="0" w:line="260" w:lineRule="auto"/>
              <w:rPr>
                <w:rFonts w:ascii="Times New Roman" w:hAnsi="Times New Roman"/>
                <w:sz w:val="18"/>
                <w:szCs w:val="18"/>
                <w:lang w:val="sv-SE"/>
              </w:rPr>
            </w:pPr>
            <w:r>
              <w:rPr>
                <w:rFonts w:ascii="Times New Roman" w:hAnsi="Times New Roman"/>
                <w:sz w:val="18"/>
                <w:szCs w:val="18"/>
                <w:lang w:val="sv-SE"/>
              </w:rPr>
              <w:t xml:space="preserve">        ms5120-r17   </w:t>
            </w:r>
            <w:r>
              <w:rPr>
                <w:rFonts w:ascii="Times New Roman" w:eastAsia="宋体" w:hAnsi="Times New Roman"/>
                <w:sz w:val="18"/>
                <w:szCs w:val="18"/>
                <w:lang w:val="sv-SE" w:eastAsia="zh-CN"/>
              </w:rPr>
              <w:t xml:space="preserve"> INTEGER</w:t>
            </w:r>
            <w:r>
              <w:rPr>
                <w:rFonts w:ascii="Times New Roman" w:hAnsi="Times New Roman"/>
                <w:sz w:val="18"/>
                <w:szCs w:val="18"/>
                <w:lang w:val="sv-SE"/>
              </w:rPr>
              <w:t xml:space="preserve"> (0..5119),</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lang w:val="sv-SE"/>
              </w:rPr>
              <w:t xml:space="preserve">        </w:t>
            </w:r>
            <w:r>
              <w:rPr>
                <w:rFonts w:ascii="Times New Roman" w:hAnsi="Times New Roman"/>
                <w:sz w:val="18"/>
                <w:szCs w:val="18"/>
              </w:rPr>
              <w:t>...</w:t>
            </w:r>
            <w:r>
              <w:rPr>
                <w:rFonts w:ascii="Times New Roman" w:eastAsia="宋体" w:hAnsi="Times New Roman"/>
                <w:sz w:val="18"/>
                <w:szCs w:val="18"/>
                <w:lang w:eastAsia="zh-CN"/>
              </w:rPr>
              <w:t>.</w:t>
            </w:r>
            <w:r>
              <w:rPr>
                <w:rFonts w:ascii="Times New Roman" w:hAnsi="Times New Roman"/>
                <w:sz w:val="18"/>
                <w:szCs w:val="18"/>
              </w:rPr>
              <w:t xml:space="preserve">    }    </w:t>
            </w:r>
            <w:r>
              <w:rPr>
                <w:rFonts w:ascii="Times New Roman" w:hAnsi="Times New Roman"/>
                <w:color w:val="993366"/>
                <w:sz w:val="18"/>
                <w:szCs w:val="18"/>
              </w:rPr>
              <w:t>OPTIONAL</w:t>
            </w:r>
            <w:r>
              <w:rPr>
                <w:rFonts w:ascii="Times New Roman" w:hAnsi="Times New Roman"/>
                <w:sz w:val="18"/>
                <w:szCs w:val="18"/>
              </w:rPr>
              <w:t xml:space="preserve"> </w:t>
            </w:r>
            <w:r>
              <w:rPr>
                <w:rFonts w:ascii="Times New Roman" w:hAnsi="Times New Roman"/>
                <w:color w:val="808080"/>
                <w:sz w:val="18"/>
                <w:szCs w:val="18"/>
              </w:rPr>
              <w:t>-- Cond periodic</w:t>
            </w:r>
            <w:r>
              <w:rPr>
                <w:rFonts w:ascii="Times New Roman" w:hAnsi="Times New Roman"/>
                <w:sz w:val="18"/>
                <w:szCs w:val="18"/>
              </w:rPr>
              <w:t>}</w:t>
            </w:r>
          </w:p>
          <w:p w:rsidR="00F81D91" w:rsidRDefault="00F81D91">
            <w:pPr>
              <w:pStyle w:val="PL"/>
              <w:spacing w:after="0" w:line="260" w:lineRule="auto"/>
              <w:rPr>
                <w:rFonts w:ascii="Times New Roman" w:hAnsi="Times New Roman"/>
                <w:sz w:val="18"/>
                <w:szCs w:val="18"/>
              </w:rPr>
            </w:pPr>
          </w:p>
          <w:p w:rsidR="00F81D91" w:rsidRDefault="00B24AED">
            <w:pPr>
              <w:pStyle w:val="PL"/>
              <w:spacing w:after="0" w:line="260" w:lineRule="auto"/>
              <w:rPr>
                <w:rFonts w:ascii="Times New Roman" w:hAnsi="Times New Roman"/>
                <w:sz w:val="18"/>
                <w:szCs w:val="18"/>
                <w:lang w:val="sv-SE"/>
              </w:rPr>
            </w:pPr>
            <w:r>
              <w:rPr>
                <w:rFonts w:ascii="Times New Roman" w:hAnsi="Times New Roman"/>
                <w:sz w:val="18"/>
                <w:szCs w:val="18"/>
              </w:rPr>
              <w:t xml:space="preserve">MUSIM-Starting-SFN-AndSubframe-r17 ::= </w:t>
            </w:r>
            <w:r>
              <w:rPr>
                <w:rFonts w:ascii="Times New Roman" w:hAnsi="Times New Roman"/>
                <w:color w:val="993366"/>
                <w:sz w:val="18"/>
                <w:szCs w:val="18"/>
              </w:rPr>
              <w:t>SEQUENCE</w:t>
            </w:r>
            <w:r>
              <w:rPr>
                <w:rFonts w:ascii="Times New Roman" w:hAnsi="Times New Roman"/>
                <w:sz w:val="18"/>
                <w:szCs w:val="18"/>
              </w:rPr>
              <w:t xml:space="preserve"> {    </w:t>
            </w:r>
            <w:r>
              <w:rPr>
                <w:rFonts w:ascii="Times New Roman" w:hAnsi="Times New Roman"/>
                <w:sz w:val="18"/>
                <w:szCs w:val="18"/>
                <w:lang w:val="sv-SE"/>
              </w:rPr>
              <w:t>starting-SFN-r17</w:t>
            </w:r>
            <w:r>
              <w:rPr>
                <w:rFonts w:ascii="Times New Roman" w:eastAsia="宋体" w:hAnsi="Times New Roman"/>
                <w:sz w:val="18"/>
                <w:szCs w:val="18"/>
                <w:lang w:val="sv-SE" w:eastAsia="zh-CN"/>
              </w:rPr>
              <w:t xml:space="preserve"> INTEGER</w:t>
            </w:r>
            <w:r>
              <w:rPr>
                <w:rFonts w:ascii="Times New Roman" w:hAnsi="Times New Roman"/>
                <w:sz w:val="18"/>
                <w:szCs w:val="18"/>
                <w:lang w:val="sv-SE"/>
              </w:rPr>
              <w:t xml:space="preserve"> (0..1023),</w:t>
            </w:r>
          </w:p>
          <w:p w:rsidR="00F81D91" w:rsidRDefault="00B24AED">
            <w:pPr>
              <w:pStyle w:val="PL"/>
              <w:spacing w:after="0" w:line="260" w:lineRule="auto"/>
              <w:rPr>
                <w:rFonts w:ascii="Times New Roman" w:hAnsi="Times New Roman"/>
                <w:sz w:val="18"/>
                <w:szCs w:val="18"/>
              </w:rPr>
            </w:pPr>
            <w:r>
              <w:rPr>
                <w:rFonts w:ascii="Times New Roman" w:hAnsi="Times New Roman"/>
                <w:sz w:val="18"/>
                <w:szCs w:val="18"/>
                <w:lang w:val="sv-SE"/>
              </w:rPr>
              <w:t xml:space="preserve">    startingSubframe-r17                   </w:t>
            </w:r>
            <w:r>
              <w:rPr>
                <w:rFonts w:ascii="Times New Roman" w:hAnsi="Times New Roman"/>
                <w:color w:val="993366"/>
                <w:sz w:val="18"/>
                <w:szCs w:val="18"/>
                <w:lang w:val="sv-SE"/>
              </w:rPr>
              <w:t>INTEGER</w:t>
            </w:r>
            <w:r>
              <w:rPr>
                <w:rFonts w:ascii="Times New Roman" w:hAnsi="Times New Roman"/>
                <w:sz w:val="18"/>
                <w:szCs w:val="18"/>
                <w:lang w:val="sv-SE"/>
              </w:rPr>
              <w:t xml:space="preserve"> (0..9)</w:t>
            </w:r>
            <w:r>
              <w:rPr>
                <w:rFonts w:ascii="Times New Roman" w:hAnsi="Times New Roman"/>
                <w:sz w:val="18"/>
                <w:szCs w:val="18"/>
              </w:rPr>
              <w:t>}</w:t>
            </w:r>
          </w:p>
          <w:p w:rsidR="00F81D91" w:rsidRDefault="00F81D91">
            <w:pPr>
              <w:pStyle w:val="PL"/>
              <w:rPr>
                <w:rFonts w:ascii="Times New Roman" w:hAnsi="Times New Roman"/>
                <w:sz w:val="18"/>
                <w:szCs w:val="18"/>
                <w:lang w:eastAsia="zh-CN"/>
              </w:rPr>
            </w:pPr>
          </w:p>
        </w:tc>
      </w:tr>
    </w:tbl>
    <w:p w:rsidR="00F81D91" w:rsidRDefault="00B24AED">
      <w:pPr>
        <w:widowControl/>
        <w:overflowPunct w:val="0"/>
        <w:autoSpaceDE w:val="0"/>
        <w:autoSpaceDN w:val="0"/>
        <w:adjustRightInd w:val="0"/>
        <w:spacing w:after="180" w:line="240" w:lineRule="auto"/>
        <w:textAlignment w:val="baseline"/>
      </w:pPr>
      <w:r>
        <w:rPr>
          <w:rFonts w:hint="eastAsia"/>
        </w:rPr>
        <w:lastRenderedPageBreak/>
        <w:t>From the above ASN.1 coding for the UE assistance information reporting, the DRX assistance information is similar to the MUSIM periodic Gap</w:t>
      </w:r>
      <w:r w:rsidR="00BF46B8">
        <w:t xml:space="preserve">, </w:t>
      </w:r>
      <w:r>
        <w:rPr>
          <w:rFonts w:hint="eastAsia"/>
        </w:rPr>
        <w:t xml:space="preserve">e.g. </w:t>
      </w:r>
      <w:r>
        <w:t>drx-LongCycleStartOffset</w:t>
      </w:r>
      <w:r>
        <w:rPr>
          <w:rFonts w:hint="eastAsia"/>
        </w:rPr>
        <w:t xml:space="preserve"> is similar to the </w:t>
      </w:r>
      <w:r>
        <w:t>musim-GapRepetitionAndOffset-r17</w:t>
      </w:r>
      <w:r>
        <w:rPr>
          <w:rFonts w:hint="eastAsia"/>
        </w:rPr>
        <w:t xml:space="preserve">, while the </w:t>
      </w:r>
      <w:r w:rsidR="00BF46B8">
        <w:t xml:space="preserve">drx-ActiveTime-r18 </w:t>
      </w:r>
      <w:r w:rsidR="00BF46B8">
        <w:rPr>
          <w:rFonts w:hint="eastAsia"/>
        </w:rPr>
        <w:t xml:space="preserve">is similar </w:t>
      </w:r>
      <w:r>
        <w:rPr>
          <w:rFonts w:hint="eastAsia"/>
        </w:rPr>
        <w:t xml:space="preserve">to the </w:t>
      </w:r>
      <w:r>
        <w:t>musim-GapLength-r17</w:t>
      </w:r>
      <w:r w:rsidR="00BF46B8">
        <w:t>.</w:t>
      </w:r>
    </w:p>
    <w:p w:rsidR="00F81D91" w:rsidRDefault="00B24AED">
      <w:pPr>
        <w:widowControl/>
        <w:overflowPunct w:val="0"/>
        <w:autoSpaceDE w:val="0"/>
        <w:autoSpaceDN w:val="0"/>
        <w:adjustRightInd w:val="0"/>
        <w:spacing w:after="180" w:line="240" w:lineRule="auto"/>
        <w:textAlignment w:val="baseline"/>
        <w:rPr>
          <w:b/>
          <w:bCs/>
        </w:rPr>
      </w:pPr>
      <w:r>
        <w:rPr>
          <w:rFonts w:hint="eastAsia"/>
          <w:b/>
          <w:bCs/>
        </w:rPr>
        <w:t>Observation 1</w:t>
      </w:r>
      <w:r>
        <w:rPr>
          <w:rFonts w:hint="eastAsia"/>
          <w:b/>
          <w:bCs/>
        </w:rPr>
        <w:t>：</w:t>
      </w:r>
      <w:r>
        <w:rPr>
          <w:rFonts w:hint="eastAsia"/>
          <w:b/>
          <w:bCs/>
        </w:rPr>
        <w:t>From the UE assistance information reporting aspect, the DRX assistance information is similar to the MUSIM periodic Gap.</w:t>
      </w:r>
    </w:p>
    <w:p w:rsidR="00F81D91" w:rsidRDefault="00B24AED">
      <w:pPr>
        <w:widowControl/>
        <w:overflowPunct w:val="0"/>
        <w:autoSpaceDE w:val="0"/>
        <w:autoSpaceDN w:val="0"/>
        <w:adjustRightInd w:val="0"/>
        <w:spacing w:after="180" w:line="240" w:lineRule="auto"/>
        <w:textAlignment w:val="baseline"/>
      </w:pPr>
      <w:r>
        <w:rPr>
          <w:rFonts w:hint="eastAsia"/>
        </w:rPr>
        <w:t xml:space="preserve">Thus, from the TDM assistance information reporting aspect, </w:t>
      </w:r>
      <w:r w:rsidR="00BF46B8">
        <w:t>at least, the UE can</w:t>
      </w:r>
      <w:r>
        <w:rPr>
          <w:rFonts w:hint="eastAsia"/>
        </w:rPr>
        <w:t xml:space="preserve"> report a </w:t>
      </w:r>
      <w:r>
        <w:t>“</w:t>
      </w:r>
      <w:r>
        <w:rPr>
          <w:rFonts w:hint="eastAsia"/>
        </w:rPr>
        <w:t>periodic Gap</w:t>
      </w:r>
      <w:r>
        <w:t>”</w:t>
      </w:r>
      <w:r>
        <w:rPr>
          <w:rFonts w:hint="eastAsia"/>
        </w:rPr>
        <w:t xml:space="preserve"> to the network. This periodic gap can be expressed by cycle, length and startoffset. </w:t>
      </w:r>
    </w:p>
    <w:p w:rsidR="00F81D91" w:rsidRDefault="00B24AED">
      <w:pPr>
        <w:widowControl/>
        <w:overflowPunct w:val="0"/>
        <w:autoSpaceDE w:val="0"/>
        <w:autoSpaceDN w:val="0"/>
        <w:adjustRightInd w:val="0"/>
        <w:spacing w:after="180" w:line="240" w:lineRule="auto"/>
        <w:textAlignment w:val="baseline"/>
        <w:rPr>
          <w:b/>
          <w:bCs/>
        </w:rPr>
      </w:pPr>
      <w:r>
        <w:rPr>
          <w:rFonts w:hint="eastAsia"/>
          <w:b/>
          <w:bCs/>
        </w:rPr>
        <w:t xml:space="preserve">Proposal 1: From the UE assistance information reporting aspect, it shall be allowed the UE to report </w:t>
      </w:r>
      <w:r w:rsidR="00BF46B8">
        <w:rPr>
          <w:b/>
          <w:bCs/>
        </w:rPr>
        <w:t>a</w:t>
      </w:r>
      <w:r>
        <w:rPr>
          <w:rFonts w:hint="eastAsia"/>
          <w:b/>
          <w:bCs/>
        </w:rPr>
        <w:t xml:space="preserve"> periodic TDM gap (including cycle, length and startoffset) assistance information.</w:t>
      </w:r>
    </w:p>
    <w:p w:rsidR="00F81D91" w:rsidRDefault="00B24AED">
      <w:r>
        <w:rPr>
          <w:rFonts w:hint="eastAsia"/>
        </w:rPr>
        <w:t xml:space="preserve">Based on the </w:t>
      </w:r>
      <w:r w:rsidR="00BF46B8">
        <w:t>proposal</w:t>
      </w:r>
      <w:r>
        <w:rPr>
          <w:rFonts w:hint="eastAsia"/>
        </w:rPr>
        <w:t xml:space="preserve"> 1, we can further discuss </w:t>
      </w:r>
      <w:r w:rsidR="00BF46B8">
        <w:t xml:space="preserve">whether </w:t>
      </w:r>
      <w:r>
        <w:rPr>
          <w:rFonts w:hint="eastAsia"/>
        </w:rPr>
        <w:t>the aperiodic gap needed or not</w:t>
      </w:r>
      <w:r w:rsidR="00BF46B8">
        <w:t>.</w:t>
      </w:r>
      <w:r>
        <w:rPr>
          <w:rFonts w:hint="eastAsia"/>
        </w:rPr>
        <w:t xml:space="preserve"> As commented in the </w:t>
      </w:r>
      <w:r w:rsidR="00BF46B8">
        <w:t>email</w:t>
      </w:r>
      <w:r>
        <w:rPr>
          <w:rFonts w:hint="eastAsia"/>
        </w:rPr>
        <w:t xml:space="preserve"> discussion, the aperiodic gap can be adopted for the BT/WLAN connection setup case. In the LTE, autonomous denial was adopted for such cases. Then there would be 3 options: </w:t>
      </w:r>
    </w:p>
    <w:p w:rsidR="00F81D91" w:rsidRDefault="00B24AED">
      <w:pPr>
        <w:numPr>
          <w:ilvl w:val="0"/>
          <w:numId w:val="5"/>
        </w:numPr>
      </w:pPr>
      <w:r>
        <w:rPr>
          <w:rFonts w:hint="eastAsia"/>
        </w:rPr>
        <w:t>Option 1: Reuse LTE autonomous denial</w:t>
      </w:r>
    </w:p>
    <w:p w:rsidR="00F81D91" w:rsidRDefault="00B24AED">
      <w:pPr>
        <w:numPr>
          <w:ilvl w:val="0"/>
          <w:numId w:val="5"/>
        </w:numPr>
      </w:pPr>
      <w:r>
        <w:rPr>
          <w:rFonts w:hint="eastAsia"/>
        </w:rPr>
        <w:t>Option 2: Reuse MUSIM aperiodic gap alike scheme</w:t>
      </w:r>
    </w:p>
    <w:p w:rsidR="00F81D91" w:rsidRDefault="00B24AED">
      <w:pPr>
        <w:numPr>
          <w:ilvl w:val="0"/>
          <w:numId w:val="5"/>
        </w:numPr>
      </w:pPr>
      <w:r>
        <w:rPr>
          <w:rFonts w:hint="eastAsia"/>
        </w:rPr>
        <w:t>Option 3: No additional mechanism, reuse periodic gap (DRX or MUSIM)</w:t>
      </w:r>
    </w:p>
    <w:p w:rsidR="00F81D91" w:rsidRDefault="00B24AED">
      <w:pPr>
        <w:widowControl/>
        <w:overflowPunct w:val="0"/>
        <w:autoSpaceDE w:val="0"/>
        <w:autoSpaceDN w:val="0"/>
        <w:adjustRightInd w:val="0"/>
        <w:spacing w:after="180" w:line="240" w:lineRule="auto"/>
        <w:textAlignment w:val="baseline"/>
        <w:rPr>
          <w:b/>
          <w:bCs/>
        </w:rPr>
      </w:pPr>
      <w:r>
        <w:rPr>
          <w:rFonts w:hint="eastAsia"/>
          <w:b/>
          <w:bCs/>
        </w:rPr>
        <w:t>Proposal 2: RAN2 to discuss which option is preferred for the BT/WLAN connection setup case</w:t>
      </w:r>
    </w:p>
    <w:p w:rsidR="00F81D91" w:rsidRDefault="00B24AED">
      <w:pPr>
        <w:numPr>
          <w:ilvl w:val="0"/>
          <w:numId w:val="5"/>
        </w:numPr>
        <w:rPr>
          <w:b/>
          <w:bCs/>
        </w:rPr>
      </w:pPr>
      <w:r>
        <w:rPr>
          <w:rFonts w:hint="eastAsia"/>
          <w:b/>
          <w:bCs/>
        </w:rPr>
        <w:t>Option 1: Reuse LTE autonomous denial</w:t>
      </w:r>
    </w:p>
    <w:p w:rsidR="00F81D91" w:rsidRDefault="00B24AED">
      <w:pPr>
        <w:numPr>
          <w:ilvl w:val="0"/>
          <w:numId w:val="5"/>
        </w:numPr>
        <w:rPr>
          <w:b/>
          <w:bCs/>
        </w:rPr>
      </w:pPr>
      <w:r>
        <w:rPr>
          <w:rFonts w:hint="eastAsia"/>
          <w:b/>
          <w:bCs/>
        </w:rPr>
        <w:t>Option 2: Reuse MUSIM aperiodic gap alike scheme</w:t>
      </w:r>
    </w:p>
    <w:p w:rsidR="00F81D91" w:rsidRDefault="00B24AED">
      <w:pPr>
        <w:numPr>
          <w:ilvl w:val="0"/>
          <w:numId w:val="5"/>
        </w:numPr>
        <w:rPr>
          <w:b/>
          <w:bCs/>
        </w:rPr>
      </w:pPr>
      <w:r>
        <w:rPr>
          <w:rFonts w:hint="eastAsia"/>
          <w:b/>
          <w:bCs/>
        </w:rPr>
        <w:t>Option 3: No additional mechanism, reuse periodic gap (DRX or MUSIM periodic gap)</w:t>
      </w:r>
    </w:p>
    <w:p w:rsidR="00BF46B8" w:rsidRDefault="00BF46B8" w:rsidP="00BF46B8">
      <w:r>
        <w:t xml:space="preserve">For the option 3, as discussed in the LTE, the </w:t>
      </w:r>
      <w:r>
        <w:rPr>
          <w:rFonts w:hint="eastAsia"/>
        </w:rPr>
        <w:t>BT/WLAN connection setup case</w:t>
      </w:r>
      <w:r>
        <w:t xml:space="preserve"> can be seen as a rare case, so it may waste timer domain resource unnecessarily.</w:t>
      </w:r>
      <w:r w:rsidR="00FB10D5">
        <w:t xml:space="preserve"> While for the option 1 and option 2, the option 2 can be fully controlled by the network and the R17 MUSIM aperiodic Gap framework can be reused, thus we slightly prefer the option 2.</w:t>
      </w:r>
    </w:p>
    <w:p w:rsidR="00FB10D5" w:rsidRPr="00FB10D5" w:rsidRDefault="00FB10D5" w:rsidP="00FB10D5">
      <w:pPr>
        <w:widowControl/>
        <w:overflowPunct w:val="0"/>
        <w:autoSpaceDE w:val="0"/>
        <w:autoSpaceDN w:val="0"/>
        <w:adjustRightInd w:val="0"/>
        <w:spacing w:after="180" w:line="240" w:lineRule="auto"/>
        <w:textAlignment w:val="baseline"/>
      </w:pPr>
      <w:r>
        <w:rPr>
          <w:rFonts w:hint="eastAsia"/>
          <w:b/>
          <w:bCs/>
        </w:rPr>
        <w:t>Proposal 2</w:t>
      </w:r>
      <w:r>
        <w:rPr>
          <w:b/>
          <w:bCs/>
        </w:rPr>
        <w:t>a</w:t>
      </w:r>
      <w:r>
        <w:rPr>
          <w:rFonts w:hint="eastAsia"/>
          <w:b/>
          <w:bCs/>
        </w:rPr>
        <w:t>: Reuse MUSIM aperiodic gap alike scheme for the BT/WLAN connection setup case</w:t>
      </w:r>
      <w:r>
        <w:rPr>
          <w:b/>
          <w:bCs/>
        </w:rPr>
        <w:t>.</w:t>
      </w:r>
    </w:p>
    <w:p w:rsidR="00F81D91" w:rsidRDefault="00B24AED">
      <w:pPr>
        <w:pStyle w:val="2"/>
        <w:rPr>
          <w:lang w:val="en-US"/>
        </w:rPr>
      </w:pPr>
      <w:r>
        <w:lastRenderedPageBreak/>
        <w:t>2.</w:t>
      </w:r>
      <w:r w:rsidR="00FB10D5">
        <w:rPr>
          <w:rFonts w:eastAsia="宋体"/>
          <w:lang w:val="en-US"/>
        </w:rPr>
        <w:t>2</w:t>
      </w:r>
      <w:r>
        <w:rPr>
          <w:rFonts w:eastAsia="宋体" w:hint="eastAsia"/>
          <w:lang w:val="en-US"/>
        </w:rPr>
        <w:t xml:space="preserve"> Network Configuration for the TDM solution</w:t>
      </w:r>
    </w:p>
    <w:p w:rsidR="00F81D91" w:rsidRDefault="00B24AED">
      <w:pPr>
        <w:tabs>
          <w:tab w:val="left" w:pos="7594"/>
        </w:tabs>
      </w:pPr>
      <w:r>
        <w:rPr>
          <w:rFonts w:hint="eastAsia"/>
        </w:rPr>
        <w:t xml:space="preserve">The above </w:t>
      </w:r>
      <w:r w:rsidR="00FB10D5">
        <w:t>discussion</w:t>
      </w:r>
      <w:r w:rsidR="00FB10D5">
        <w:rPr>
          <w:rFonts w:hint="eastAsia"/>
        </w:rPr>
        <w:t xml:space="preserve"> </w:t>
      </w:r>
      <w:r w:rsidR="00FB10D5">
        <w:t>is</w:t>
      </w:r>
      <w:r>
        <w:rPr>
          <w:rFonts w:hint="eastAsia"/>
        </w:rPr>
        <w:t xml:space="preserve"> from the UE assistance information reporting aspect. In this chapter, we discuss it from the network configuration aspect. E.g. when the UE receive the TDM assistance information, how does the network </w:t>
      </w:r>
      <w:r w:rsidR="00FB10D5">
        <w:t>reconfigure</w:t>
      </w:r>
      <w:r w:rsidR="00FB10D5">
        <w:rPr>
          <w:rFonts w:hint="eastAsia"/>
        </w:rPr>
        <w:t xml:space="preserve"> the UE</w:t>
      </w:r>
      <w:r w:rsidR="00FB10D5">
        <w:t xml:space="preserve"> to solve the related IDC issue?</w:t>
      </w:r>
    </w:p>
    <w:p w:rsidR="00F81D91" w:rsidRDefault="00B24AED">
      <w:pPr>
        <w:tabs>
          <w:tab w:val="left" w:pos="7594"/>
        </w:tabs>
      </w:pPr>
      <w:r>
        <w:rPr>
          <w:rFonts w:hint="eastAsia"/>
        </w:rPr>
        <w:t xml:space="preserve">For the DRX-based scheme, the network would configure the DRX based on the UE reported </w:t>
      </w:r>
      <w:r w:rsidR="00FB10D5">
        <w:t>“</w:t>
      </w:r>
      <w:r>
        <w:rPr>
          <w:rFonts w:hint="eastAsia"/>
        </w:rPr>
        <w:t>periodic GAP</w:t>
      </w:r>
      <w:r w:rsidR="00FB10D5">
        <w:t>”</w:t>
      </w:r>
      <w:r>
        <w:rPr>
          <w:rFonts w:hint="eastAsia"/>
        </w:rPr>
        <w:t xml:space="preserve"> information. While for the MUSIM gap alike scheme, the network would configure periodic Gap immediately. As commented in the post email discussion, the main drawback of the DRX based scheme is that the UE need to maintain several timers and that the active time depends on the transfer status.</w:t>
      </w:r>
    </w:p>
    <w:p w:rsidR="00F81D91" w:rsidRDefault="00B24AED">
      <w:pPr>
        <w:tabs>
          <w:tab w:val="left" w:pos="7594"/>
        </w:tabs>
        <w:rPr>
          <w:b/>
          <w:bCs/>
        </w:rPr>
      </w:pPr>
      <w:r>
        <w:rPr>
          <w:rFonts w:hint="eastAsia"/>
          <w:b/>
          <w:bCs/>
        </w:rPr>
        <w:t>Observation 3: The main drawback of the DRX based scheme is that the UE need to maintain several timers and that the active time depends on the transfer status.</w:t>
      </w:r>
    </w:p>
    <w:p w:rsidR="00F81D91" w:rsidRDefault="00B24AED">
      <w:r>
        <w:rPr>
          <w:rFonts w:hint="eastAsia"/>
        </w:rPr>
        <w:t>For the MUSIM alike scheme, it</w:t>
      </w:r>
      <w:r>
        <w:t>’</w:t>
      </w:r>
      <w:r>
        <w:rPr>
          <w:rFonts w:hint="eastAsia"/>
        </w:rPr>
        <w:t>s quite simple from the technical aspect. However, there are 2 main concern. The first is about the granularity of the MUSIM gap and the second is about the spec effort. For the spec effort, the R17 MUSIM framework can be reused, so it</w:t>
      </w:r>
      <w:r>
        <w:t>’</w:t>
      </w:r>
      <w:r>
        <w:rPr>
          <w:rFonts w:hint="eastAsia"/>
        </w:rPr>
        <w:t xml:space="preserve">s not a big issue. For supporting more granularity than the legacy MUSIM gap, it can be further confirmed with RAN4. </w:t>
      </w:r>
    </w:p>
    <w:p w:rsidR="00F81D91" w:rsidRDefault="00B24AED">
      <w:pPr>
        <w:rPr>
          <w:b/>
          <w:bCs/>
        </w:rPr>
      </w:pPr>
      <w:r>
        <w:rPr>
          <w:rFonts w:hint="eastAsia"/>
          <w:b/>
          <w:bCs/>
        </w:rPr>
        <w:t>Proposal 3: From the network configuration aspect, RAN2 can take the MUSIM gap alike configuration as start point.</w:t>
      </w:r>
    </w:p>
    <w:p w:rsidR="00F81D91" w:rsidRDefault="00B24AED">
      <w:pPr>
        <w:rPr>
          <w:b/>
          <w:bCs/>
        </w:rPr>
      </w:pPr>
      <w:r>
        <w:rPr>
          <w:rFonts w:hint="eastAsia"/>
          <w:b/>
          <w:bCs/>
        </w:rPr>
        <w:t>Proposal 3a: RAN2 send LS</w:t>
      </w:r>
      <w:r w:rsidR="004B7D59">
        <w:rPr>
          <w:b/>
          <w:bCs/>
        </w:rPr>
        <w:t xml:space="preserve"> to RAN4</w:t>
      </w:r>
      <w:bookmarkStart w:id="2" w:name="_GoBack"/>
      <w:bookmarkEnd w:id="2"/>
      <w:r>
        <w:rPr>
          <w:rFonts w:hint="eastAsia"/>
          <w:b/>
          <w:bCs/>
        </w:rPr>
        <w:t xml:space="preserve"> to confirm the MUSIM gap granularity extension.</w:t>
      </w:r>
    </w:p>
    <w:p w:rsidR="00F81D91" w:rsidRDefault="00B24AED">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81D91" w:rsidRDefault="00B24AED">
      <w:pPr>
        <w:spacing w:beforeLines="50" w:before="156"/>
      </w:pPr>
      <w:r>
        <w:rPr>
          <w:rFonts w:hint="eastAsia"/>
        </w:rPr>
        <w:t xml:space="preserve">With the above analysis, we have the following </w:t>
      </w:r>
      <w:r>
        <w:t>proposals</w:t>
      </w:r>
      <w:r>
        <w:rPr>
          <w:rFonts w:hint="eastAsia"/>
        </w:rPr>
        <w:t>:</w:t>
      </w:r>
    </w:p>
    <w:p w:rsidR="00FB10D5" w:rsidRDefault="00FB10D5" w:rsidP="00FB10D5">
      <w:pPr>
        <w:widowControl/>
        <w:overflowPunct w:val="0"/>
        <w:autoSpaceDE w:val="0"/>
        <w:autoSpaceDN w:val="0"/>
        <w:adjustRightInd w:val="0"/>
        <w:spacing w:after="180" w:line="240" w:lineRule="auto"/>
        <w:textAlignment w:val="baseline"/>
        <w:rPr>
          <w:b/>
          <w:bCs/>
        </w:rPr>
      </w:pPr>
      <w:r>
        <w:rPr>
          <w:rFonts w:hint="eastAsia"/>
          <w:b/>
          <w:bCs/>
        </w:rPr>
        <w:t>Observation 1</w:t>
      </w:r>
      <w:r>
        <w:rPr>
          <w:rFonts w:hint="eastAsia"/>
          <w:b/>
          <w:bCs/>
        </w:rPr>
        <w:t>：</w:t>
      </w:r>
      <w:r>
        <w:rPr>
          <w:rFonts w:hint="eastAsia"/>
          <w:b/>
          <w:bCs/>
        </w:rPr>
        <w:t>From the UE assistance information reporting aspect, the DRX assistance information is similar to the MUSIM periodic Gap.</w:t>
      </w:r>
    </w:p>
    <w:p w:rsidR="00FB10D5" w:rsidRDefault="00FB10D5" w:rsidP="00FB10D5">
      <w:pPr>
        <w:widowControl/>
        <w:overflowPunct w:val="0"/>
        <w:autoSpaceDE w:val="0"/>
        <w:autoSpaceDN w:val="0"/>
        <w:adjustRightInd w:val="0"/>
        <w:spacing w:after="180" w:line="240" w:lineRule="auto"/>
        <w:textAlignment w:val="baseline"/>
        <w:rPr>
          <w:b/>
          <w:bCs/>
        </w:rPr>
      </w:pPr>
      <w:r>
        <w:rPr>
          <w:rFonts w:hint="eastAsia"/>
          <w:b/>
          <w:bCs/>
        </w:rPr>
        <w:t xml:space="preserve">Proposal 1: From the UE assistance information reporting aspect, it shall be allowed the UE to report </w:t>
      </w:r>
      <w:r>
        <w:rPr>
          <w:b/>
          <w:bCs/>
        </w:rPr>
        <w:t>a</w:t>
      </w:r>
      <w:r>
        <w:rPr>
          <w:rFonts w:hint="eastAsia"/>
          <w:b/>
          <w:bCs/>
        </w:rPr>
        <w:t xml:space="preserve"> periodic TDM gap (including cycle, length and startoffset) assistance information.</w:t>
      </w:r>
    </w:p>
    <w:p w:rsidR="00FB10D5" w:rsidRDefault="00FB10D5" w:rsidP="00FB10D5">
      <w:pPr>
        <w:widowControl/>
        <w:overflowPunct w:val="0"/>
        <w:autoSpaceDE w:val="0"/>
        <w:autoSpaceDN w:val="0"/>
        <w:adjustRightInd w:val="0"/>
        <w:spacing w:after="180" w:line="240" w:lineRule="auto"/>
        <w:textAlignment w:val="baseline"/>
        <w:rPr>
          <w:b/>
          <w:bCs/>
        </w:rPr>
      </w:pPr>
      <w:r>
        <w:rPr>
          <w:rFonts w:hint="eastAsia"/>
          <w:b/>
          <w:bCs/>
        </w:rPr>
        <w:t>Proposal 2: RAN2 to discuss which option is preferred for the BT/WLAN connection setup case</w:t>
      </w:r>
    </w:p>
    <w:p w:rsidR="00FB10D5" w:rsidRDefault="00FB10D5" w:rsidP="00FB10D5">
      <w:pPr>
        <w:numPr>
          <w:ilvl w:val="0"/>
          <w:numId w:val="5"/>
        </w:numPr>
        <w:rPr>
          <w:b/>
          <w:bCs/>
        </w:rPr>
      </w:pPr>
      <w:r>
        <w:rPr>
          <w:rFonts w:hint="eastAsia"/>
          <w:b/>
          <w:bCs/>
        </w:rPr>
        <w:t>Option 1: Reuse LTE autonomous denial</w:t>
      </w:r>
    </w:p>
    <w:p w:rsidR="00FB10D5" w:rsidRDefault="00FB10D5" w:rsidP="00FB10D5">
      <w:pPr>
        <w:numPr>
          <w:ilvl w:val="0"/>
          <w:numId w:val="5"/>
        </w:numPr>
        <w:rPr>
          <w:b/>
          <w:bCs/>
        </w:rPr>
      </w:pPr>
      <w:r>
        <w:rPr>
          <w:rFonts w:hint="eastAsia"/>
          <w:b/>
          <w:bCs/>
        </w:rPr>
        <w:t>Option 2: Reuse MUSIM aperiodic gap alike scheme</w:t>
      </w:r>
    </w:p>
    <w:p w:rsidR="00FB10D5" w:rsidRDefault="00FB10D5" w:rsidP="00FB10D5">
      <w:pPr>
        <w:numPr>
          <w:ilvl w:val="0"/>
          <w:numId w:val="5"/>
        </w:numPr>
        <w:rPr>
          <w:b/>
          <w:bCs/>
        </w:rPr>
      </w:pPr>
      <w:r>
        <w:rPr>
          <w:rFonts w:hint="eastAsia"/>
          <w:b/>
          <w:bCs/>
        </w:rPr>
        <w:t>Option 3: No additional mechanism, reuse periodic gap (DRX or MUSIM periodic gap)</w:t>
      </w:r>
    </w:p>
    <w:p w:rsidR="00FB10D5" w:rsidRPr="00FB10D5" w:rsidRDefault="00FB10D5" w:rsidP="00FB10D5">
      <w:pPr>
        <w:widowControl/>
        <w:overflowPunct w:val="0"/>
        <w:autoSpaceDE w:val="0"/>
        <w:autoSpaceDN w:val="0"/>
        <w:adjustRightInd w:val="0"/>
        <w:spacing w:after="180" w:line="240" w:lineRule="auto"/>
        <w:textAlignment w:val="baseline"/>
      </w:pPr>
      <w:r w:rsidRPr="00FB10D5">
        <w:rPr>
          <w:rFonts w:hint="eastAsia"/>
          <w:b/>
          <w:bCs/>
        </w:rPr>
        <w:t>Proposal 2</w:t>
      </w:r>
      <w:r w:rsidRPr="00FB10D5">
        <w:rPr>
          <w:b/>
          <w:bCs/>
        </w:rPr>
        <w:t>a</w:t>
      </w:r>
      <w:r w:rsidRPr="00FB10D5">
        <w:rPr>
          <w:rFonts w:hint="eastAsia"/>
          <w:b/>
          <w:bCs/>
        </w:rPr>
        <w:t>: Reuse MUSIM aperiodic gap alike scheme for the BT/WLAN connection setup case</w:t>
      </w:r>
      <w:r w:rsidRPr="00FB10D5">
        <w:rPr>
          <w:b/>
          <w:bCs/>
        </w:rPr>
        <w:t>.</w:t>
      </w:r>
    </w:p>
    <w:p w:rsidR="00FB10D5" w:rsidRDefault="00FB10D5" w:rsidP="00FB10D5">
      <w:pPr>
        <w:tabs>
          <w:tab w:val="left" w:pos="7594"/>
        </w:tabs>
        <w:rPr>
          <w:b/>
          <w:bCs/>
        </w:rPr>
      </w:pPr>
      <w:r>
        <w:rPr>
          <w:rFonts w:hint="eastAsia"/>
          <w:b/>
          <w:bCs/>
        </w:rPr>
        <w:t>Observation 3: The main drawback of the DRX based scheme is that the UE need to maintain several timers and that the active time depends on the transfer status.</w:t>
      </w:r>
    </w:p>
    <w:p w:rsidR="00FB10D5" w:rsidRDefault="00FB10D5" w:rsidP="00FB10D5">
      <w:pPr>
        <w:rPr>
          <w:b/>
          <w:bCs/>
        </w:rPr>
      </w:pPr>
      <w:r>
        <w:rPr>
          <w:rFonts w:hint="eastAsia"/>
          <w:b/>
          <w:bCs/>
        </w:rPr>
        <w:t xml:space="preserve">Proposal 3: From the network configuration aspect, RAN2 can take the MUSIM gap alike configuration as </w:t>
      </w:r>
      <w:r>
        <w:rPr>
          <w:rFonts w:hint="eastAsia"/>
          <w:b/>
          <w:bCs/>
        </w:rPr>
        <w:lastRenderedPageBreak/>
        <w:t>start point.</w:t>
      </w:r>
    </w:p>
    <w:p w:rsidR="00FB10D5" w:rsidRDefault="00FB10D5" w:rsidP="00FB10D5">
      <w:pPr>
        <w:rPr>
          <w:b/>
          <w:bCs/>
        </w:rPr>
      </w:pPr>
      <w:r>
        <w:rPr>
          <w:rFonts w:hint="eastAsia"/>
          <w:b/>
          <w:bCs/>
        </w:rPr>
        <w:t xml:space="preserve">Proposal 3a: RAN2 send LS </w:t>
      </w:r>
      <w:r w:rsidR="004B7D59">
        <w:rPr>
          <w:rFonts w:hint="eastAsia"/>
          <w:b/>
          <w:bCs/>
        </w:rPr>
        <w:t>to</w:t>
      </w:r>
      <w:r w:rsidR="004B7D59">
        <w:rPr>
          <w:b/>
          <w:bCs/>
        </w:rPr>
        <w:t xml:space="preserve"> RAN4 </w:t>
      </w:r>
      <w:r>
        <w:rPr>
          <w:rFonts w:hint="eastAsia"/>
          <w:b/>
          <w:bCs/>
        </w:rPr>
        <w:t>to confirm the MUSIM gap granularity extension.</w:t>
      </w:r>
    </w:p>
    <w:p w:rsidR="00FB10D5" w:rsidRPr="00FB10D5" w:rsidRDefault="00FB10D5">
      <w:pPr>
        <w:spacing w:beforeLines="50" w:before="156"/>
      </w:pPr>
    </w:p>
    <w:sectPr w:rsidR="00FB10D5" w:rsidRPr="00FB10D5">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FE8" w:rsidRDefault="00EE4FE8">
      <w:pPr>
        <w:spacing w:line="240" w:lineRule="auto"/>
      </w:pPr>
      <w:r>
        <w:separator/>
      </w:r>
    </w:p>
  </w:endnote>
  <w:endnote w:type="continuationSeparator" w:id="0">
    <w:p w:rsidR="00EE4FE8" w:rsidRDefault="00EE4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D91" w:rsidRDefault="00F81D9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FE8" w:rsidRDefault="00EE4FE8">
      <w:pPr>
        <w:spacing w:after="0"/>
      </w:pPr>
      <w:r>
        <w:separator/>
      </w:r>
    </w:p>
  </w:footnote>
  <w:footnote w:type="continuationSeparator" w:id="0">
    <w:p w:rsidR="00EE4FE8" w:rsidRDefault="00EE4F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D91" w:rsidRDefault="00F81D9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9C3F910"/>
    <w:multiLevelType w:val="singleLevel"/>
    <w:tmpl w:val="E9C3F910"/>
    <w:lvl w:ilvl="0">
      <w:start w:val="1"/>
      <w:numFmt w:val="bullet"/>
      <w:lvlText w:val=""/>
      <w:lvlJc w:val="left"/>
      <w:pPr>
        <w:ind w:left="84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B7D59"/>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277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4AED"/>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46B8"/>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4FE8"/>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1D91"/>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0D5"/>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9D4896"/>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747EC"/>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748C0"/>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E94FE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296954"/>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2571E6-D589-4419-A035-52254343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a"/>
    <w:next w:val="a"/>
    <w:link w:val="2Char"/>
    <w:qFormat/>
    <w:pPr>
      <w:widowControl/>
      <w:tabs>
        <w:tab w:val="left" w:pos="432"/>
      </w:tabs>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54C72-29A3-4F82-8388-EFC253D8D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1100</Words>
  <Characters>6276</Characters>
  <Application>Microsoft Office Word</Application>
  <DocSecurity>0</DocSecurity>
  <Lines>52</Lines>
  <Paragraphs>14</Paragraphs>
  <ScaleCrop>false</ScaleCrop>
  <Company>www.zte.com.cn</Company>
  <LinksUpToDate>false</LinksUpToDate>
  <CharactersWithSpaces>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8</cp:revision>
  <cp:lastPrinted>2113-01-01T00:00:00Z</cp:lastPrinted>
  <dcterms:created xsi:type="dcterms:W3CDTF">2022-08-10T06:25:00Z</dcterms:created>
  <dcterms:modified xsi:type="dcterms:W3CDTF">2022-11-04T08:34:00Z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