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CC097" w14:textId="410510A3" w:rsidR="00A2617F" w:rsidRDefault="00A2617F" w:rsidP="00A2617F">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TSG-RAN2#120</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282024" w:rsidRPr="00282024">
        <w:rPr>
          <w:rFonts w:eastAsia="SimSun" w:cs="Arial"/>
          <w:b/>
          <w:kern w:val="0"/>
          <w:sz w:val="28"/>
          <w:szCs w:val="28"/>
          <w:lang w:val="en-US" w:eastAsia="en-US"/>
        </w:rPr>
        <w:t>R2-2211524</w:t>
      </w:r>
    </w:p>
    <w:p w14:paraId="556BEADC" w14:textId="18A53AEC" w:rsidR="00034CF0" w:rsidRDefault="00A2617F" w:rsidP="00A2617F">
      <w:pPr>
        <w:keepLines/>
        <w:widowControl/>
        <w:tabs>
          <w:tab w:val="left" w:pos="567"/>
        </w:tabs>
        <w:adjustRightInd w:val="0"/>
        <w:snapToGrid w:val="0"/>
        <w:spacing w:after="0" w:line="276" w:lineRule="auto"/>
        <w:jc w:val="left"/>
        <w:rPr>
          <w:rFonts w:cs="Arial"/>
          <w:b/>
          <w:bCs/>
          <w:kern w:val="0"/>
          <w:sz w:val="28"/>
          <w:szCs w:val="28"/>
        </w:rPr>
      </w:pPr>
      <w:r w:rsidRPr="001A2DFD">
        <w:rPr>
          <w:rFonts w:eastAsia="SimSun" w:cs="Arial"/>
          <w:b/>
          <w:kern w:val="0"/>
          <w:sz w:val="28"/>
          <w:szCs w:val="28"/>
          <w:lang w:val="en-US" w:eastAsia="en-US"/>
        </w:rPr>
        <w:t>Toulouse, France,</w:t>
      </w:r>
      <w:r>
        <w:rPr>
          <w:rFonts w:eastAsia="SimSun" w:cs="Arial"/>
          <w:b/>
          <w:kern w:val="0"/>
          <w:sz w:val="28"/>
          <w:szCs w:val="28"/>
          <w:lang w:val="en-US" w:eastAsia="en-US"/>
        </w:rPr>
        <w:t xml:space="preserve"> 14-18 Nov’22</w:t>
      </w:r>
      <w:r>
        <w:rPr>
          <w:rFonts w:eastAsia="SimSun" w:cs="Arial"/>
          <w:b/>
          <w:kern w:val="0"/>
          <w:sz w:val="28"/>
          <w:szCs w:val="28"/>
          <w:lang w:val="en-US" w:eastAsia="en-US"/>
        </w:rPr>
        <w:tab/>
      </w:r>
      <w:r w:rsidR="00C665F2">
        <w:rPr>
          <w:rFonts w:cs="Arial"/>
          <w:b/>
          <w:bCs/>
          <w:kern w:val="0"/>
          <w:sz w:val="28"/>
          <w:szCs w:val="28"/>
        </w:rPr>
        <w:tab/>
        <w:t xml:space="preserve">      </w:t>
      </w:r>
      <w:r w:rsidR="00C665F2">
        <w:rPr>
          <w:rFonts w:cs="Arial"/>
          <w:b/>
          <w:bCs/>
          <w:color w:val="D9D9D9" w:themeColor="background1" w:themeShade="D9"/>
          <w:kern w:val="0"/>
          <w:sz w:val="20"/>
          <w:szCs w:val="28"/>
        </w:rPr>
        <w:t xml:space="preserve">   </w:t>
      </w:r>
    </w:p>
    <w:p w14:paraId="281DEF7C" w14:textId="77777777" w:rsidR="00034CF0" w:rsidRDefault="00C665F2">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F7941AA" w14:textId="659F9C12" w:rsidR="00034CF0" w:rsidRDefault="00C665F2">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1A4B68">
        <w:rPr>
          <w:rFonts w:cs="Arial"/>
          <w:b/>
          <w:bCs/>
          <w:snapToGrid w:val="0"/>
          <w:kern w:val="0"/>
          <w:sz w:val="28"/>
          <w:szCs w:val="28"/>
        </w:rPr>
        <w:t>PDU set to DRB mapping for XR</w:t>
      </w:r>
      <w:r>
        <w:rPr>
          <w:rFonts w:cs="Arial"/>
          <w:b/>
          <w:bCs/>
          <w:snapToGrid w:val="0"/>
          <w:kern w:val="0"/>
          <w:sz w:val="28"/>
          <w:szCs w:val="28"/>
        </w:rPr>
        <w:t xml:space="preserve"> </w:t>
      </w:r>
    </w:p>
    <w:p w14:paraId="09D8D387" w14:textId="73788309"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8.5.2</w:t>
      </w:r>
      <w:r w:rsidR="001A4B68">
        <w:rPr>
          <w:rFonts w:cs="Arial"/>
          <w:b/>
          <w:bCs/>
          <w:snapToGrid w:val="0"/>
          <w:kern w:val="0"/>
          <w:sz w:val="28"/>
          <w:szCs w:val="28"/>
        </w:rPr>
        <w:t>.1</w:t>
      </w:r>
    </w:p>
    <w:p w14:paraId="5E37A16E" w14:textId="77777777"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738EC6E"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7DD2E7E9" w14:textId="35A02758" w:rsidR="00034CF0" w:rsidRDefault="00C665F2">
      <w:pPr>
        <w:pStyle w:val="NormalWeb"/>
        <w:spacing w:before="75" w:beforeAutospacing="0" w:after="75" w:afterAutospacing="0" w:line="315" w:lineRule="atLeast"/>
        <w:rPr>
          <w:rFonts w:cs="Arial"/>
          <w:color w:val="000000"/>
          <w:sz w:val="21"/>
        </w:rPr>
      </w:pPr>
      <w:r>
        <w:rPr>
          <w:rFonts w:cs="Arial"/>
          <w:color w:val="000000"/>
          <w:sz w:val="21"/>
        </w:rPr>
        <w:t>In this contribution we discuss how XR awareness impacts the overall RAN protocol architecture</w:t>
      </w:r>
      <w:r w:rsidR="001A4B68">
        <w:rPr>
          <w:rFonts w:cs="Arial"/>
          <w:color w:val="000000"/>
          <w:sz w:val="21"/>
        </w:rPr>
        <w:t xml:space="preserve"> and discuss the options for mapping the XR traffic to radio resources</w:t>
      </w:r>
      <w:r>
        <w:rPr>
          <w:rFonts w:cs="Arial"/>
          <w:color w:val="000000"/>
          <w:sz w:val="21"/>
        </w:rPr>
        <w:t xml:space="preserve">. </w:t>
      </w:r>
    </w:p>
    <w:p w14:paraId="67868ADE" w14:textId="5E52F7A9" w:rsidR="00034CF0" w:rsidRDefault="001A4B6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Options for mapping XR traffic to radio resources</w:t>
      </w:r>
    </w:p>
    <w:p w14:paraId="2F8A5A30" w14:textId="0CE24958" w:rsidR="00034CF0" w:rsidRDefault="0032696F">
      <w:r>
        <w:t xml:space="preserve">At RAN2#119bis-e, the following models for XR flows to DRB mapping have been agreed to be captured in the TR. </w:t>
      </w:r>
    </w:p>
    <w:p w14:paraId="77C739AD" w14:textId="77777777" w:rsidR="0032696F" w:rsidRDefault="0032696F" w:rsidP="0032696F">
      <w:pPr>
        <w:keepNext/>
      </w:pPr>
      <w:r w:rsidRPr="0032696F">
        <w:rPr>
          <w:noProof/>
        </w:rPr>
        <w:drawing>
          <wp:inline distT="0" distB="0" distL="0" distR="0" wp14:anchorId="746A9576" wp14:editId="346AA51B">
            <wp:extent cx="6210935" cy="2710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10935" cy="2710815"/>
                    </a:xfrm>
                    <a:prstGeom prst="rect">
                      <a:avLst/>
                    </a:prstGeom>
                    <a:noFill/>
                    <a:ln>
                      <a:noFill/>
                    </a:ln>
                  </pic:spPr>
                </pic:pic>
              </a:graphicData>
            </a:graphic>
          </wp:inline>
        </w:drawing>
      </w:r>
    </w:p>
    <w:p w14:paraId="6F98C095" w14:textId="6047C4C3" w:rsidR="0032696F" w:rsidRDefault="0032696F" w:rsidP="0032696F">
      <w:pPr>
        <w:pStyle w:val="Caption"/>
        <w:jc w:val="center"/>
      </w:pPr>
      <w:r>
        <w:t xml:space="preserve">Figure </w:t>
      </w:r>
      <w:fldSimple w:instr=" SEQ Figure \* ARABIC ">
        <w:r>
          <w:rPr>
            <w:noProof/>
          </w:rPr>
          <w:t>1</w:t>
        </w:r>
      </w:fldSimple>
      <w:r>
        <w:t>: PDU Set to DRB mapping options for XR</w:t>
      </w:r>
    </w:p>
    <w:p w14:paraId="7D64CEC6" w14:textId="267229C5" w:rsidR="00AF5064" w:rsidRDefault="00AF5064" w:rsidP="00285FF0">
      <w:r>
        <w:t xml:space="preserve">Since the mapping of PDU Sets to QoS flows is up to SA2, from RAN2 perspective, </w:t>
      </w:r>
      <w:r w:rsidR="00621F11">
        <w:t xml:space="preserve">the above alternatives boil down to two </w:t>
      </w:r>
      <w:r w:rsidR="00AB0F68">
        <w:t>basic</w:t>
      </w:r>
      <w:r w:rsidR="00621F11">
        <w:t xml:space="preserve"> options</w:t>
      </w:r>
      <w:r>
        <w:t xml:space="preserve">: </w:t>
      </w:r>
    </w:p>
    <w:p w14:paraId="79FA5373" w14:textId="7136C119" w:rsidR="00AF5064" w:rsidRDefault="00AF5064" w:rsidP="00285FF0">
      <w:r w:rsidRPr="00AF5064">
        <w:rPr>
          <w:b/>
          <w:bCs/>
          <w:u w:val="single"/>
        </w:rPr>
        <w:t xml:space="preserve">Option 1: </w:t>
      </w:r>
      <w:r w:rsidR="00AB0F68">
        <w:rPr>
          <w:b/>
          <w:bCs/>
          <w:u w:val="single"/>
        </w:rPr>
        <w:t>Many-to-One mapping between PDU Sets and DRBs</w:t>
      </w:r>
      <w:r w:rsidRPr="00AF5064">
        <w:rPr>
          <w:b/>
          <w:bCs/>
          <w:u w:val="single"/>
        </w:rPr>
        <w:t xml:space="preserve"> </w:t>
      </w:r>
      <w:r w:rsidRPr="00621F11">
        <w:t>(Alternatives NN1 and N11)</w:t>
      </w:r>
      <w:r w:rsidR="00621F11">
        <w:t xml:space="preserve">: </w:t>
      </w:r>
    </w:p>
    <w:p w14:paraId="68765322" w14:textId="10B15B23" w:rsidR="00AF5064" w:rsidRDefault="00AF5064" w:rsidP="00285FF0">
      <w:r w:rsidRPr="00AF5064">
        <w:rPr>
          <w:b/>
          <w:bCs/>
          <w:u w:val="single"/>
        </w:rPr>
        <w:t xml:space="preserve">Option 2: </w:t>
      </w:r>
      <w:r w:rsidR="00AB0F68">
        <w:rPr>
          <w:b/>
          <w:bCs/>
          <w:u w:val="single"/>
        </w:rPr>
        <w:t>One-to-One mapping between PDU Sets and DRBs</w:t>
      </w:r>
      <w:r w:rsidRPr="00AF5064">
        <w:rPr>
          <w:b/>
          <w:bCs/>
          <w:u w:val="single"/>
        </w:rPr>
        <w:t xml:space="preserve"> </w:t>
      </w:r>
      <w:r w:rsidRPr="00621F11">
        <w:t>(Alternatives 111 and N1N)</w:t>
      </w:r>
      <w:r w:rsidR="00621F11">
        <w:t>:</w:t>
      </w:r>
    </w:p>
    <w:p w14:paraId="4A317B0B" w14:textId="67EEA672" w:rsidR="00621F11" w:rsidRDefault="00621F11" w:rsidP="00285FF0">
      <w:r w:rsidRPr="00621F11">
        <w:t>Then,</w:t>
      </w:r>
      <w:r>
        <w:t xml:space="preserve"> looking further into these options, we can make the following observations. </w:t>
      </w:r>
    </w:p>
    <w:p w14:paraId="646EF4A1" w14:textId="7582B71A" w:rsidR="0032696F" w:rsidRPr="0032696F" w:rsidRDefault="00621F11" w:rsidP="0032696F">
      <w:pPr>
        <w:pStyle w:val="ListParagraph"/>
        <w:numPr>
          <w:ilvl w:val="0"/>
          <w:numId w:val="15"/>
        </w:numPr>
        <w:ind w:firstLineChars="0"/>
        <w:rPr>
          <w:b/>
          <w:bCs/>
          <w:u w:val="single"/>
        </w:rPr>
      </w:pPr>
      <w:r>
        <w:rPr>
          <w:b/>
          <w:bCs/>
          <w:u w:val="single"/>
        </w:rPr>
        <w:lastRenderedPageBreak/>
        <w:t>Option 1 (NN1 and N11)</w:t>
      </w:r>
    </w:p>
    <w:p w14:paraId="2C256204" w14:textId="62E6E1AA" w:rsidR="00621F11" w:rsidRDefault="00621F11" w:rsidP="00621F11">
      <w:pPr>
        <w:pStyle w:val="ListParagraph"/>
        <w:numPr>
          <w:ilvl w:val="1"/>
          <w:numId w:val="15"/>
        </w:numPr>
        <w:ind w:firstLineChars="0"/>
      </w:pPr>
      <w:r>
        <w:t>Allows in-order delivery across PDU Sets</w:t>
      </w:r>
    </w:p>
    <w:p w14:paraId="62F3EC9F" w14:textId="77777777" w:rsidR="00621F11" w:rsidRDefault="00621F11" w:rsidP="00621F11">
      <w:pPr>
        <w:pStyle w:val="ListParagraph"/>
        <w:numPr>
          <w:ilvl w:val="1"/>
          <w:numId w:val="15"/>
        </w:numPr>
        <w:ind w:firstLineChars="0"/>
      </w:pPr>
      <w:r>
        <w:t>Different QoS for different PDU Sets using existing QoS architecture is not possible currently, but can be provided with some enhancements</w:t>
      </w:r>
    </w:p>
    <w:p w14:paraId="62B6287A" w14:textId="499C5F8D" w:rsidR="00621F11" w:rsidRDefault="00621F11" w:rsidP="00621F11">
      <w:pPr>
        <w:pStyle w:val="ListParagraph"/>
        <w:numPr>
          <w:ilvl w:val="2"/>
          <w:numId w:val="15"/>
        </w:numPr>
        <w:ind w:firstLineChars="0"/>
      </w:pPr>
      <w:r>
        <w:t>Possible enhancements may include mapping different PDU Sets to different LCHs</w:t>
      </w:r>
      <w:r w:rsidRPr="00621F11">
        <w:t xml:space="preserve"> </w:t>
      </w:r>
      <w:r w:rsidR="00A4472F">
        <w:t>(this will need same number of LCHs as PDU Sets)</w:t>
      </w:r>
    </w:p>
    <w:p w14:paraId="1C58488F" w14:textId="374EBE4A" w:rsidR="00621F11" w:rsidRPr="0032696F" w:rsidRDefault="00621F11" w:rsidP="00621F11">
      <w:pPr>
        <w:pStyle w:val="ListParagraph"/>
        <w:numPr>
          <w:ilvl w:val="0"/>
          <w:numId w:val="15"/>
        </w:numPr>
        <w:ind w:firstLineChars="0"/>
        <w:rPr>
          <w:b/>
          <w:bCs/>
          <w:u w:val="single"/>
        </w:rPr>
      </w:pPr>
      <w:r>
        <w:rPr>
          <w:b/>
          <w:bCs/>
          <w:u w:val="single"/>
        </w:rPr>
        <w:t>Option 2 (111 and N1N)</w:t>
      </w:r>
    </w:p>
    <w:p w14:paraId="01E44B74" w14:textId="23A1674E" w:rsidR="00621F11" w:rsidRDefault="00621F11" w:rsidP="00621F11">
      <w:pPr>
        <w:pStyle w:val="ListParagraph"/>
        <w:numPr>
          <w:ilvl w:val="1"/>
          <w:numId w:val="15"/>
        </w:numPr>
        <w:ind w:firstLineChars="0"/>
      </w:pPr>
      <w:r>
        <w:t>Does not provide in-order delivery across PDU Sets</w:t>
      </w:r>
    </w:p>
    <w:p w14:paraId="6707D781" w14:textId="38B5B695" w:rsidR="00621F11" w:rsidRDefault="00621F11" w:rsidP="00A4472F">
      <w:pPr>
        <w:pStyle w:val="ListParagraph"/>
        <w:numPr>
          <w:ilvl w:val="1"/>
          <w:numId w:val="15"/>
        </w:numPr>
        <w:ind w:firstLineChars="0"/>
      </w:pPr>
      <w:r>
        <w:t xml:space="preserve">Different QoS for different PDU Sets </w:t>
      </w:r>
      <w:r w:rsidR="00A4472F">
        <w:t xml:space="preserve">is possible </w:t>
      </w:r>
      <w:r>
        <w:t xml:space="preserve">using existing QoS architecture </w:t>
      </w:r>
    </w:p>
    <w:p w14:paraId="7C02E735" w14:textId="77777777" w:rsidR="00A4472F" w:rsidRDefault="00A4472F" w:rsidP="00A4472F">
      <w:pPr>
        <w:pStyle w:val="ListParagraph"/>
        <w:numPr>
          <w:ilvl w:val="1"/>
          <w:numId w:val="15"/>
        </w:numPr>
        <w:ind w:firstLineChars="0"/>
      </w:pPr>
      <w:r>
        <w:t>Needs to support as many DRBs as PDU Sets</w:t>
      </w:r>
    </w:p>
    <w:p w14:paraId="10C3B01E" w14:textId="4F5C56E8" w:rsidR="00A4472F" w:rsidRDefault="00A4472F" w:rsidP="00A4472F">
      <w:r>
        <w:t>Based on the above, it is clear that providing differential QoS for different PDU Sets is feasible in both options. However, the main question is whether in-order delivery is needed for packets across different PDU Sets is needed or not.</w:t>
      </w:r>
      <w:r w:rsidR="00274E0A">
        <w:t xml:space="preserve"> The enhancements for XR should support a wide variety of applications and it is conceivable that some of these applications may need in-order delivery of packets across PDU Sets, whilst some other applications may not require this. So, the requirement for in-order delivery may be </w:t>
      </w:r>
      <w:r>
        <w:t xml:space="preserve">not same for all applications. However, RAN should decide which option to support among the above options based on the need for the in-order delivery requirement. </w:t>
      </w:r>
      <w:r w:rsidR="00DB41A0">
        <w:t xml:space="preserve">It should be noted that of course it is feasible to also define reordering above PDCP layer. However, this will add unnecessary complexity and overhead to the protocol operation and hence is not recommended. </w:t>
      </w:r>
      <w:r>
        <w:t xml:space="preserve">So, based on the above, we make the following proposals. </w:t>
      </w:r>
    </w:p>
    <w:p w14:paraId="7D1CC152" w14:textId="10460003" w:rsidR="008D2304" w:rsidRDefault="00A4472F" w:rsidP="00A4472F">
      <w:pPr>
        <w:rPr>
          <w:b/>
          <w:bCs/>
        </w:rPr>
      </w:pPr>
      <w:r>
        <w:rPr>
          <w:b/>
          <w:bCs/>
        </w:rPr>
        <w:t>Proposal 1: If in-order delivery across PDU Sets is required</w:t>
      </w:r>
      <w:r w:rsidR="008D2304">
        <w:rPr>
          <w:b/>
          <w:bCs/>
        </w:rPr>
        <w:t xml:space="preserve">: </w:t>
      </w:r>
    </w:p>
    <w:p w14:paraId="04A1CB1F" w14:textId="47F2336D" w:rsidR="00A4472F" w:rsidRDefault="00AB0F68" w:rsidP="008D2304">
      <w:pPr>
        <w:pStyle w:val="ListParagraph"/>
        <w:numPr>
          <w:ilvl w:val="0"/>
          <w:numId w:val="15"/>
        </w:numPr>
        <w:ind w:firstLineChars="0"/>
        <w:rPr>
          <w:b/>
          <w:bCs/>
        </w:rPr>
      </w:pPr>
      <w:r>
        <w:rPr>
          <w:b/>
          <w:bCs/>
        </w:rPr>
        <w:t>1a: Different</w:t>
      </w:r>
      <w:r w:rsidR="008D2304">
        <w:rPr>
          <w:b/>
          <w:bCs/>
        </w:rPr>
        <w:t xml:space="preserve"> </w:t>
      </w:r>
      <w:r w:rsidR="00A4472F" w:rsidRPr="008D2304">
        <w:rPr>
          <w:b/>
          <w:bCs/>
        </w:rPr>
        <w:t xml:space="preserve">PDU Sets </w:t>
      </w:r>
      <w:r w:rsidR="008D2304">
        <w:rPr>
          <w:b/>
          <w:bCs/>
        </w:rPr>
        <w:t xml:space="preserve">(that require in-order delivery) </w:t>
      </w:r>
      <w:r w:rsidR="00A4472F" w:rsidRPr="008D2304">
        <w:rPr>
          <w:b/>
          <w:bCs/>
        </w:rPr>
        <w:t>should be mapped to the same DRB (</w:t>
      </w:r>
      <w:proofErr w:type="gramStart"/>
      <w:r w:rsidR="00A4472F" w:rsidRPr="008D2304">
        <w:rPr>
          <w:b/>
          <w:bCs/>
        </w:rPr>
        <w:t>i.e.</w:t>
      </w:r>
      <w:proofErr w:type="gramEnd"/>
      <w:r w:rsidR="00A4472F" w:rsidRPr="008D2304">
        <w:rPr>
          <w:b/>
          <w:bCs/>
        </w:rPr>
        <w:t xml:space="preserve"> Option 1 – NN1/N11)</w:t>
      </w:r>
    </w:p>
    <w:p w14:paraId="584C914B" w14:textId="50D33796" w:rsidR="008D2304" w:rsidRPr="008D2304" w:rsidRDefault="00AB0F68" w:rsidP="008D2304">
      <w:pPr>
        <w:pStyle w:val="ListParagraph"/>
        <w:numPr>
          <w:ilvl w:val="0"/>
          <w:numId w:val="15"/>
        </w:numPr>
        <w:ind w:firstLineChars="0"/>
        <w:rPr>
          <w:b/>
          <w:bCs/>
        </w:rPr>
      </w:pPr>
      <w:r>
        <w:rPr>
          <w:b/>
          <w:bCs/>
        </w:rPr>
        <w:t xml:space="preserve">1b: </w:t>
      </w:r>
      <w:r w:rsidR="008D2304">
        <w:rPr>
          <w:b/>
          <w:bCs/>
        </w:rPr>
        <w:t>Differential QoS across PDU Sets is handled in this case by mapping different PDU Sets to different logical channels</w:t>
      </w:r>
    </w:p>
    <w:p w14:paraId="73B89ACF" w14:textId="18423FB3" w:rsidR="00A4472F" w:rsidRPr="008D2304" w:rsidRDefault="00A4472F" w:rsidP="008D2304">
      <w:pPr>
        <w:rPr>
          <w:b/>
          <w:bCs/>
        </w:rPr>
      </w:pPr>
      <w:r>
        <w:rPr>
          <w:b/>
          <w:bCs/>
        </w:rPr>
        <w:t>Proposal 2: If in-order delivery across PDU Sets is not required</w:t>
      </w:r>
      <w:r w:rsidR="008D2304">
        <w:rPr>
          <w:b/>
          <w:bCs/>
        </w:rPr>
        <w:t>, d</w:t>
      </w:r>
      <w:r w:rsidRPr="008D2304">
        <w:rPr>
          <w:b/>
          <w:bCs/>
        </w:rPr>
        <w:t xml:space="preserve">ifferent PDU Sets </w:t>
      </w:r>
      <w:r w:rsidRPr="00AB0F68">
        <w:rPr>
          <w:b/>
          <w:bCs/>
          <w:u w:val="single"/>
        </w:rPr>
        <w:t>may be</w:t>
      </w:r>
      <w:r w:rsidRPr="008D2304">
        <w:rPr>
          <w:b/>
          <w:bCs/>
        </w:rPr>
        <w:t xml:space="preserve"> mapped to the different DRBs (i.e.</w:t>
      </w:r>
      <w:r w:rsidR="00AB0F68">
        <w:rPr>
          <w:b/>
          <w:bCs/>
        </w:rPr>
        <w:t>,</w:t>
      </w:r>
      <w:r w:rsidRPr="008D2304">
        <w:rPr>
          <w:b/>
          <w:bCs/>
        </w:rPr>
        <w:t xml:space="preserve"> Option 2 – 111/N1N)</w:t>
      </w:r>
      <w:r w:rsidR="00AB0F68">
        <w:rPr>
          <w:b/>
          <w:bCs/>
        </w:rPr>
        <w:t xml:space="preserve"> </w:t>
      </w:r>
      <w:r w:rsidR="00AB0F68" w:rsidRPr="00AB0F68">
        <w:rPr>
          <w:i/>
          <w:iCs/>
        </w:rPr>
        <w:t xml:space="preserve">– </w:t>
      </w:r>
      <w:r w:rsidR="004A6301" w:rsidRPr="00AB0F68">
        <w:rPr>
          <w:i/>
          <w:iCs/>
        </w:rPr>
        <w:t xml:space="preserve">this option </w:t>
      </w:r>
      <w:r w:rsidR="004A6301">
        <w:rPr>
          <w:i/>
          <w:iCs/>
        </w:rPr>
        <w:t>reuses existing QoS model at RAN</w:t>
      </w:r>
    </w:p>
    <w:p w14:paraId="306DD2D8" w14:textId="5518D6B6" w:rsidR="00DB41A0" w:rsidRDefault="00DB41A0" w:rsidP="00A4472F">
      <w:pPr>
        <w:rPr>
          <w:b/>
          <w:bCs/>
        </w:rPr>
      </w:pPr>
      <w:r>
        <w:rPr>
          <w:b/>
          <w:bCs/>
        </w:rPr>
        <w:t>Proposal 3: RAN2 should not define any new reordering mechanism above PDCP layer</w:t>
      </w:r>
    </w:p>
    <w:p w14:paraId="76F941C9" w14:textId="0793DA52" w:rsidR="00A4472F" w:rsidRDefault="00A4472F" w:rsidP="00A4472F">
      <w:pPr>
        <w:rPr>
          <w:b/>
          <w:bCs/>
        </w:rPr>
      </w:pPr>
      <w:r w:rsidRPr="00A4472F">
        <w:rPr>
          <w:b/>
          <w:bCs/>
        </w:rPr>
        <w:t xml:space="preserve">Proposal </w:t>
      </w:r>
      <w:r w:rsidR="00DB41A0">
        <w:rPr>
          <w:b/>
          <w:bCs/>
        </w:rPr>
        <w:t>4</w:t>
      </w:r>
      <w:r w:rsidRPr="00A4472F">
        <w:rPr>
          <w:b/>
          <w:bCs/>
        </w:rPr>
        <w:t xml:space="preserve">: RAN2 should inform SA2 that RAN needs to know whether in-order delivery across PDU Sets is required for </w:t>
      </w:r>
      <w:r>
        <w:rPr>
          <w:b/>
          <w:bCs/>
        </w:rPr>
        <w:t xml:space="preserve">a given </w:t>
      </w:r>
      <w:r w:rsidRPr="00A4472F">
        <w:rPr>
          <w:b/>
          <w:bCs/>
        </w:rPr>
        <w:t>XR application</w:t>
      </w:r>
      <w:r w:rsidR="00AB0F68">
        <w:rPr>
          <w:b/>
          <w:bCs/>
        </w:rPr>
        <w:t>/XR PDU Session</w:t>
      </w:r>
    </w:p>
    <w:p w14:paraId="0B03ACDB" w14:textId="77777777" w:rsidR="0032696F" w:rsidRDefault="0032696F" w:rsidP="0032696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PDU-set awareness in UL</w:t>
      </w:r>
    </w:p>
    <w:p w14:paraId="270AF665" w14:textId="77777777" w:rsidR="0032696F" w:rsidRDefault="0032696F" w:rsidP="0032696F">
      <w:r>
        <w:t xml:space="preserve">In NR, QoS handling is mainly based on </w:t>
      </w:r>
      <w:r w:rsidRPr="008C36AE">
        <w:rPr>
          <w:i/>
          <w:iCs/>
        </w:rPr>
        <w:t>QoS Flows</w:t>
      </w:r>
      <w:r>
        <w:t xml:space="preserve">. i.e., currently, the </w:t>
      </w:r>
      <w:r w:rsidRPr="008C36AE">
        <w:rPr>
          <w:i/>
          <w:iCs/>
        </w:rPr>
        <w:t>QoS Flow</w:t>
      </w:r>
      <w:r>
        <w:t xml:space="preserve"> is the finest granularity </w:t>
      </w:r>
      <w:r>
        <w:lastRenderedPageBreak/>
        <w:t xml:space="preserve">of QoS differentiation in the PDU Session. In UL, the application/service layer traffic (above the 3GPP protocol layers) are mapped to a given QoS flow based on QoS rules which are configured in the UE using NAS signalling. Reflective QoS is also used when configured based on the mapping used the opposite link. QoS flows today are largely determined based on the 5-Tupple IP identities. </w:t>
      </w:r>
    </w:p>
    <w:p w14:paraId="6A9B5A4E" w14:textId="77777777" w:rsidR="0032696F" w:rsidRDefault="0032696F" w:rsidP="0032696F">
      <w:r>
        <w:t>In case of XR, 5-Tupple IP identities is not sufficient for determining the QoS flows. In other words, an application using same 5-Tupple IP identities may generate data requiring different QoS requirements (PDU-sets). From RAN perspective, we need to understand how the UE can map these PDU-sets to different DRBs. Similar to QoS flows, NAS signalling will be required to enable the mapping of PDU-sets to different QoS flows or sub-</w:t>
      </w:r>
      <w:proofErr w:type="spellStart"/>
      <w:r>
        <w:t>Qos</w:t>
      </w:r>
      <w:proofErr w:type="spellEnd"/>
      <w:r>
        <w:t xml:space="preserve">-Flows. This can be left to CT1 and SA2. From RAN2 perspective, we can assume that the SDAP layer can be aware of the PDU-set level QoS requirements (either based on QoS flows or sub-QoS-Flows) and this can be reused to map XR traffic in UL to DRBs. </w:t>
      </w:r>
    </w:p>
    <w:p w14:paraId="64E44577" w14:textId="3D475867" w:rsidR="0032696F" w:rsidRPr="00F02D4E" w:rsidRDefault="0032696F" w:rsidP="0032696F">
      <w:pPr>
        <w:rPr>
          <w:b/>
          <w:bCs/>
        </w:rPr>
      </w:pPr>
      <w:r w:rsidRPr="00F02D4E">
        <w:rPr>
          <w:b/>
          <w:bCs/>
        </w:rPr>
        <w:t xml:space="preserve">Proposal </w:t>
      </w:r>
      <w:r w:rsidR="00DB41A0">
        <w:rPr>
          <w:b/>
          <w:bCs/>
        </w:rPr>
        <w:t>5</w:t>
      </w:r>
      <w:r w:rsidRPr="00F02D4E">
        <w:rPr>
          <w:b/>
          <w:bCs/>
        </w:rPr>
        <w:t xml:space="preserve">: </w:t>
      </w:r>
      <w:r>
        <w:rPr>
          <w:b/>
          <w:bCs/>
        </w:rPr>
        <w:t xml:space="preserve">For UL XR traffic, </w:t>
      </w:r>
      <w:r w:rsidRPr="00F02D4E">
        <w:rPr>
          <w:b/>
          <w:bCs/>
        </w:rPr>
        <w:t>SDAP layer can use PDU-set level QoS Identifiers (either existing QoS flows or sub-QoS-Flows</w:t>
      </w:r>
      <w:r>
        <w:rPr>
          <w:b/>
          <w:bCs/>
        </w:rPr>
        <w:t xml:space="preserve"> or any other identifier defined by CT1/SA2</w:t>
      </w:r>
      <w:r w:rsidRPr="00F02D4E">
        <w:rPr>
          <w:b/>
          <w:bCs/>
        </w:rPr>
        <w:t>) to enable mapping of UL XR traffic to DRBs</w:t>
      </w:r>
    </w:p>
    <w:p w14:paraId="2449CBFC" w14:textId="77777777" w:rsidR="0032696F" w:rsidRDefault="0032696F" w:rsidP="0032696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PDU-set awareness in DL</w:t>
      </w:r>
    </w:p>
    <w:p w14:paraId="3E234FA6" w14:textId="77777777" w:rsidR="0032696F" w:rsidRDefault="0032696F" w:rsidP="0032696F">
      <w:r>
        <w:t xml:space="preserve">For DL, the QoS rules are configured by the SMF to various RAN nodes and these rules are used in determining the QoS flow for each of the application/service layer traffic. In addition, for XR traffic, SA2 are discussing conveying the PDU-Set identifiers explicitly in GTP header for each UP packet in DL. So, in RAN, the mapping between the DL XR traffic and the DRBs can be done based on either the QoS flow/sub-QoS-Flow information or based on the explicit identifiers in GTP header. </w:t>
      </w:r>
    </w:p>
    <w:p w14:paraId="6BB3699F" w14:textId="5D06C5AF" w:rsidR="0032696F" w:rsidRPr="00490024" w:rsidRDefault="0032696F" w:rsidP="0032696F">
      <w:pPr>
        <w:rPr>
          <w:b/>
          <w:bCs/>
        </w:rPr>
      </w:pPr>
      <w:r w:rsidRPr="000D7A5A">
        <w:rPr>
          <w:b/>
          <w:bCs/>
        </w:rPr>
        <w:t xml:space="preserve">Proposal </w:t>
      </w:r>
      <w:r w:rsidR="00DB41A0">
        <w:rPr>
          <w:b/>
          <w:bCs/>
        </w:rPr>
        <w:t>6</w:t>
      </w:r>
      <w:r w:rsidRPr="000D7A5A">
        <w:rPr>
          <w:b/>
          <w:bCs/>
        </w:rPr>
        <w:t xml:space="preserve">: In DL the </w:t>
      </w:r>
      <w:proofErr w:type="spellStart"/>
      <w:r w:rsidRPr="000D7A5A">
        <w:rPr>
          <w:b/>
          <w:bCs/>
        </w:rPr>
        <w:t>gNB</w:t>
      </w:r>
      <w:proofErr w:type="spellEnd"/>
      <w:r w:rsidRPr="000D7A5A">
        <w:rPr>
          <w:b/>
          <w:bCs/>
        </w:rPr>
        <w:t xml:space="preserve"> can map the DL XR traffic to DRBs based on QoS flow/sub-QoS-Flow information or based on explicit PDU-set identifiers in the GTP header (if introduced by SA2) </w:t>
      </w:r>
    </w:p>
    <w:p w14:paraId="0E9CE4CA" w14:textId="7711FAFA" w:rsidR="00B57665" w:rsidRDefault="00B57665" w:rsidP="00B57665">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7D979237" w14:textId="72CCEF19" w:rsidR="00E316FF" w:rsidRDefault="00E316FF" w:rsidP="00F95C64">
      <w:pPr>
        <w:rPr>
          <w:rFonts w:cs="Arial"/>
          <w:color w:val="000000"/>
        </w:rPr>
      </w:pPr>
      <w:r>
        <w:rPr>
          <w:rFonts w:cs="Arial"/>
          <w:color w:val="000000"/>
        </w:rPr>
        <w:t xml:space="preserve">In this paper, we discuss how XR awareness impacts the overall RAN protocol architecture and the following proposals are made. Note: the proposals that need feedback/attention from SA2 are </w:t>
      </w:r>
      <w:r w:rsidRPr="00E316FF">
        <w:rPr>
          <w:rFonts w:cs="Arial"/>
          <w:color w:val="000000"/>
          <w:highlight w:val="yellow"/>
        </w:rPr>
        <w:t>highlighted</w:t>
      </w:r>
      <w:r>
        <w:rPr>
          <w:rFonts w:cs="Arial"/>
          <w:color w:val="000000"/>
        </w:rPr>
        <w:t xml:space="preserve">. </w:t>
      </w:r>
    </w:p>
    <w:p w14:paraId="1B0DF8AB" w14:textId="77777777" w:rsidR="004A6301" w:rsidRDefault="004A6301" w:rsidP="004A6301">
      <w:pPr>
        <w:rPr>
          <w:b/>
          <w:bCs/>
        </w:rPr>
      </w:pPr>
      <w:bookmarkStart w:id="6" w:name="_Toc18404543"/>
      <w:bookmarkStart w:id="7" w:name="_Toc18413612"/>
      <w:bookmarkStart w:id="8" w:name="_Toc18403976"/>
      <w:r>
        <w:rPr>
          <w:b/>
          <w:bCs/>
        </w:rPr>
        <w:t xml:space="preserve">Proposal 1: If in-order delivery across PDU Sets is required: </w:t>
      </w:r>
    </w:p>
    <w:p w14:paraId="0209812E" w14:textId="77777777" w:rsidR="004A6301" w:rsidRDefault="004A6301" w:rsidP="004A6301">
      <w:pPr>
        <w:pStyle w:val="ListParagraph"/>
        <w:numPr>
          <w:ilvl w:val="0"/>
          <w:numId w:val="15"/>
        </w:numPr>
        <w:ind w:firstLineChars="0"/>
        <w:rPr>
          <w:b/>
          <w:bCs/>
        </w:rPr>
      </w:pPr>
      <w:r>
        <w:rPr>
          <w:b/>
          <w:bCs/>
        </w:rPr>
        <w:t xml:space="preserve">1a: Different </w:t>
      </w:r>
      <w:r w:rsidRPr="008D2304">
        <w:rPr>
          <w:b/>
          <w:bCs/>
        </w:rPr>
        <w:t xml:space="preserve">PDU Sets </w:t>
      </w:r>
      <w:r>
        <w:rPr>
          <w:b/>
          <w:bCs/>
        </w:rPr>
        <w:t xml:space="preserve">(that require in-order delivery) </w:t>
      </w:r>
      <w:r w:rsidRPr="008D2304">
        <w:rPr>
          <w:b/>
          <w:bCs/>
        </w:rPr>
        <w:t>should be mapped to the same DRB (</w:t>
      </w:r>
      <w:proofErr w:type="gramStart"/>
      <w:r w:rsidRPr="008D2304">
        <w:rPr>
          <w:b/>
          <w:bCs/>
        </w:rPr>
        <w:t>i.e.</w:t>
      </w:r>
      <w:proofErr w:type="gramEnd"/>
      <w:r w:rsidRPr="008D2304">
        <w:rPr>
          <w:b/>
          <w:bCs/>
        </w:rPr>
        <w:t xml:space="preserve"> Option 1 – NN1/N11)</w:t>
      </w:r>
    </w:p>
    <w:p w14:paraId="41AD8482" w14:textId="77777777" w:rsidR="004A6301" w:rsidRPr="008D2304" w:rsidRDefault="004A6301" w:rsidP="004A6301">
      <w:pPr>
        <w:pStyle w:val="ListParagraph"/>
        <w:numPr>
          <w:ilvl w:val="0"/>
          <w:numId w:val="15"/>
        </w:numPr>
        <w:ind w:firstLineChars="0"/>
        <w:rPr>
          <w:b/>
          <w:bCs/>
        </w:rPr>
      </w:pPr>
      <w:r>
        <w:rPr>
          <w:b/>
          <w:bCs/>
        </w:rPr>
        <w:t>1b: Differential QoS across PDU Sets is handled in this case by mapping different PDU Sets to different logical channels</w:t>
      </w:r>
    </w:p>
    <w:p w14:paraId="38C159AA" w14:textId="3E452A70" w:rsidR="004A6301" w:rsidRPr="008D2304" w:rsidRDefault="004A6301" w:rsidP="004A6301">
      <w:pPr>
        <w:rPr>
          <w:b/>
          <w:bCs/>
        </w:rPr>
      </w:pPr>
      <w:r>
        <w:rPr>
          <w:b/>
          <w:bCs/>
        </w:rPr>
        <w:t>Proposal 2: If in-order delivery across PDU Sets is not required, d</w:t>
      </w:r>
      <w:r w:rsidRPr="008D2304">
        <w:rPr>
          <w:b/>
          <w:bCs/>
        </w:rPr>
        <w:t xml:space="preserve">ifferent PDU Sets </w:t>
      </w:r>
      <w:r w:rsidRPr="00AB0F68">
        <w:rPr>
          <w:b/>
          <w:bCs/>
          <w:u w:val="single"/>
        </w:rPr>
        <w:t>may be</w:t>
      </w:r>
      <w:r w:rsidRPr="008D2304">
        <w:rPr>
          <w:b/>
          <w:bCs/>
        </w:rPr>
        <w:t xml:space="preserve"> mapped to the different DRBs (i.e.</w:t>
      </w:r>
      <w:r>
        <w:rPr>
          <w:b/>
          <w:bCs/>
        </w:rPr>
        <w:t>,</w:t>
      </w:r>
      <w:r w:rsidRPr="008D2304">
        <w:rPr>
          <w:b/>
          <w:bCs/>
        </w:rPr>
        <w:t xml:space="preserve"> Option 2 – 111/N1N)</w:t>
      </w:r>
      <w:r>
        <w:rPr>
          <w:b/>
          <w:bCs/>
        </w:rPr>
        <w:t xml:space="preserve"> </w:t>
      </w:r>
      <w:r w:rsidRPr="00AB0F68">
        <w:rPr>
          <w:i/>
          <w:iCs/>
        </w:rPr>
        <w:t xml:space="preserve">– this option </w:t>
      </w:r>
      <w:r>
        <w:rPr>
          <w:i/>
          <w:iCs/>
        </w:rPr>
        <w:t>reuses existing QoS model at RAN</w:t>
      </w:r>
    </w:p>
    <w:p w14:paraId="2813A105" w14:textId="77777777" w:rsidR="00DB41A0" w:rsidRDefault="00DB41A0" w:rsidP="00DB41A0">
      <w:pPr>
        <w:rPr>
          <w:b/>
          <w:bCs/>
        </w:rPr>
      </w:pPr>
      <w:r>
        <w:rPr>
          <w:b/>
          <w:bCs/>
        </w:rPr>
        <w:t>Proposal 3: RAN2 should not define any new reordering mechanism above PDCP layer</w:t>
      </w:r>
    </w:p>
    <w:p w14:paraId="6C99AD2A" w14:textId="0444888C" w:rsidR="004A6301" w:rsidRDefault="004A6301" w:rsidP="004A6301">
      <w:pPr>
        <w:rPr>
          <w:b/>
          <w:bCs/>
        </w:rPr>
      </w:pPr>
      <w:r w:rsidRPr="004A6301">
        <w:rPr>
          <w:b/>
          <w:bCs/>
          <w:highlight w:val="yellow"/>
        </w:rPr>
        <w:lastRenderedPageBreak/>
        <w:t xml:space="preserve">Proposal </w:t>
      </w:r>
      <w:r w:rsidR="00DB41A0">
        <w:rPr>
          <w:b/>
          <w:bCs/>
          <w:highlight w:val="yellow"/>
        </w:rPr>
        <w:t>4</w:t>
      </w:r>
      <w:r w:rsidRPr="004A6301">
        <w:rPr>
          <w:b/>
          <w:bCs/>
          <w:highlight w:val="yellow"/>
        </w:rPr>
        <w:t>: RAN2 should inform SA2 that RAN needs to know whether in-order delivery across PDU Sets is required for a given XR application/XR PDU Session</w:t>
      </w:r>
    </w:p>
    <w:p w14:paraId="5E951F5D" w14:textId="62B3B824" w:rsidR="004A6301" w:rsidRPr="00F02D4E" w:rsidRDefault="004A6301" w:rsidP="004A6301">
      <w:pPr>
        <w:rPr>
          <w:b/>
          <w:bCs/>
        </w:rPr>
      </w:pPr>
      <w:r w:rsidRPr="00F02D4E">
        <w:rPr>
          <w:b/>
          <w:bCs/>
        </w:rPr>
        <w:t xml:space="preserve">Proposal </w:t>
      </w:r>
      <w:r w:rsidR="00DB41A0">
        <w:rPr>
          <w:b/>
          <w:bCs/>
        </w:rPr>
        <w:t>5</w:t>
      </w:r>
      <w:r w:rsidRPr="00F02D4E">
        <w:rPr>
          <w:b/>
          <w:bCs/>
        </w:rPr>
        <w:t xml:space="preserve">: </w:t>
      </w:r>
      <w:r>
        <w:rPr>
          <w:b/>
          <w:bCs/>
        </w:rPr>
        <w:t xml:space="preserve">For UL XR traffic, </w:t>
      </w:r>
      <w:r w:rsidRPr="00F02D4E">
        <w:rPr>
          <w:b/>
          <w:bCs/>
        </w:rPr>
        <w:t>SDAP layer can use PDU-set level QoS Identifiers (either existing QoS flows or sub-QoS-Flows</w:t>
      </w:r>
      <w:r>
        <w:rPr>
          <w:b/>
          <w:bCs/>
        </w:rPr>
        <w:t xml:space="preserve"> or any other identifier defined by CT1/SA2</w:t>
      </w:r>
      <w:r w:rsidRPr="00F02D4E">
        <w:rPr>
          <w:b/>
          <w:bCs/>
        </w:rPr>
        <w:t>) to enable mapping of UL XR traffic to DRBs</w:t>
      </w:r>
    </w:p>
    <w:p w14:paraId="19E11D69" w14:textId="204AB541" w:rsidR="004A6301" w:rsidRPr="00490024" w:rsidRDefault="004A6301" w:rsidP="004A6301">
      <w:pPr>
        <w:rPr>
          <w:b/>
          <w:bCs/>
        </w:rPr>
      </w:pPr>
      <w:r w:rsidRPr="000D7A5A">
        <w:rPr>
          <w:b/>
          <w:bCs/>
        </w:rPr>
        <w:t xml:space="preserve">Proposal </w:t>
      </w:r>
      <w:r w:rsidR="00DB41A0">
        <w:rPr>
          <w:b/>
          <w:bCs/>
        </w:rPr>
        <w:t>6</w:t>
      </w:r>
      <w:r w:rsidRPr="000D7A5A">
        <w:rPr>
          <w:b/>
          <w:bCs/>
        </w:rPr>
        <w:t xml:space="preserve">: In DL the </w:t>
      </w:r>
      <w:proofErr w:type="spellStart"/>
      <w:r w:rsidRPr="000D7A5A">
        <w:rPr>
          <w:b/>
          <w:bCs/>
        </w:rPr>
        <w:t>gNB</w:t>
      </w:r>
      <w:proofErr w:type="spellEnd"/>
      <w:r w:rsidRPr="000D7A5A">
        <w:rPr>
          <w:b/>
          <w:bCs/>
        </w:rPr>
        <w:t xml:space="preserve"> can map the DL XR traffic to DRBs based on QoS flow/sub-QoS-Flow information or based on explicit PDU-set identifiers in the GTP header (if introduced by SA2) </w:t>
      </w:r>
    </w:p>
    <w:p w14:paraId="6BF7D3D7"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1D86E2FB" w14:textId="77777777" w:rsidR="00034CF0" w:rsidRDefault="00C665F2">
      <w:pPr>
        <w:pStyle w:val="ListParagraph"/>
        <w:numPr>
          <w:ilvl w:val="0"/>
          <w:numId w:val="10"/>
        </w:numPr>
        <w:ind w:firstLineChars="0"/>
      </w:pPr>
      <w:bookmarkStart w:id="9" w:name="_Ref106366882"/>
      <w:r>
        <w:t>S2-2201087, Key issue on traffic characteristics of XR and media service, SA2#149-e</w:t>
      </w:r>
      <w:bookmarkEnd w:id="9"/>
    </w:p>
    <w:p w14:paraId="5ABE8508" w14:textId="77777777" w:rsidR="00034CF0" w:rsidRDefault="00C665F2">
      <w:pPr>
        <w:pStyle w:val="ListParagraph"/>
        <w:numPr>
          <w:ilvl w:val="0"/>
          <w:numId w:val="10"/>
        </w:numPr>
        <w:ind w:firstLineChars="0"/>
      </w:pPr>
      <w:bookmarkStart w:id="10" w:name="_Ref106972667"/>
      <w:r>
        <w:t xml:space="preserve">3GPP TR 23.700-60, V0.3.0, </w:t>
      </w:r>
      <w:r>
        <w:rPr>
          <w:rFonts w:cs="Arial"/>
          <w:color w:val="000000"/>
          <w:sz w:val="18"/>
          <w:szCs w:val="18"/>
        </w:rPr>
        <w:t>Study on XR (Extended Reality) and media services</w:t>
      </w:r>
      <w:bookmarkEnd w:id="10"/>
    </w:p>
    <w:p w14:paraId="5A02798B" w14:textId="77777777" w:rsidR="00034CF0" w:rsidRDefault="00034CF0">
      <w:pPr>
        <w:pStyle w:val="NormalWeb"/>
        <w:spacing w:before="75" w:beforeAutospacing="0" w:after="75" w:afterAutospacing="0" w:line="315" w:lineRule="atLeast"/>
        <w:rPr>
          <w:rFonts w:cs="Arial"/>
          <w:color w:val="000000"/>
          <w:sz w:val="21"/>
        </w:rPr>
      </w:pPr>
    </w:p>
    <w:sectPr w:rsidR="00034CF0">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06BCB" w14:textId="77777777" w:rsidR="00FD7731" w:rsidRDefault="00FD7731">
      <w:pPr>
        <w:spacing w:after="0" w:line="240" w:lineRule="auto"/>
      </w:pPr>
      <w:r>
        <w:separator/>
      </w:r>
    </w:p>
  </w:endnote>
  <w:endnote w:type="continuationSeparator" w:id="0">
    <w:p w14:paraId="7EBA3295" w14:textId="77777777" w:rsidR="00FD7731" w:rsidRDefault="00FD7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default"/>
    <w:sig w:usb0="00000000" w:usb1="00000000" w:usb2="08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variable"/>
    <w:sig w:usb0="E00006FF" w:usb1="420024FF" w:usb2="02000000" w:usb3="00000000" w:csb0="0000019F" w:csb1="00000000"/>
  </w:font>
  <w:font w:name="STFangsong">
    <w:altName w:val="Microsoft YaHei"/>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EC68C" w14:textId="77777777" w:rsidR="00034CF0" w:rsidRDefault="00C665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E3A2C8" w14:textId="77777777" w:rsidR="00034CF0" w:rsidRDefault="00034C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C0955" w14:textId="77777777" w:rsidR="00034CF0" w:rsidRDefault="00034CF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DC27" w14:textId="77777777" w:rsidR="00A274E7" w:rsidRDefault="00A27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719A5" w14:textId="77777777" w:rsidR="00FD7731" w:rsidRDefault="00FD7731">
      <w:pPr>
        <w:spacing w:after="0" w:line="240" w:lineRule="auto"/>
      </w:pPr>
      <w:r>
        <w:separator/>
      </w:r>
    </w:p>
  </w:footnote>
  <w:footnote w:type="continuationSeparator" w:id="0">
    <w:p w14:paraId="1F56AD29" w14:textId="77777777" w:rsidR="00FD7731" w:rsidRDefault="00FD77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B0C49" w14:textId="77777777" w:rsidR="00A274E7" w:rsidRDefault="00A274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0591" w14:textId="77777777" w:rsidR="00034CF0" w:rsidRDefault="00034CF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5A73A" w14:textId="77777777" w:rsidR="00A274E7" w:rsidRDefault="00A274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96D8CD"/>
    <w:multiLevelType w:val="singleLevel"/>
    <w:tmpl w:val="DB96D8C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41211D"/>
    <w:multiLevelType w:val="hybridMultilevel"/>
    <w:tmpl w:val="821498E2"/>
    <w:lvl w:ilvl="0" w:tplc="B6FEE2EE">
      <w:start w:val="6"/>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4D448F3"/>
    <w:multiLevelType w:val="multilevel"/>
    <w:tmpl w:val="14D448F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C062BA5"/>
    <w:multiLevelType w:val="hybridMultilevel"/>
    <w:tmpl w:val="6AEA0C8E"/>
    <w:lvl w:ilvl="0" w:tplc="20D03262">
      <w:start w:val="15"/>
      <w:numFmt w:val="bullet"/>
      <w:lvlText w:val="-"/>
      <w:lvlJc w:val="left"/>
      <w:pPr>
        <w:ind w:left="360" w:hanging="360"/>
      </w:pPr>
      <w:rPr>
        <w:rFonts w:ascii="Arial" w:eastAsia="Malgun Gothic"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EAAA388"/>
    <w:multiLevelType w:val="singleLevel"/>
    <w:tmpl w:val="2EAAA388"/>
    <w:lvl w:ilvl="0">
      <w:start w:val="1"/>
      <w:numFmt w:val="bullet"/>
      <w:lvlText w:val=""/>
      <w:lvlJc w:val="left"/>
      <w:pPr>
        <w:ind w:left="420" w:hanging="420"/>
      </w:pPr>
      <w:rPr>
        <w:rFonts w:ascii="Wingdings" w:hAnsi="Wingdings" w:hint="default"/>
      </w:r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DCF7DCF"/>
    <w:multiLevelType w:val="multilevel"/>
    <w:tmpl w:val="3DCF7DCF"/>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6EA0993"/>
    <w:multiLevelType w:val="hybridMultilevel"/>
    <w:tmpl w:val="7E365010"/>
    <w:lvl w:ilvl="0" w:tplc="58D6A294">
      <w:start w:val="1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2F74BE"/>
    <w:multiLevelType w:val="hybridMultilevel"/>
    <w:tmpl w:val="E5EE91C4"/>
    <w:lvl w:ilvl="0" w:tplc="CC4070DA">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1B0E08"/>
    <w:multiLevelType w:val="hybridMultilevel"/>
    <w:tmpl w:val="41F2596E"/>
    <w:lvl w:ilvl="0" w:tplc="DF08D8B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159790">
    <w:abstractNumId w:val="1"/>
  </w:num>
  <w:num w:numId="2" w16cid:durableId="1816410524">
    <w:abstractNumId w:val="11"/>
  </w:num>
  <w:num w:numId="3" w16cid:durableId="500193634">
    <w:abstractNumId w:val="6"/>
  </w:num>
  <w:num w:numId="4" w16cid:durableId="270557084">
    <w:abstractNumId w:val="8"/>
  </w:num>
  <w:num w:numId="5" w16cid:durableId="1585604844">
    <w:abstractNumId w:val="3"/>
  </w:num>
  <w:num w:numId="6" w16cid:durableId="1424842569">
    <w:abstractNumId w:val="4"/>
  </w:num>
  <w:num w:numId="7" w16cid:durableId="363216240">
    <w:abstractNumId w:val="7"/>
  </w:num>
  <w:num w:numId="8" w16cid:durableId="106312186">
    <w:abstractNumId w:val="10"/>
  </w:num>
  <w:num w:numId="9" w16cid:durableId="675422098">
    <w:abstractNumId w:val="0"/>
  </w:num>
  <w:num w:numId="10" w16cid:durableId="1293487884">
    <w:abstractNumId w:val="9"/>
  </w:num>
  <w:num w:numId="11" w16cid:durableId="2050035284">
    <w:abstractNumId w:val="13"/>
  </w:num>
  <w:num w:numId="12" w16cid:durableId="1964536862">
    <w:abstractNumId w:val="14"/>
  </w:num>
  <w:num w:numId="13" w16cid:durableId="1738822155">
    <w:abstractNumId w:val="12"/>
  </w:num>
  <w:num w:numId="14" w16cid:durableId="1928271946">
    <w:abstractNumId w:val="5"/>
  </w:num>
  <w:num w:numId="15" w16cid:durableId="28256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1B3"/>
    <w:rsid w:val="00A22250"/>
    <w:rsid w:val="00A2351E"/>
    <w:rsid w:val="00A2486B"/>
    <w:rsid w:val="00A25160"/>
    <w:rsid w:val="00A259B5"/>
    <w:rsid w:val="00A2617F"/>
    <w:rsid w:val="00A274E7"/>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7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F2F85"/>
  <w15:docId w15:val="{1A862143-C0DE-4A14-A30C-8CC96B83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styleId="Revision">
    <w:name w:val="Revision"/>
    <w:hidden/>
    <w:uiPriority w:val="99"/>
    <w:semiHidden/>
    <w:rsid w:val="00E836C6"/>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1193</TotalTime>
  <Pages>4</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ZTE(Eswar)</cp:lastModifiedBy>
  <cp:revision>51</cp:revision>
  <cp:lastPrinted>2113-01-01T00:00:00Z</cp:lastPrinted>
  <dcterms:created xsi:type="dcterms:W3CDTF">2022-09-22T15:05:00Z</dcterms:created>
  <dcterms:modified xsi:type="dcterms:W3CDTF">2022-11-03T16:13:00Z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