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9C268A">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F84867">
        <w:tc>
          <w:tcPr>
            <w:tcW w:w="842"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3"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597"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F84867">
        <w:tc>
          <w:tcPr>
            <w:tcW w:w="842" w:type="dxa"/>
          </w:tcPr>
          <w:p w14:paraId="407B176D" w14:textId="77777777" w:rsidR="00055D26" w:rsidRDefault="004A4D46">
            <w:pPr>
              <w:pStyle w:val="Doc-text2"/>
              <w:ind w:left="0" w:firstLine="0"/>
              <w:rPr>
                <w:lang w:val="en-US" w:eastAsia="zh-CN"/>
              </w:rPr>
            </w:pPr>
            <w:r>
              <w:rPr>
                <w:lang w:val="en-US" w:eastAsia="zh-CN"/>
              </w:rPr>
              <w:t>Chair</w:t>
            </w:r>
          </w:p>
        </w:tc>
        <w:tc>
          <w:tcPr>
            <w:tcW w:w="913" w:type="dxa"/>
          </w:tcPr>
          <w:p w14:paraId="4D3E83FE" w14:textId="77777777" w:rsidR="00055D26" w:rsidRDefault="00055D26">
            <w:pPr>
              <w:pStyle w:val="Doc-text2"/>
              <w:ind w:left="0" w:firstLine="0"/>
              <w:rPr>
                <w:lang w:val="en-US" w:eastAsia="zh-CN"/>
              </w:rPr>
            </w:pPr>
          </w:p>
        </w:tc>
        <w:tc>
          <w:tcPr>
            <w:tcW w:w="7597"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F84867">
        <w:tc>
          <w:tcPr>
            <w:tcW w:w="842" w:type="dxa"/>
          </w:tcPr>
          <w:p w14:paraId="733A7E6C" w14:textId="77777777" w:rsidR="00055D26" w:rsidRDefault="004A4D46">
            <w:pPr>
              <w:pStyle w:val="Doc-text2"/>
              <w:ind w:left="0" w:firstLine="0"/>
              <w:rPr>
                <w:lang w:val="en-US" w:eastAsia="zh-CN"/>
              </w:rPr>
            </w:pPr>
            <w:r>
              <w:rPr>
                <w:lang w:val="en-US" w:eastAsia="zh-CN"/>
              </w:rPr>
              <w:t>Nokia</w:t>
            </w:r>
          </w:p>
        </w:tc>
        <w:tc>
          <w:tcPr>
            <w:tcW w:w="913" w:type="dxa"/>
          </w:tcPr>
          <w:p w14:paraId="2610EA46" w14:textId="77777777" w:rsidR="00055D26" w:rsidRDefault="004A4D46">
            <w:pPr>
              <w:pStyle w:val="Doc-text2"/>
              <w:ind w:left="0" w:firstLine="0"/>
              <w:rPr>
                <w:lang w:val="en-US" w:eastAsia="zh-CN"/>
              </w:rPr>
            </w:pPr>
            <w:r>
              <w:rPr>
                <w:lang w:val="en-US" w:eastAsia="zh-CN"/>
              </w:rPr>
              <w:t>Support</w:t>
            </w:r>
          </w:p>
        </w:tc>
        <w:tc>
          <w:tcPr>
            <w:tcW w:w="7597"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F84867">
        <w:tc>
          <w:tcPr>
            <w:tcW w:w="842"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3"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597"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F84867">
        <w:tc>
          <w:tcPr>
            <w:tcW w:w="842"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3"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597"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What are the reporting period if gNB is to report the collected metrics to OAM? What are the results the gNB should send to OAM?</w:t>
            </w:r>
            <w:r>
              <w:rPr>
                <w:rFonts w:eastAsia="SimSun" w:hint="eastAsia"/>
                <w:lang w:eastAsia="zh-CN"/>
              </w:rPr>
              <w:t xml:space="preserve"> </w:t>
            </w:r>
            <w:r>
              <w:rPr>
                <w:rFonts w:eastAsia="SimSun"/>
                <w:lang w:eastAsia="zh-CN"/>
              </w:rPr>
              <w:t xml:space="preserve">E.g. the original results or processed results. This Q3 seems to be related to SA5, but we think they are impacting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implemention</w:t>
            </w:r>
            <w:proofErr w:type="spellEnd"/>
            <w:r>
              <w:rPr>
                <w:rFonts w:eastAsia="SimSun"/>
                <w:lang w:eastAsia="zh-CN"/>
              </w:rPr>
              <w:t>, e.g.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in order to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F84867">
        <w:tc>
          <w:tcPr>
            <w:tcW w:w="842"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3" w:type="dxa"/>
          </w:tcPr>
          <w:p w14:paraId="3BDD55A8" w14:textId="3AE07150" w:rsidR="00101F15" w:rsidRDefault="00101F15" w:rsidP="00101F15">
            <w:pPr>
              <w:pStyle w:val="Doc-text2"/>
              <w:ind w:left="0" w:firstLine="0"/>
              <w:rPr>
                <w:lang w:val="en-US" w:eastAsia="zh-CN"/>
              </w:rPr>
            </w:pPr>
          </w:p>
        </w:tc>
        <w:tc>
          <w:tcPr>
            <w:tcW w:w="7597"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We propose to handle the CSI reports in the same way as Power Headroom reporting, that is available L2 metric. It’s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F84867">
        <w:tc>
          <w:tcPr>
            <w:tcW w:w="842"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3" w:type="dxa"/>
          </w:tcPr>
          <w:p w14:paraId="02C9900C" w14:textId="77777777" w:rsidR="00101F15" w:rsidRDefault="00101F15" w:rsidP="00101F15">
            <w:pPr>
              <w:pStyle w:val="Doc-text2"/>
              <w:ind w:left="0" w:firstLine="0"/>
              <w:rPr>
                <w:lang w:val="en-US" w:eastAsia="zh-CN"/>
              </w:rPr>
            </w:pPr>
          </w:p>
        </w:tc>
        <w:tc>
          <w:tcPr>
            <w:tcW w:w="7597"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F84867">
        <w:tc>
          <w:tcPr>
            <w:tcW w:w="842"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3"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597"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F84867">
        <w:tc>
          <w:tcPr>
            <w:tcW w:w="842"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3" w:type="dxa"/>
          </w:tcPr>
          <w:p w14:paraId="7078800E" w14:textId="77777777" w:rsidR="009C0DEA" w:rsidRDefault="009C0DEA" w:rsidP="009C0DEA">
            <w:pPr>
              <w:pStyle w:val="Doc-text2"/>
              <w:ind w:left="0" w:firstLine="0"/>
              <w:rPr>
                <w:lang w:val="en-US" w:eastAsia="zh-CN"/>
              </w:rPr>
            </w:pPr>
          </w:p>
        </w:tc>
        <w:tc>
          <w:tcPr>
            <w:tcW w:w="7597"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F84867">
        <w:tc>
          <w:tcPr>
            <w:tcW w:w="842"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3"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597"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F84867" w14:paraId="670877E1" w14:textId="77777777" w:rsidTr="00F84867">
        <w:tc>
          <w:tcPr>
            <w:tcW w:w="842" w:type="dxa"/>
          </w:tcPr>
          <w:p w14:paraId="0FF1D8F4" w14:textId="048E8542" w:rsidR="00F84867" w:rsidRPr="000447B6" w:rsidRDefault="00F84867" w:rsidP="00F84867">
            <w:pPr>
              <w:pStyle w:val="Doc-text2"/>
              <w:ind w:left="0" w:firstLine="0"/>
              <w:rPr>
                <w:rFonts w:eastAsia="SimSun"/>
                <w:lang w:val="en-US" w:eastAsia="zh-CN"/>
              </w:rPr>
            </w:pPr>
            <w:r>
              <w:rPr>
                <w:lang w:val="en-US" w:eastAsia="zh-CN"/>
              </w:rPr>
              <w:t>Intel</w:t>
            </w:r>
          </w:p>
        </w:tc>
        <w:tc>
          <w:tcPr>
            <w:tcW w:w="913" w:type="dxa"/>
          </w:tcPr>
          <w:p w14:paraId="4C1CBC7E" w14:textId="55C005B2" w:rsidR="00F84867" w:rsidRDefault="00F84867" w:rsidP="00F84867">
            <w:pPr>
              <w:pStyle w:val="Doc-text2"/>
              <w:ind w:left="0" w:firstLine="0"/>
              <w:rPr>
                <w:lang w:val="en-US" w:eastAsia="zh-CN"/>
              </w:rPr>
            </w:pPr>
            <w:proofErr w:type="spellStart"/>
            <w:r>
              <w:rPr>
                <w:lang w:val="en-US" w:eastAsia="zh-CN"/>
              </w:rPr>
              <w:t>CanAccept</w:t>
            </w:r>
            <w:proofErr w:type="spellEnd"/>
          </w:p>
        </w:tc>
        <w:tc>
          <w:tcPr>
            <w:tcW w:w="7597" w:type="dxa"/>
          </w:tcPr>
          <w:p w14:paraId="0577FBED" w14:textId="2C63F88A" w:rsidR="00F84867" w:rsidRPr="000447B6" w:rsidRDefault="00F84867" w:rsidP="00F84867">
            <w:pPr>
              <w:pStyle w:val="Doc-text2"/>
              <w:ind w:left="0" w:firstLine="0"/>
              <w:rPr>
                <w:rFonts w:eastAsia="SimSun"/>
                <w:lang w:val="en-US" w:eastAsia="zh-CN"/>
              </w:rPr>
            </w:pPr>
            <w:r>
              <w:rPr>
                <w:lang w:val="en-US" w:eastAsia="zh-CN"/>
              </w:rPr>
              <w:t>With no UE impact and low hanging fruit.  Agree with chair’s comments about whether TEI is the best approach for a multi WG impacting work.</w:t>
            </w:r>
          </w:p>
        </w:tc>
      </w:tr>
      <w:tr w:rsidR="00F84867" w14:paraId="20CC92A6" w14:textId="77777777" w:rsidTr="00F84867">
        <w:tc>
          <w:tcPr>
            <w:tcW w:w="842" w:type="dxa"/>
          </w:tcPr>
          <w:p w14:paraId="54FF7798" w14:textId="77777777" w:rsidR="00F84867" w:rsidRDefault="00F84867" w:rsidP="00F84867">
            <w:pPr>
              <w:pStyle w:val="Doc-text2"/>
              <w:ind w:left="0" w:firstLine="0"/>
              <w:rPr>
                <w:lang w:val="en-US" w:eastAsia="zh-CN"/>
              </w:rPr>
            </w:pPr>
          </w:p>
        </w:tc>
        <w:tc>
          <w:tcPr>
            <w:tcW w:w="913" w:type="dxa"/>
          </w:tcPr>
          <w:p w14:paraId="679BEE90" w14:textId="77777777" w:rsidR="00F84867" w:rsidRDefault="00F84867" w:rsidP="00F84867">
            <w:pPr>
              <w:pStyle w:val="Doc-text2"/>
              <w:ind w:left="0" w:firstLine="0"/>
              <w:rPr>
                <w:lang w:val="en-US" w:eastAsia="zh-CN"/>
              </w:rPr>
            </w:pPr>
          </w:p>
        </w:tc>
        <w:tc>
          <w:tcPr>
            <w:tcW w:w="7597" w:type="dxa"/>
          </w:tcPr>
          <w:p w14:paraId="641BFD2D" w14:textId="77777777" w:rsidR="00F84867" w:rsidRDefault="00F84867" w:rsidP="00F84867">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9C268A">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w:t>
            </w:r>
            <w:r>
              <w:rPr>
                <w:lang w:val="en-US" w:eastAsia="zh-CN"/>
              </w:rPr>
              <w:lastRenderedPageBreak/>
              <w:t xml:space="preserve">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e.g.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However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Unless  it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485A7431" w:rsidR="00680478" w:rsidRDefault="00680478" w:rsidP="00680478">
            <w:pPr>
              <w:pStyle w:val="Doc-text2"/>
              <w:ind w:left="0" w:firstLine="0"/>
              <w:rPr>
                <w:rFonts w:eastAsia="SimSun"/>
                <w:lang w:val="en-US" w:eastAsia="zh-CN"/>
              </w:rPr>
            </w:pPr>
            <w:r>
              <w:rPr>
                <w:rFonts w:eastAsia="SimSun"/>
                <w:lang w:val="en-US" w:eastAsia="zh-CN"/>
              </w:rPr>
              <w:t xml:space="preserve">Newly service like </w:t>
            </w:r>
            <w:proofErr w:type="spellStart"/>
            <w:r>
              <w:rPr>
                <w:rFonts w:eastAsia="SimSun"/>
                <w:lang w:val="en-US" w:eastAsia="zh-CN"/>
              </w:rPr>
              <w:t>IIoT</w:t>
            </w:r>
            <w:proofErr w:type="spellEnd"/>
            <w:r>
              <w:rPr>
                <w:rFonts w:eastAsia="SimSun"/>
                <w:lang w:val="en-US" w:eastAsia="zh-CN"/>
              </w:rPr>
              <w:t xml:space="preserve">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lastRenderedPageBreak/>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handover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 xml:space="preserve">rom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SimSun"/>
                <w:lang w:val="en-US" w:eastAsia="zh-CN"/>
              </w:rPr>
            </w:pPr>
            <w:bookmarkStart w:id="0" w:name="_Hlk112311088"/>
            <w:r>
              <w:rPr>
                <w:rFonts w:eastAsia="SimSun" w:hint="eastAsia"/>
                <w:lang w:val="en-US" w:eastAsia="zh-CN"/>
              </w:rPr>
              <w:t>Z</w:t>
            </w:r>
            <w:r>
              <w:rPr>
                <w:rFonts w:eastAsia="SimSun"/>
                <w:lang w:val="en-US" w:eastAsia="zh-CN"/>
              </w:rPr>
              <w:t>TE</w:t>
            </w:r>
          </w:p>
        </w:tc>
        <w:tc>
          <w:tcPr>
            <w:tcW w:w="1701" w:type="dxa"/>
          </w:tcPr>
          <w:p w14:paraId="3C1DD3D5" w14:textId="5110B86D" w:rsidR="00F138A8" w:rsidRPr="00C76EF1" w:rsidRDefault="00C76EF1" w:rsidP="00680478">
            <w:pPr>
              <w:pStyle w:val="Doc-text2"/>
              <w:ind w:left="0" w:firstLine="0"/>
              <w:rPr>
                <w:rFonts w:eastAsia="SimSun"/>
                <w:lang w:val="en-US" w:eastAsia="zh-CN"/>
              </w:rPr>
            </w:pPr>
            <w:r>
              <w:rPr>
                <w:rFonts w:eastAsia="SimSun"/>
                <w:lang w:val="en-US" w:eastAsia="zh-CN"/>
              </w:rPr>
              <w:t>Support</w:t>
            </w:r>
          </w:p>
        </w:tc>
        <w:tc>
          <w:tcPr>
            <w:tcW w:w="6092" w:type="dxa"/>
          </w:tcPr>
          <w:p w14:paraId="5F546A31" w14:textId="2345A898" w:rsidR="00F138A8" w:rsidRDefault="00C76EF1" w:rsidP="00553171">
            <w:pPr>
              <w:pStyle w:val="Doc-text2"/>
              <w:ind w:left="0" w:firstLine="0"/>
              <w:rPr>
                <w:rFonts w:eastAsia="SimSun"/>
                <w:lang w:val="en-US" w:eastAsia="zh-CN"/>
              </w:rPr>
            </w:pPr>
            <w:r>
              <w:rPr>
                <w:rFonts w:eastAsia="SimSun"/>
                <w:lang w:val="en-US" w:eastAsia="zh-CN"/>
              </w:rPr>
              <w:t xml:space="preserve">We have sympathy with the issue in DL and UL as </w:t>
            </w:r>
            <w:r w:rsidR="00DC2930">
              <w:rPr>
                <w:rFonts w:eastAsia="SimSun"/>
                <w:lang w:val="en-US" w:eastAsia="zh-CN"/>
              </w:rPr>
              <w:t>mentioned</w:t>
            </w:r>
            <w:r>
              <w:rPr>
                <w:rFonts w:eastAsia="SimSun"/>
                <w:lang w:val="en-US" w:eastAsia="zh-CN"/>
              </w:rPr>
              <w:t xml:space="preserve"> by Apple. We support to find a simple solution to address it in </w:t>
            </w:r>
            <w:r w:rsidR="00553171">
              <w:rPr>
                <w:rFonts w:eastAsia="SimSun"/>
                <w:lang w:val="en-US" w:eastAsia="zh-CN"/>
              </w:rPr>
              <w:t>TEI</w:t>
            </w:r>
            <w:r>
              <w:rPr>
                <w:rFonts w:eastAsia="SimSun"/>
                <w:lang w:val="en-US" w:eastAsia="zh-CN"/>
              </w:rPr>
              <w:t>17.</w:t>
            </w:r>
          </w:p>
        </w:tc>
      </w:tr>
      <w:tr w:rsidR="00A2404C" w14:paraId="20196B7F" w14:textId="77777777">
        <w:tc>
          <w:tcPr>
            <w:tcW w:w="1559" w:type="dxa"/>
          </w:tcPr>
          <w:p w14:paraId="7B8ADD22" w14:textId="67223348" w:rsidR="00A2404C" w:rsidRDefault="00A2404C" w:rsidP="00680478">
            <w:pPr>
              <w:pStyle w:val="Doc-text2"/>
              <w:ind w:left="0" w:firstLine="0"/>
              <w:rPr>
                <w:rFonts w:eastAsia="SimSun"/>
                <w:lang w:val="en-US" w:eastAsia="zh-CN"/>
              </w:rPr>
            </w:pPr>
            <w:r>
              <w:rPr>
                <w:rFonts w:eastAsia="SimSun"/>
                <w:lang w:val="en-US" w:eastAsia="zh-CN"/>
              </w:rPr>
              <w:t>T-Mobile USA</w:t>
            </w:r>
          </w:p>
        </w:tc>
        <w:tc>
          <w:tcPr>
            <w:tcW w:w="1701" w:type="dxa"/>
          </w:tcPr>
          <w:p w14:paraId="19526C59" w14:textId="32514D49" w:rsidR="00A2404C" w:rsidRDefault="00A2404C" w:rsidP="00680478">
            <w:pPr>
              <w:pStyle w:val="Doc-text2"/>
              <w:ind w:left="0" w:firstLine="0"/>
              <w:rPr>
                <w:rFonts w:eastAsia="SimSun"/>
                <w:lang w:val="en-US" w:eastAsia="zh-CN"/>
              </w:rPr>
            </w:pPr>
            <w:r>
              <w:rPr>
                <w:rFonts w:eastAsia="SimSun"/>
                <w:lang w:val="en-US" w:eastAsia="zh-CN"/>
              </w:rPr>
              <w:t>Support</w:t>
            </w:r>
          </w:p>
        </w:tc>
        <w:tc>
          <w:tcPr>
            <w:tcW w:w="6092" w:type="dxa"/>
          </w:tcPr>
          <w:p w14:paraId="0A1343B7" w14:textId="15030B5A" w:rsidR="00A2404C" w:rsidRDefault="00A2404C" w:rsidP="00553171">
            <w:pPr>
              <w:pStyle w:val="Doc-text2"/>
              <w:ind w:left="0" w:firstLine="0"/>
              <w:rPr>
                <w:rFonts w:eastAsia="SimSun"/>
                <w:lang w:val="en-US" w:eastAsia="zh-CN"/>
              </w:rPr>
            </w:pPr>
            <w:r>
              <w:rPr>
                <w:rFonts w:eastAsia="SimSun"/>
                <w:lang w:val="en-US" w:eastAsia="zh-CN"/>
              </w:rPr>
              <w:t>We share the view</w:t>
            </w:r>
            <w:r w:rsidR="00806C6F">
              <w:rPr>
                <w:rFonts w:eastAsia="SimSun"/>
                <w:lang w:val="en-US" w:eastAsia="zh-CN"/>
              </w:rPr>
              <w:t>s</w:t>
            </w:r>
            <w:r>
              <w:rPr>
                <w:rFonts w:eastAsia="SimSun"/>
                <w:lang w:val="en-US" w:eastAsia="zh-CN"/>
              </w:rPr>
              <w:t xml:space="preserve"> of Apple, especially with XR development, potential more RLC UM QoS Flows (Such as RTP based) might be defined to support some XR services</w:t>
            </w:r>
            <w:r w:rsidR="001362B1">
              <w:rPr>
                <w:rFonts w:eastAsia="SimSun"/>
                <w:lang w:val="en-US" w:eastAsia="zh-CN"/>
              </w:rPr>
              <w:t>.</w:t>
            </w:r>
            <w:r w:rsidR="00806C6F">
              <w:rPr>
                <w:rFonts w:eastAsia="SimSun"/>
                <w:lang w:val="en-US" w:eastAsia="zh-CN"/>
              </w:rPr>
              <w:t xml:space="preserve"> We believe it is helpful to discuss the solution of handling SDAP End Mark in RLC UM.</w:t>
            </w:r>
          </w:p>
        </w:tc>
      </w:tr>
      <w:tr w:rsidR="00F84867" w14:paraId="0509C9C4" w14:textId="77777777">
        <w:tc>
          <w:tcPr>
            <w:tcW w:w="1559" w:type="dxa"/>
          </w:tcPr>
          <w:p w14:paraId="193FD95F" w14:textId="350F0FF0" w:rsidR="00F84867" w:rsidRDefault="00F84867" w:rsidP="00F84867">
            <w:pPr>
              <w:pStyle w:val="Doc-text2"/>
              <w:ind w:left="0" w:firstLine="0"/>
              <w:rPr>
                <w:rFonts w:eastAsia="SimSun"/>
                <w:lang w:val="en-US" w:eastAsia="zh-CN"/>
              </w:rPr>
            </w:pPr>
            <w:r>
              <w:rPr>
                <w:lang w:val="en-US" w:eastAsia="zh-CN"/>
              </w:rPr>
              <w:t>Intel</w:t>
            </w:r>
          </w:p>
        </w:tc>
        <w:tc>
          <w:tcPr>
            <w:tcW w:w="1701" w:type="dxa"/>
          </w:tcPr>
          <w:p w14:paraId="4182D8B2" w14:textId="1DE3345E" w:rsidR="00F84867" w:rsidRDefault="00F84867" w:rsidP="00F84867">
            <w:pPr>
              <w:pStyle w:val="Doc-text2"/>
              <w:ind w:left="0" w:firstLine="0"/>
              <w:rPr>
                <w:rFonts w:eastAsia="SimSun"/>
                <w:lang w:val="en-US" w:eastAsia="zh-CN"/>
              </w:rPr>
            </w:pPr>
            <w:r>
              <w:rPr>
                <w:lang w:val="en-US" w:eastAsia="zh-CN"/>
              </w:rPr>
              <w:t>Oppose</w:t>
            </w:r>
          </w:p>
        </w:tc>
        <w:tc>
          <w:tcPr>
            <w:tcW w:w="6092" w:type="dxa"/>
          </w:tcPr>
          <w:p w14:paraId="53BFED92" w14:textId="305CCD3F" w:rsidR="00F84867" w:rsidRDefault="00F84867" w:rsidP="00F84867">
            <w:pPr>
              <w:pStyle w:val="Doc-text2"/>
              <w:ind w:left="0" w:firstLine="0"/>
              <w:rPr>
                <w:rFonts w:eastAsia="SimSun"/>
                <w:lang w:val="en-US" w:eastAsia="zh-CN"/>
              </w:rPr>
            </w:pPr>
            <w:r>
              <w:rPr>
                <w:lang w:val="en-US" w:eastAsia="zh-CN"/>
              </w:rPr>
              <w:t xml:space="preserve">As proponents themselves mentioned, there are several options possible and more discussion will be needed to choose between them.  While we are open to discuss this topic technically for a future release, it is not seen as a critical issue to address now for Rel-17.  </w:t>
            </w:r>
          </w:p>
        </w:tc>
      </w:tr>
      <w:bookmarkEnd w:id="0"/>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9C268A">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lastRenderedPageBreak/>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r>
              <w:rPr>
                <w:lang w:val="en-US" w:eastAsia="zh-CN"/>
              </w:rPr>
              <w:t>straightline</w:t>
            </w:r>
            <w:proofErr w:type="spellEnd"/>
            <w:r>
              <w:rPr>
                <w:lang w:val="en-US" w:eastAsia="zh-CN"/>
              </w:rPr>
              <w:t xml:space="preserve"> ? In general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So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w:t>
            </w:r>
            <w:r>
              <w:rPr>
                <w:lang w:val="en-US" w:eastAsia="zh-CN"/>
              </w:rPr>
              <w:lastRenderedPageBreak/>
              <w:t>drones, so we would be happy to understand the use case more as we also agree, we already solved “similar” issue with CHIBA, but there they was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lastRenderedPageBreak/>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 xml:space="preserve">Thus, the use case as presented in the contribution seems to go against the physics to some extent (i.e.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SimSun"/>
                <w:lang w:val="en-US" w:eastAsia="zh-CN"/>
              </w:rPr>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can not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Is the only motivation to track UE location while camping on “remote” cell? Otherwise, there is no problem to camp on this “remote” cell? If that is the case, we really not sure whether it is a good idea to move to other cell. The remote cell actually have much better UL/DL quality, then why not use it? Can the problem be fixed by modify the tracking app</w:t>
            </w:r>
            <w:r w:rsidR="007C093B">
              <w:rPr>
                <w:lang w:val="en-US" w:eastAsia="zh-CN"/>
              </w:rPr>
              <w:t>?</w:t>
            </w:r>
          </w:p>
        </w:tc>
      </w:tr>
      <w:tr w:rsidR="00F84867" w14:paraId="75D2D032" w14:textId="77777777">
        <w:tc>
          <w:tcPr>
            <w:tcW w:w="1559" w:type="dxa"/>
          </w:tcPr>
          <w:p w14:paraId="07A0E33F" w14:textId="39C33D29" w:rsidR="00F84867" w:rsidRDefault="00F84867" w:rsidP="00F84867">
            <w:pPr>
              <w:pStyle w:val="Doc-text2"/>
              <w:ind w:left="0" w:firstLine="0"/>
              <w:rPr>
                <w:lang w:val="en-US" w:eastAsia="zh-CN"/>
              </w:rPr>
            </w:pPr>
            <w:r>
              <w:rPr>
                <w:lang w:val="en-US" w:eastAsia="zh-CN"/>
              </w:rPr>
              <w:t>Intel</w:t>
            </w:r>
          </w:p>
        </w:tc>
        <w:tc>
          <w:tcPr>
            <w:tcW w:w="1701" w:type="dxa"/>
          </w:tcPr>
          <w:p w14:paraId="423A8C14" w14:textId="120E2DA8" w:rsidR="00F84867" w:rsidRDefault="00F84867" w:rsidP="00F84867">
            <w:pPr>
              <w:pStyle w:val="Doc-text2"/>
              <w:ind w:left="0" w:firstLine="0"/>
              <w:rPr>
                <w:lang w:val="en-US" w:eastAsia="zh-CN"/>
              </w:rPr>
            </w:pPr>
            <w:r>
              <w:rPr>
                <w:lang w:val="en-US" w:eastAsia="zh-CN"/>
              </w:rPr>
              <w:t>Question</w:t>
            </w:r>
          </w:p>
        </w:tc>
        <w:tc>
          <w:tcPr>
            <w:tcW w:w="6092" w:type="dxa"/>
          </w:tcPr>
          <w:p w14:paraId="5B1CAAD7" w14:textId="44FA3EC1" w:rsidR="00F84867" w:rsidRDefault="00F84867" w:rsidP="00F84867">
            <w:pPr>
              <w:pStyle w:val="Doc-text2"/>
              <w:ind w:left="0" w:firstLine="0"/>
              <w:rPr>
                <w:lang w:val="en-US" w:eastAsia="zh-CN"/>
              </w:rPr>
            </w:pPr>
            <w:r>
              <w:rPr>
                <w:lang w:val="en-US" w:eastAsia="zh-CN"/>
              </w:rPr>
              <w:t xml:space="preserve">While we have sympathy with the issue and the proponents have provided a good analysis of the existing solution options, it is not clear how serious is the remaining issue after deploying these solutions (even if they don’t solve the issue fully).  As others also pointed out, as the UE can access the cell, it could be acceptable to do so for short periods of time (for subsequent HO) and for limited cases (where the PCI list is not complete).  And in certain other cases, if the radio conditions to this cell is so good, it may well be the cell to use!  </w:t>
            </w: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9C268A">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is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e.g.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w:t>
            </w:r>
            <w:r>
              <w:rPr>
                <w:rFonts w:eastAsia="SimSun"/>
                <w:lang w:val="en-US" w:eastAsia="zh-CN"/>
              </w:rPr>
              <w:lastRenderedPageBreak/>
              <w:t xml:space="preserve">concern is that it would disable early termination, e.g.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SimSun" w:hint="eastAsia"/>
                <w:lang w:val="en-US" w:eastAsia="zh-CN"/>
              </w:rPr>
              <w:lastRenderedPageBreak/>
              <w:t>v</w:t>
            </w:r>
            <w:r>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(i.e.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taking a look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F84867" w14:paraId="1E900689" w14:textId="77777777">
        <w:tc>
          <w:tcPr>
            <w:tcW w:w="1559" w:type="dxa"/>
          </w:tcPr>
          <w:p w14:paraId="5213C5D5" w14:textId="48A1826E" w:rsidR="00F84867" w:rsidRDefault="00F84867" w:rsidP="00F84867">
            <w:pPr>
              <w:pStyle w:val="Doc-text2"/>
              <w:ind w:left="0" w:firstLine="0"/>
              <w:rPr>
                <w:lang w:val="en-US" w:eastAsia="zh-CN"/>
              </w:rPr>
            </w:pPr>
            <w:r>
              <w:rPr>
                <w:lang w:val="en-US" w:eastAsia="zh-CN"/>
              </w:rPr>
              <w:t>Intel</w:t>
            </w:r>
          </w:p>
        </w:tc>
        <w:tc>
          <w:tcPr>
            <w:tcW w:w="1701" w:type="dxa"/>
          </w:tcPr>
          <w:p w14:paraId="5B995BE9" w14:textId="77159D95" w:rsidR="00F84867" w:rsidRDefault="00F84867" w:rsidP="00F84867">
            <w:pPr>
              <w:pStyle w:val="Doc-text2"/>
              <w:ind w:left="0" w:firstLine="0"/>
              <w:rPr>
                <w:lang w:val="en-US" w:eastAsia="zh-CN"/>
              </w:rPr>
            </w:pPr>
            <w:r>
              <w:rPr>
                <w:lang w:val="en-US" w:eastAsia="zh-CN"/>
              </w:rPr>
              <w:t>Question</w:t>
            </w:r>
          </w:p>
        </w:tc>
        <w:tc>
          <w:tcPr>
            <w:tcW w:w="6092" w:type="dxa"/>
          </w:tcPr>
          <w:p w14:paraId="2567EA30" w14:textId="134B655A" w:rsidR="00F84867" w:rsidRDefault="00F84867" w:rsidP="00F84867">
            <w:pPr>
              <w:pStyle w:val="Doc-text2"/>
              <w:ind w:left="0" w:firstLine="0"/>
              <w:rPr>
                <w:lang w:val="en-US" w:eastAsia="zh-CN"/>
              </w:rPr>
            </w:pPr>
            <w:r>
              <w:rPr>
                <w:lang w:val="en-US" w:eastAsia="zh-CN"/>
              </w:rPr>
              <w:t>We also feel that this optimization will be applicable only for limited use cases and while the solution provided is complete, the concerns/comments raised at that time have not been fully addressed.</w:t>
            </w: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bookmarkStart w:id="1" w:name="_Hlk112311414"/>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9C268A">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bookmarkEnd w:id="1"/>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lastRenderedPageBreak/>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xml:space="preserve">. We can understand the concern from Chair that this </w:t>
            </w:r>
            <w:r>
              <w:rPr>
                <w:lang w:val="en-US" w:eastAsia="zh-CN"/>
              </w:rPr>
              <w:lastRenderedPageBreak/>
              <w:t>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lastRenderedPageBreak/>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to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Measurement requirement is a huge topic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51B3B491" w:rsidR="00E93BBF" w:rsidRDefault="00742542" w:rsidP="00C40A61">
            <w:pPr>
              <w:pStyle w:val="Doc-text2"/>
              <w:ind w:left="0" w:firstLine="0"/>
              <w:rPr>
                <w:lang w:eastAsia="zh-CN"/>
              </w:rPr>
            </w:pPr>
            <w:bookmarkStart w:id="2" w:name="_Hlk112311570"/>
            <w:r>
              <w:rPr>
                <w:lang w:eastAsia="zh-CN"/>
              </w:rPr>
              <w:t>T-Mobile USA</w:t>
            </w:r>
          </w:p>
        </w:tc>
        <w:tc>
          <w:tcPr>
            <w:tcW w:w="1773" w:type="dxa"/>
          </w:tcPr>
          <w:p w14:paraId="21B2D2B9" w14:textId="7FC64EB5" w:rsidR="00E93BBF" w:rsidRDefault="00DF5019" w:rsidP="00C40A61">
            <w:pPr>
              <w:pStyle w:val="Doc-text2"/>
              <w:ind w:left="0" w:firstLine="0"/>
              <w:rPr>
                <w:lang w:eastAsia="zh-CN"/>
              </w:rPr>
            </w:pPr>
            <w:r>
              <w:rPr>
                <w:lang w:eastAsia="zh-CN"/>
              </w:rPr>
              <w:t>Support</w:t>
            </w:r>
          </w:p>
        </w:tc>
        <w:tc>
          <w:tcPr>
            <w:tcW w:w="6027" w:type="dxa"/>
          </w:tcPr>
          <w:p w14:paraId="644AD328" w14:textId="49BE29E9" w:rsidR="00E93BBF" w:rsidRDefault="00DF5019" w:rsidP="00C40A61">
            <w:pPr>
              <w:pStyle w:val="Doc-text2"/>
              <w:ind w:left="0" w:firstLine="0"/>
              <w:rPr>
                <w:lang w:eastAsia="zh-CN"/>
              </w:rPr>
            </w:pPr>
            <w:r>
              <w:rPr>
                <w:lang w:eastAsia="zh-CN"/>
              </w:rPr>
              <w:t>With increasing number of bands used by operators the current methods need to be improved.  We support BT’s comments.</w:t>
            </w:r>
          </w:p>
        </w:tc>
      </w:tr>
      <w:tr w:rsidR="00D11D43" w14:paraId="7F3750DE" w14:textId="77777777" w:rsidTr="00D345A6">
        <w:tc>
          <w:tcPr>
            <w:tcW w:w="1552" w:type="dxa"/>
          </w:tcPr>
          <w:p w14:paraId="77E9992F" w14:textId="38E20D0A" w:rsidR="00D11D43" w:rsidRDefault="00D11D43" w:rsidP="00D11D43">
            <w:pPr>
              <w:pStyle w:val="Doc-text2"/>
              <w:ind w:left="0" w:firstLine="0"/>
              <w:rPr>
                <w:lang w:eastAsia="zh-CN"/>
              </w:rPr>
            </w:pPr>
            <w:r>
              <w:rPr>
                <w:lang w:eastAsia="zh-CN"/>
              </w:rPr>
              <w:t>Intel</w:t>
            </w:r>
          </w:p>
        </w:tc>
        <w:tc>
          <w:tcPr>
            <w:tcW w:w="1773" w:type="dxa"/>
          </w:tcPr>
          <w:p w14:paraId="57A68560" w14:textId="531B0F06" w:rsidR="00D11D43" w:rsidRDefault="00D11D43" w:rsidP="00D11D43">
            <w:pPr>
              <w:pStyle w:val="Doc-text2"/>
              <w:ind w:left="0" w:firstLine="0"/>
              <w:rPr>
                <w:lang w:eastAsia="zh-CN"/>
              </w:rPr>
            </w:pPr>
            <w:r>
              <w:rPr>
                <w:lang w:eastAsia="zh-CN"/>
              </w:rPr>
              <w:t>Oppose</w:t>
            </w:r>
          </w:p>
        </w:tc>
        <w:tc>
          <w:tcPr>
            <w:tcW w:w="6027" w:type="dxa"/>
          </w:tcPr>
          <w:p w14:paraId="2A57A3E5" w14:textId="501C4394" w:rsidR="00D11D43" w:rsidRDefault="00D11D43" w:rsidP="00D11D43">
            <w:pPr>
              <w:pStyle w:val="Doc-text2"/>
              <w:ind w:left="0" w:firstLine="0"/>
              <w:rPr>
                <w:lang w:eastAsia="zh-CN"/>
              </w:rPr>
            </w:pPr>
            <w:r>
              <w:rPr>
                <w:lang w:eastAsia="zh-CN"/>
              </w:rPr>
              <w:t>We also agree with chair’s comment that this should be discussed in or with RAN4 making it unsuitable for TEI.</w:t>
            </w:r>
          </w:p>
        </w:tc>
      </w:tr>
      <w:bookmarkEnd w:id="2"/>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FA0C" w14:textId="77777777" w:rsidR="009C268A" w:rsidRDefault="009C268A">
      <w:r>
        <w:separator/>
      </w:r>
    </w:p>
  </w:endnote>
  <w:endnote w:type="continuationSeparator" w:id="0">
    <w:p w14:paraId="29838671" w14:textId="77777777" w:rsidR="009C268A" w:rsidRDefault="009C268A">
      <w:r>
        <w:continuationSeparator/>
      </w:r>
    </w:p>
  </w:endnote>
  <w:endnote w:type="continuationNotice" w:id="1">
    <w:p w14:paraId="0A4238C4" w14:textId="77777777" w:rsidR="009C268A" w:rsidRDefault="009C2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0FB1" w14:textId="77777777" w:rsidR="009C268A" w:rsidRDefault="009C268A">
      <w:r>
        <w:separator/>
      </w:r>
    </w:p>
  </w:footnote>
  <w:footnote w:type="continuationSeparator" w:id="0">
    <w:p w14:paraId="14310B64" w14:textId="77777777" w:rsidR="009C268A" w:rsidRDefault="009C268A">
      <w:r>
        <w:continuationSeparator/>
      </w:r>
    </w:p>
  </w:footnote>
  <w:footnote w:type="continuationNotice" w:id="1">
    <w:p w14:paraId="534DF818" w14:textId="77777777" w:rsidR="009C268A" w:rsidRDefault="009C26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6"/>
  </w:num>
  <w:num w:numId="17">
    <w:abstractNumId w:val="3"/>
  </w:num>
  <w:num w:numId="18">
    <w:abstractNumId w:val="23"/>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0C6447"/>
    <w:rsid w:val="00101F15"/>
    <w:rsid w:val="00122C02"/>
    <w:rsid w:val="001362B1"/>
    <w:rsid w:val="001822E4"/>
    <w:rsid w:val="001C0EF7"/>
    <w:rsid w:val="001D02A1"/>
    <w:rsid w:val="001D1FC1"/>
    <w:rsid w:val="00217103"/>
    <w:rsid w:val="00235D80"/>
    <w:rsid w:val="00257724"/>
    <w:rsid w:val="0026046F"/>
    <w:rsid w:val="002871EF"/>
    <w:rsid w:val="00302084"/>
    <w:rsid w:val="0039641C"/>
    <w:rsid w:val="003B5953"/>
    <w:rsid w:val="003C08E6"/>
    <w:rsid w:val="00401894"/>
    <w:rsid w:val="00465D6E"/>
    <w:rsid w:val="0047508E"/>
    <w:rsid w:val="00485646"/>
    <w:rsid w:val="004A4D46"/>
    <w:rsid w:val="004C147D"/>
    <w:rsid w:val="004E54C7"/>
    <w:rsid w:val="00553171"/>
    <w:rsid w:val="005E11F0"/>
    <w:rsid w:val="00654B5B"/>
    <w:rsid w:val="00680478"/>
    <w:rsid w:val="00683DB1"/>
    <w:rsid w:val="00696BEB"/>
    <w:rsid w:val="006C35A5"/>
    <w:rsid w:val="006F1355"/>
    <w:rsid w:val="00740461"/>
    <w:rsid w:val="00742542"/>
    <w:rsid w:val="00791E0C"/>
    <w:rsid w:val="007B39E1"/>
    <w:rsid w:val="007C093B"/>
    <w:rsid w:val="00806C6F"/>
    <w:rsid w:val="008A56F8"/>
    <w:rsid w:val="008A7C25"/>
    <w:rsid w:val="00931E27"/>
    <w:rsid w:val="0094372A"/>
    <w:rsid w:val="009821E6"/>
    <w:rsid w:val="009838C1"/>
    <w:rsid w:val="00997FF1"/>
    <w:rsid w:val="009B2E0E"/>
    <w:rsid w:val="009C0DEA"/>
    <w:rsid w:val="009C268A"/>
    <w:rsid w:val="009E0C12"/>
    <w:rsid w:val="009E4519"/>
    <w:rsid w:val="00A2404C"/>
    <w:rsid w:val="00A25F5C"/>
    <w:rsid w:val="00A30E33"/>
    <w:rsid w:val="00A63EF8"/>
    <w:rsid w:val="00A7458C"/>
    <w:rsid w:val="00AA3B2B"/>
    <w:rsid w:val="00AD109F"/>
    <w:rsid w:val="00AE29C5"/>
    <w:rsid w:val="00B464B6"/>
    <w:rsid w:val="00B60357"/>
    <w:rsid w:val="00C40A61"/>
    <w:rsid w:val="00C524C1"/>
    <w:rsid w:val="00C76EF1"/>
    <w:rsid w:val="00C76FD8"/>
    <w:rsid w:val="00D11D43"/>
    <w:rsid w:val="00D345A6"/>
    <w:rsid w:val="00D51A68"/>
    <w:rsid w:val="00D616C3"/>
    <w:rsid w:val="00D7544A"/>
    <w:rsid w:val="00DB14C7"/>
    <w:rsid w:val="00DC2930"/>
    <w:rsid w:val="00DF5019"/>
    <w:rsid w:val="00E53593"/>
    <w:rsid w:val="00E54FF1"/>
    <w:rsid w:val="00E748E1"/>
    <w:rsid w:val="00E93BBF"/>
    <w:rsid w:val="00EC2C05"/>
    <w:rsid w:val="00ED38F8"/>
    <w:rsid w:val="00F138A8"/>
    <w:rsid w:val="00F23CD6"/>
    <w:rsid w:val="00F8152D"/>
    <w:rsid w:val="00F84867"/>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4703</Words>
  <Characters>26809</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31450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Intel (Sudeep) -v1</cp:lastModifiedBy>
  <cp:revision>2</cp:revision>
  <dcterms:created xsi:type="dcterms:W3CDTF">2022-08-25T16:46:00Z</dcterms:created>
  <dcterms:modified xsi:type="dcterms:W3CDTF">2022-08-25T16:46:00Z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y fmtid="{D5CDD505-2E9C-101B-9397-08002B2CF9AE}" pid="20" name="MSIP_Label_7af72c41-31f4-4d40-a6d0-808117dc4d77_Enabled">
    <vt:lpwstr>true</vt:lpwstr>
  </property>
  <property fmtid="{D5CDD505-2E9C-101B-9397-08002B2CF9AE}" pid="21" name="MSIP_Label_7af72c41-31f4-4d40-a6d0-808117dc4d77_SetDate">
    <vt:lpwstr>2022-08-25T15:38:49Z</vt:lpwstr>
  </property>
  <property fmtid="{D5CDD505-2E9C-101B-9397-08002B2CF9AE}" pid="22" name="MSIP_Label_7af72c41-31f4-4d40-a6d0-808117dc4d77_Method">
    <vt:lpwstr>Standard</vt:lpwstr>
  </property>
  <property fmtid="{D5CDD505-2E9C-101B-9397-08002B2CF9AE}" pid="23" name="MSIP_Label_7af72c41-31f4-4d40-a6d0-808117dc4d77_Name">
    <vt:lpwstr>TMO - Internal</vt:lpwstr>
  </property>
  <property fmtid="{D5CDD505-2E9C-101B-9397-08002B2CF9AE}" pid="24" name="MSIP_Label_7af72c41-31f4-4d40-a6d0-808117dc4d77_SiteId">
    <vt:lpwstr>be0f980b-dd99-4b19-bd7b-bc71a09b026c</vt:lpwstr>
  </property>
  <property fmtid="{D5CDD505-2E9C-101B-9397-08002B2CF9AE}" pid="25" name="MSIP_Label_7af72c41-31f4-4d40-a6d0-808117dc4d77_ActionId">
    <vt:lpwstr>a81aac98-f7e8-4b34-8706-f4ff4d790195</vt:lpwstr>
  </property>
  <property fmtid="{D5CDD505-2E9C-101B-9397-08002B2CF9AE}" pid="26" name="MSIP_Label_7af72c41-31f4-4d40-a6d0-808117dc4d77_ContentBits">
    <vt:lpwstr>0</vt:lpwstr>
  </property>
</Properties>
</file>